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4421.xml.htm"/>
      <w:bookmarkStart w:id="1" w:name="kswkform4_17853544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GOETTER GINA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HASBRO,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 NEWPORT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PAWTUCKET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02861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HASBRO, INC.</w:t>
              </w:r>
            </w:hyperlink>
            <w:r>
              <w:rPr/>
              <w:t xml:space="preserve"> [ </w:t>
            </w:r>
            <w:r>
              <w:rPr>
                <w:rFonts w:ascii="Times;serif" w:hAnsi="Times;serif"/>
                <w:color w:val="0000FF"/>
                <w:sz w:val="24"/>
                <w:shd w:fill="FFFFFF" w:val="clear"/>
              </w:rPr>
              <w:t>HAS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95.445</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88,104</w:t>
            </w:r>
            <w:r>
              <w:rPr>
                <w:rFonts w:ascii="Times;serif" w:hAnsi="Times;serif"/>
                <w:color w:val="008000"/>
                <w:position w:val="7"/>
                <w:sz w:val="16"/>
                <w:sz w:val="20"/>
                <w:shd w:fill="FFFFFF" w:val="clear"/>
              </w:rPr>
              <w:t>(1)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reported in Column 5 as beneficially owned following the transactions reported on this form reflect a correction to the reporting person's total beneficial ownership. An amendment filed on April 4, 2025 corrected the reporting person's total beneficial ownership as of that date, but that corrected total was not carried forward into the reporting person's Form 4 filings for the period between the date of the amendment and this filing. Accordingly, the amount reported in Column 5 of this form reflects the correct total beneficial ownership since the April 4, 2025 amendment, together with additional shares issued upon vesting of previously accrued DEUs. The total beneficial ownership number also includes 52,680 shares subject to currently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Gilman, P/O/A for Gina M. Goetter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8057" TargetMode="External"/><Relationship Id="rId5" Type="http://schemas.openxmlformats.org/officeDocument/2006/relationships/hyperlink" Target="http://www.sec.gov/cgi-bin/browse-edgar?action=getcompany&amp;CIK=00000460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3773</Characters>
  <CharactersWithSpaces>4397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