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April 2, 2023</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2" w:lineRule="exact"/>
        <w:rPr>
          <w:sz w:val="24"/>
          <w:szCs w:val="24"/>
          <w:color w:val="auto"/>
        </w:rPr>
      </w:pPr>
    </w:p>
    <w:p>
      <w:pPr>
        <w:ind w:left="4360" w:right="1400" w:hanging="4136"/>
        <w:spacing w:after="0" w:line="383" w:lineRule="auto"/>
        <w:tabs>
          <w:tab w:leader="none" w:pos="62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1-6682</w:t>
      </w:r>
    </w:p>
    <w:p>
      <w:pPr>
        <w:ind w:left="4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__________________</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HASBRO, INC.</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36"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Rhode Island</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05-0155090</w:t>
      </w:r>
    </w:p>
    <w:p>
      <w:pPr>
        <w:spacing w:after="0" w:line="77" w:lineRule="exact"/>
        <w:rPr>
          <w:sz w:val="24"/>
          <w:szCs w:val="24"/>
          <w:color w:val="auto"/>
        </w:rPr>
      </w:pPr>
    </w:p>
    <w:p>
      <w:pPr>
        <w:sectPr>
          <w:pgSz w:w="11900" w:h="16838" w:orient="portrait"/>
          <w:cols w:equalWidth="0" w:num="2">
            <w:col w:w="7220" w:space="720"/>
            <w:col w:w="3240"/>
          </w:cols>
          <w:pgMar w:left="320" w:top="994" w:right="399" w:bottom="1440" w:gutter="0" w:footer="0" w:header="0"/>
          <w:type w:val="continuous"/>
        </w:sectPr>
      </w:pPr>
    </w:p>
    <w:p>
      <w:pPr>
        <w:ind w:left="7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52" w:lineRule="exact"/>
        <w:rPr>
          <w:sz w:val="24"/>
          <w:szCs w:val="24"/>
          <w:color w:val="auto"/>
        </w:rPr>
      </w:pPr>
    </w:p>
    <w:p>
      <w:pPr>
        <w:sectPr>
          <w:pgSz w:w="11900" w:h="16838" w:orient="portrait"/>
          <w:cols w:equalWidth="0" w:num="2">
            <w:col w:w="6340" w:space="720"/>
            <w:col w:w="4120"/>
          </w:cols>
          <w:pgMar w:left="320" w:top="994" w:right="399" w:bottom="1440" w:gutter="0" w:footer="0" w:header="0"/>
          <w:type w:val="continuous"/>
        </w:sectPr>
      </w:pPr>
    </w:p>
    <w:p>
      <w:pPr>
        <w:ind w:left="2060"/>
        <w:spacing w:after="0"/>
        <w:rPr>
          <w:sz w:val="20"/>
          <w:szCs w:val="20"/>
          <w:color w:val="auto"/>
        </w:rPr>
      </w:pPr>
      <w:r>
        <w:rPr>
          <w:rFonts w:ascii="Arial" w:cs="Arial" w:eastAsia="Arial" w:hAnsi="Arial"/>
          <w:sz w:val="16"/>
          <w:szCs w:val="16"/>
          <w:b w:val="1"/>
          <w:bCs w:val="1"/>
          <w:color w:val="auto"/>
        </w:rPr>
        <w:t>1027 Newport Avenue</w:t>
      </w:r>
    </w:p>
    <w:p>
      <w:pPr>
        <w:sectPr>
          <w:pgSz w:w="11900" w:h="16838" w:orient="portrait"/>
          <w:cols w:equalWidth="0" w:num="1">
            <w:col w:w="11180"/>
          </w:cols>
          <w:pgMar w:left="320" w:top="994" w:right="399" w:bottom="1440" w:gutter="0" w:footer="0" w:header="0"/>
          <w:type w:val="continuous"/>
        </w:sectPr>
      </w:pPr>
    </w:p>
    <w:p>
      <w:pPr>
        <w:spacing w:after="0" w:line="73"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Pawtucket, Rhode Island</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02861</w:t>
      </w:r>
    </w:p>
    <w:p>
      <w:pPr>
        <w:spacing w:after="0" w:line="77" w:lineRule="exact"/>
        <w:rPr>
          <w:sz w:val="24"/>
          <w:szCs w:val="24"/>
          <w:color w:val="auto"/>
        </w:rPr>
      </w:pPr>
    </w:p>
    <w:p>
      <w:pPr>
        <w:sectPr>
          <w:pgSz w:w="11900" w:h="16838" w:orient="portrait"/>
          <w:cols w:equalWidth="0" w:num="2">
            <w:col w:w="7420" w:space="720"/>
            <w:col w:w="3040"/>
          </w:cols>
          <w:pgMar w:left="320" w:top="994" w:right="39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77"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(401) 431-8697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24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4"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4200" w:space="720"/>
            <w:col w:w="1640" w:space="720"/>
            <w:col w:w="3900"/>
          </w:cols>
          <w:pgMar w:left="320" w:top="994" w:right="399" w:bottom="1440" w:gutter="0" w:footer="0" w:header="0"/>
          <w:type w:val="continuous"/>
        </w:sectPr>
      </w:pPr>
    </w:p>
    <w:p>
      <w:pPr>
        <w:ind w:left="740"/>
        <w:spacing w:after="0"/>
        <w:rPr>
          <w:sz w:val="20"/>
          <w:szCs w:val="20"/>
          <w:color w:val="auto"/>
        </w:rPr>
      </w:pPr>
      <w:r>
        <w:rPr>
          <w:rFonts w:ascii="Arial" w:cs="Arial" w:eastAsia="Arial" w:hAnsi="Arial"/>
          <w:sz w:val="16"/>
          <w:szCs w:val="16"/>
          <w:b w:val="1"/>
          <w:bCs w:val="1"/>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Global Select Market</w:t>
      </w:r>
    </w:p>
    <w:p>
      <w:pPr>
        <w:spacing w:after="0" w:line="150" w:lineRule="exact"/>
        <w:rPr>
          <w:sz w:val="24"/>
          <w:szCs w:val="24"/>
          <w:color w:val="auto"/>
        </w:rPr>
      </w:pPr>
    </w:p>
    <w:p>
      <w:pPr>
        <w:sectPr>
          <w:pgSz w:w="11900" w:h="16838" w:orient="portrait"/>
          <w:cols w:equalWidth="0" w:num="3">
            <w:col w:w="4700" w:space="720"/>
            <w:col w:w="1480" w:space="720"/>
            <w:col w:w="3560"/>
          </w:cols>
          <w:pgMar w:left="320" w:top="994" w:right="399" w:bottom="1440" w:gutter="0" w:footer="0" w:header="0"/>
          <w:type w:val="continuous"/>
        </w:sectPr>
      </w:pPr>
    </w:p>
    <w:p>
      <w:pPr>
        <w:jc w:val="both"/>
        <w:ind w:firstLine="567"/>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9" w:lineRule="exact"/>
        <w:rPr>
          <w:sz w:val="24"/>
          <w:szCs w:val="24"/>
          <w:color w:val="auto"/>
        </w:rPr>
      </w:pPr>
    </w:p>
    <w:p>
      <w:pPr>
        <w:ind w:right="240" w:firstLine="567"/>
        <w:spacing w:after="0" w:line="32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1" w:lineRule="exact"/>
        <w:rPr>
          <w:sz w:val="24"/>
          <w:szCs w:val="24"/>
          <w:color w:val="auto"/>
        </w:rPr>
      </w:pPr>
    </w:p>
    <w:p>
      <w:pPr>
        <w:ind w:right="10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660" w:type="dxa"/>
        <w:tblCellMar>
          <w:top w:w="0" w:type="dxa"/>
          <w:left w:w="0" w:type="dxa"/>
          <w:bottom w:w="0" w:type="dxa"/>
          <w:right w:w="0" w:type="dxa"/>
        </w:tblCellMar>
      </w:tblPr>
      <w:tr>
        <w:trPr>
          <w:trHeight w:val="257"/>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320"/>
              <w:spacing w:after="0"/>
              <w:rPr>
                <w:sz w:val="20"/>
                <w:szCs w:val="20"/>
                <w:color w:val="auto"/>
              </w:rPr>
            </w:pPr>
            <w:r>
              <w:rPr>
                <w:rFonts w:ascii="Arial" w:cs="Arial" w:eastAsia="Arial" w:hAnsi="Arial"/>
                <w:sz w:val="18"/>
                <w:szCs w:val="18"/>
                <w:color w:val="auto"/>
              </w:rPr>
              <w:t>x</w:t>
            </w:r>
          </w:p>
        </w:tc>
        <w:tc>
          <w:tcPr>
            <w:tcW w:w="422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2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80" w:firstLine="567"/>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7" w:lineRule="exact"/>
        <w:rPr>
          <w:sz w:val="24"/>
          <w:szCs w:val="24"/>
          <w:color w:val="auto"/>
        </w:rPr>
      </w:pPr>
    </w:p>
    <w:p>
      <w:pPr>
        <w:ind w:left="580"/>
        <w:spacing w:after="0" w:line="207" w:lineRule="exact"/>
        <w:tabs>
          <w:tab w:leader="none" w:pos="91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1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The number of shares of Common Stock, par value $.50 per share, outstanding as of April 27, 2023 was 138,608,781.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2529"/>
        </w:rPr>
        <w:t>Forward Looking Statement Safe Harbor</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12529"/>
        </w:rPr>
        <w:t xml:space="preserve">Certain statements in this Form 10-Q contain "forward-looking statements" within the meaning of the Private Securities Litigation Reform Act of 1995. These statements, which may be identified by the use of forward-looking words or phrases, include statements relating to: </w:t>
      </w:r>
      <w:r>
        <w:rPr>
          <w:rFonts w:ascii="Arial" w:cs="Arial" w:eastAsia="Arial" w:hAnsi="Arial"/>
          <w:sz w:val="17"/>
          <w:szCs w:val="17"/>
          <w:color w:val="000000"/>
        </w:rPr>
        <w:t>our business and marketing</w:t>
      </w:r>
      <w:r>
        <w:rPr>
          <w:rFonts w:ascii="Arial" w:cs="Arial" w:eastAsia="Arial" w:hAnsi="Arial"/>
          <w:sz w:val="17"/>
          <w:szCs w:val="17"/>
          <w:color w:val="212529"/>
        </w:rPr>
        <w:t xml:space="preserve"> </w:t>
      </w:r>
      <w:r>
        <w:rPr>
          <w:rFonts w:ascii="Arial" w:cs="Arial" w:eastAsia="Arial" w:hAnsi="Arial"/>
          <w:sz w:val="17"/>
          <w:szCs w:val="17"/>
          <w:color w:val="000000"/>
        </w:rPr>
        <w:t xml:space="preserve">strategies; anticipated payments to be received for content, expected financial performance or business prospects in future periods; the development and timing of planned consumer and digital gaming products and entertainment releases; changes in leadership; expected benefits and cost-savings resulting from the Company’s Operational Excellence Program; expected benefits and cost-reductions from certain restructuring actions and divestiture of non-core businesses or assets, such as parts of the Entertainment One film and television business; inventory; capital expenditures; working capital; cash flow and liquidity; timing of and amount of repayment of indebtedness and production financings; capital allocation strategy, including plans for dividends and share repurchases; and other financial, tax, accounting and similar matters. </w:t>
      </w:r>
      <w:r>
        <w:rPr>
          <w:rFonts w:ascii="Arial" w:cs="Arial" w:eastAsia="Arial" w:hAnsi="Arial"/>
          <w:sz w:val="17"/>
          <w:szCs w:val="17"/>
          <w:color w:val="212529"/>
        </w:rPr>
        <w:t>Our actual actions or results may differ materially from those expected or anticipated</w:t>
      </w:r>
      <w:r>
        <w:rPr>
          <w:rFonts w:ascii="Arial" w:cs="Arial" w:eastAsia="Arial" w:hAnsi="Arial"/>
          <w:sz w:val="17"/>
          <w:szCs w:val="17"/>
          <w:color w:val="000000"/>
        </w:rPr>
        <w:t xml:space="preserve"> </w:t>
      </w:r>
      <w:r>
        <w:rPr>
          <w:rFonts w:ascii="Arial" w:cs="Arial" w:eastAsia="Arial" w:hAnsi="Arial"/>
          <w:sz w:val="17"/>
          <w:szCs w:val="17"/>
          <w:color w:val="212529"/>
        </w:rPr>
        <w:t>in the forward-looking statements due to both known and unknown risks and uncertainties. Factors that might cause such a difference include, but are not limited to:</w:t>
      </w:r>
    </w:p>
    <w:p>
      <w:pPr>
        <w:spacing w:after="0" w:line="64" w:lineRule="exact"/>
        <w:rPr>
          <w:sz w:val="20"/>
          <w:szCs w:val="20"/>
          <w:color w:val="auto"/>
        </w:rPr>
      </w:pPr>
    </w:p>
    <w:p>
      <w:pPr>
        <w:ind w:left="660" w:right="20" w:hanging="328"/>
        <w:spacing w:after="0" w:line="23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execute on our Blueprint 2.0 strategy, including to focus on and scale select business initiatives and brands to drive profitability;</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design, develop, manufacture, and ship products on a timely, cost-effective and profitable basis;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compete in the global play and entertainment industry;</w:t>
      </w:r>
    </w:p>
    <w:p>
      <w:pPr>
        <w:spacing w:after="0" w:line="6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ability to successfully evolve and transform our business and capabilities to successfully address the global consumer landscape;</w:t>
      </w:r>
    </w:p>
    <w:p>
      <w:pPr>
        <w:spacing w:after="0" w:line="80" w:lineRule="exact"/>
        <w:rPr>
          <w:rFonts w:ascii="Arial" w:cs="Arial" w:eastAsia="Arial" w:hAnsi="Arial"/>
          <w:sz w:val="21"/>
          <w:szCs w:val="21"/>
          <w:color w:val="auto"/>
        </w:rPr>
      </w:pPr>
    </w:p>
    <w:p>
      <w:pPr>
        <w:jc w:val="both"/>
        <w:ind w:left="660" w:hanging="328"/>
        <w:spacing w:after="0" w:line="23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inflation and downturns in global and regional economic conditions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spacing w:after="0" w:line="8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dependence on third party relationships, including with third party manufacturers, licensors of brands, studios, content producers and entertainment distribution channels;</w:t>
      </w:r>
    </w:p>
    <w:p>
      <w:pPr>
        <w:spacing w:after="0" w:line="81" w:lineRule="exact"/>
        <w:rPr>
          <w:rFonts w:ascii="Arial" w:cs="Arial" w:eastAsia="Arial" w:hAnsi="Arial"/>
          <w:sz w:val="22"/>
          <w:szCs w:val="22"/>
          <w:color w:val="auto"/>
        </w:rPr>
      </w:pPr>
    </w:p>
    <w:p>
      <w:pPr>
        <w:ind w:left="660" w:right="220" w:hanging="328"/>
        <w:spacing w:after="0" w:line="24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risk that any strike by, or lockout of, one or more of the unions that provide personnel essential to the production of films or television programs, such as the strike by the writers’ union in May 2023, could delay or halt our ongoing production activities; halts or delays, depending on the length of time, could cause a delay or interruption in our release of new films and television programs, which could impact our entertainment business;</w:t>
      </w:r>
    </w:p>
    <w:p>
      <w:pPr>
        <w:spacing w:after="0" w:line="7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relating to the concentration of manufacturing for many of our products in the People’s Republic of China and our ability to successfully diversify sourcing of our products to reduce reliance on sources of supply in China;</w:t>
      </w:r>
    </w:p>
    <w:p>
      <w:pPr>
        <w:spacing w:after="0" w:line="81"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related to economic and public health conditions or regulatory changes in the markets in which we and our customers, partners, licensees, suppliers and manufacturers operate, such as inflation, rising interest rates, higher commodity prices, labor costs or transportation costs, the coronavirus or other outbreaks of disease, the occurrence of which could create work slowdowns, delays or shortages in production or shipment of products, increases in costs or delays in revenue;</w:t>
      </w:r>
    </w:p>
    <w:p>
      <w:pPr>
        <w:spacing w:after="0" w:line="80" w:lineRule="exact"/>
        <w:rPr>
          <w:rFonts w:ascii="Arial" w:cs="Arial" w:eastAsia="Arial" w:hAnsi="Arial"/>
          <w:sz w:val="22"/>
          <w:szCs w:val="22"/>
          <w:color w:val="auto"/>
        </w:rPr>
      </w:pPr>
    </w:p>
    <w:p>
      <w:pPr>
        <w:ind w:left="660" w:hanging="328"/>
        <w:spacing w:after="0" w:line="251"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7"/>
          <w:szCs w:val="17"/>
          <w:color w:val="auto"/>
        </w:rPr>
        <w:t>risks associated with international operations, such as currency conversion, currency fluctuations, the imposition of tariffs, quotas, shipping delays or difficulties, border adjustment taxes or other protectionist measures, and other challenges in the territories in which we operate;</w:t>
      </w:r>
    </w:p>
    <w:p>
      <w:pPr>
        <w:spacing w:after="0" w:line="69" w:lineRule="exact"/>
        <w:rPr>
          <w:rFonts w:ascii="Arial" w:cs="Arial" w:eastAsia="Arial" w:hAnsi="Arial"/>
          <w:sz w:val="21"/>
          <w:szCs w:val="21"/>
          <w:color w:val="auto"/>
        </w:rPr>
      </w:pPr>
    </w:p>
    <w:p>
      <w:pPr>
        <w:ind w:left="660" w:hanging="328"/>
        <w:spacing w:after="0" w:line="251"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46"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related to our leadership changes;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attract and retain talented and diverse employees;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realize the benefits of cost-savings and efficiency and/or revenue and operating profit enhancing initiatives;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relating to the impairment and/or write-offs of products and content we acquire and produce;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 w:name="page3"/>
    <w:bookmarkEnd w:id="2"/>
    <w:p>
      <w:pPr>
        <w:jc w:val="both"/>
        <w:ind w:left="660" w:hanging="328"/>
        <w:spacing w:after="0" w:line="23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risk that acquisitions, dispositions and other investments we complete may not provide us with the benefits we expect, or the realization of such benefits may be significantly delayed. We may not achieve a successful sale or license of non-core assets, including certain film and television assets;</w:t>
      </w:r>
    </w:p>
    <w:p>
      <w:pPr>
        <w:spacing w:after="0" w:line="8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protect our assets and intellectual property, including as a result of infringement, theft, misappropriation, cyber-attacks or other acts compromising the integrity of our assets or intellectual property;</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fluctuations in our business due to seasonality;</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risk of product recalls or product liability suits and costs associated with product safety regulations;</w:t>
      </w:r>
    </w:p>
    <w:p>
      <w:pPr>
        <w:spacing w:after="0" w:line="80"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in tax laws or regulations, or the interpretation and application of such laws and regulations, which may cause us to alter tax reserves or make other changes which significantly impact our reported financial results;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impact of litigation or arbitration decisions or settlement actions;</w:t>
      </w:r>
    </w:p>
    <w:p>
      <w:pPr>
        <w:spacing w:after="0" w:line="80"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bankruptcy or other lack of success of one or more of our significant retailers, licensees and other partners; and</w:t>
      </w:r>
    </w:p>
    <w:p>
      <w:pPr>
        <w:spacing w:after="0" w:line="9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19"/>
          <w:szCs w:val="19"/>
          <w:color w:val="auto"/>
        </w:rPr>
      </w:pPr>
      <w:r>
        <w:rPr>
          <w:rFonts w:ascii="Arial" w:cs="Arial" w:eastAsia="Arial" w:hAnsi="Arial"/>
          <w:sz w:val="16"/>
          <w:szCs w:val="16"/>
          <w:color w:val="auto"/>
        </w:rPr>
        <w:t>other risks and uncertainties as may be detailed in our public announcements and U.S. Securities and Exchange Commission (“SEC”) filings.</w:t>
      </w:r>
    </w:p>
    <w:p>
      <w:pPr>
        <w:spacing w:after="0" w:line="106" w:lineRule="exact"/>
        <w:rPr>
          <w:sz w:val="20"/>
          <w:szCs w:val="20"/>
          <w:color w:val="auto"/>
        </w:rPr>
      </w:pPr>
    </w:p>
    <w:p>
      <w:pPr>
        <w:spacing w:after="0" w:line="342" w:lineRule="auto"/>
        <w:rPr>
          <w:sz w:val="20"/>
          <w:szCs w:val="20"/>
          <w:color w:val="auto"/>
        </w:rPr>
      </w:pPr>
      <w:r>
        <w:rPr>
          <w:rFonts w:ascii="Arial" w:cs="Arial" w:eastAsia="Arial" w:hAnsi="Arial"/>
          <w:sz w:val="16"/>
          <w:szCs w:val="16"/>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right"/>
        <w:ind w:right="180"/>
        <w:spacing w:after="0"/>
        <w:tabs>
          <w:tab w:leader="none" w:pos="2260" w:val="left"/>
          <w:tab w:leader="none" w:pos="940" w:val="left"/>
        </w:tabs>
        <w:rPr>
          <w:sz w:val="20"/>
          <w:szCs w:val="20"/>
          <w:color w:val="auto"/>
        </w:rPr>
      </w:pPr>
      <w:r>
        <w:rPr>
          <w:rFonts w:ascii="Arial" w:cs="Arial" w:eastAsia="Arial" w:hAnsi="Arial"/>
          <w:sz w:val="16"/>
          <w:szCs w:val="16"/>
          <w:b w:val="1"/>
          <w:bCs w:val="1"/>
          <w:color w:val="auto"/>
        </w:rPr>
        <w:t>April 2,</w:t>
      </w:r>
      <w:r>
        <w:rPr>
          <w:sz w:val="20"/>
          <w:szCs w:val="20"/>
          <w:color w:val="auto"/>
        </w:rPr>
        <w:tab/>
      </w:r>
      <w:r>
        <w:rPr>
          <w:rFonts w:ascii="Arial" w:cs="Arial" w:eastAsia="Arial" w:hAnsi="Arial"/>
          <w:sz w:val="16"/>
          <w:szCs w:val="16"/>
          <w:b w:val="1"/>
          <w:bCs w:val="1"/>
          <w:color w:val="auto"/>
        </w:rPr>
        <w:t>March 27,</w:t>
      </w:r>
      <w:r>
        <w:rPr>
          <w:sz w:val="20"/>
          <w:szCs w:val="20"/>
          <w:color w:val="auto"/>
        </w:rPr>
        <w:tab/>
      </w:r>
      <w:r>
        <w:rPr>
          <w:rFonts w:ascii="Arial" w:cs="Arial" w:eastAsia="Arial" w:hAnsi="Arial"/>
          <w:sz w:val="14"/>
          <w:szCs w:val="14"/>
          <w:b w:val="1"/>
          <w:bCs w:val="1"/>
          <w:color w:val="auto"/>
        </w:rPr>
        <w:t>December 25,</w:t>
      </w:r>
    </w:p>
    <w:p>
      <w:pPr>
        <w:ind w:left="7540"/>
        <w:spacing w:after="0"/>
        <w:tabs>
          <w:tab w:leader="none" w:pos="8960" w:val="left"/>
          <w:tab w:leader="none" w:pos="1040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ASSETS</w:t>
      </w:r>
    </w:p>
    <w:p>
      <w:pPr>
        <w:sectPr>
          <w:pgSz w:w="11900" w:h="16838" w:orient="portrait"/>
          <w:cols w:equalWidth="0" w:num="1">
            <w:col w:w="11240"/>
          </w:cols>
          <w:pgMar w:left="320" w:top="1066"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Cash and cash equivalents including restricted cash of $13.4 million, $38.8 million and</w:t>
      </w:r>
    </w:p>
    <w:p>
      <w:pPr>
        <w:spacing w:after="0" w:line="35" w:lineRule="exact"/>
        <w:rPr>
          <w:sz w:val="20"/>
          <w:szCs w:val="20"/>
          <w:color w:val="auto"/>
        </w:rPr>
      </w:pPr>
    </w:p>
    <w:p>
      <w:pPr>
        <w:ind w:left="460"/>
        <w:spacing w:after="0"/>
        <w:tabs>
          <w:tab w:leader="none" w:pos="7020" w:val="left"/>
        </w:tabs>
        <w:rPr>
          <w:sz w:val="20"/>
          <w:szCs w:val="20"/>
          <w:color w:val="auto"/>
        </w:rPr>
      </w:pPr>
      <w:r>
        <w:rPr>
          <w:rFonts w:ascii="Arial" w:cs="Arial" w:eastAsia="Arial" w:hAnsi="Arial"/>
          <w:sz w:val="18"/>
          <w:szCs w:val="18"/>
          <w:color w:val="auto"/>
        </w:rPr>
        <w:t>$14.5 million</w:t>
      </w:r>
      <w:r>
        <w:rPr>
          <w:sz w:val="20"/>
          <w:szCs w:val="20"/>
          <w:color w:val="auto"/>
        </w:rPr>
        <w:tab/>
      </w:r>
      <w:r>
        <w:rPr>
          <w:rFonts w:ascii="Arial" w:cs="Arial" w:eastAsia="Arial" w:hAnsi="Arial"/>
          <w:sz w:val="17"/>
          <w:szCs w:val="17"/>
          <w:color w:val="auto"/>
        </w:rPr>
        <w:t>$</w:t>
      </w:r>
    </w:p>
    <w:p>
      <w:pPr>
        <w:spacing w:after="0" w:line="49" w:lineRule="exact"/>
        <w:rPr>
          <w:sz w:val="20"/>
          <w:szCs w:val="20"/>
          <w:color w:val="auto"/>
        </w:rPr>
      </w:pPr>
    </w:p>
    <w:p>
      <w:pPr>
        <w:ind w:left="460" w:right="240"/>
        <w:spacing w:after="0" w:line="273" w:lineRule="auto"/>
        <w:rPr>
          <w:sz w:val="20"/>
          <w:szCs w:val="20"/>
          <w:color w:val="auto"/>
        </w:rPr>
      </w:pPr>
      <w:r>
        <w:rPr>
          <w:rFonts w:ascii="Arial" w:cs="Arial" w:eastAsia="Arial" w:hAnsi="Arial"/>
          <w:sz w:val="18"/>
          <w:szCs w:val="18"/>
          <w:color w:val="auto"/>
        </w:rPr>
        <w:t>Accounts receivable, less allowance for doubtful accounts of $21.7 million, $24.1 million and $20.0 million</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 current assets</w:t>
      </w:r>
    </w:p>
    <w:p>
      <w:pPr>
        <w:spacing w:after="0" w:line="36" w:lineRule="exact"/>
        <w:rPr>
          <w:sz w:val="20"/>
          <w:szCs w:val="20"/>
          <w:color w:val="auto"/>
        </w:rPr>
      </w:pPr>
    </w:p>
    <w:p>
      <w:pPr>
        <w:ind w:left="20" w:right="240"/>
        <w:spacing w:after="0" w:line="273" w:lineRule="auto"/>
        <w:rPr>
          <w:sz w:val="20"/>
          <w:szCs w:val="20"/>
          <w:color w:val="auto"/>
        </w:rPr>
      </w:pPr>
      <w:r>
        <w:rPr>
          <w:rFonts w:ascii="Arial" w:cs="Arial" w:eastAsia="Arial" w:hAnsi="Arial"/>
          <w:sz w:val="18"/>
          <w:szCs w:val="18"/>
          <w:color w:val="auto"/>
        </w:rPr>
        <w:t>Property, plant and equipment, less accumulated depreciation of $637.8 million, $641.5 million and $654.5 million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5" w:lineRule="exact"/>
        <w:rPr>
          <w:sz w:val="20"/>
          <w:szCs w:val="20"/>
          <w:color w:val="auto"/>
        </w:rPr>
      </w:pPr>
    </w:p>
    <w:p>
      <w:pPr>
        <w:ind w:left="720" w:right="500" w:hanging="278"/>
        <w:spacing w:after="0" w:line="273" w:lineRule="auto"/>
        <w:rPr>
          <w:sz w:val="20"/>
          <w:szCs w:val="20"/>
          <w:color w:val="auto"/>
        </w:rPr>
      </w:pPr>
      <w:r>
        <w:rPr>
          <w:rFonts w:ascii="Arial" w:cs="Arial" w:eastAsia="Arial" w:hAnsi="Arial"/>
          <w:sz w:val="18"/>
          <w:szCs w:val="18"/>
          <w:color w:val="auto"/>
        </w:rPr>
        <w:t>Other intangible assets, net of accumulated amortization of $1,165.3 million, $1,075.2 million and $1,137.2 million</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Total assets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20" w:right="300"/>
        <w:spacing w:after="0" w:line="315" w:lineRule="auto"/>
        <w:rPr>
          <w:sz w:val="20"/>
          <w:szCs w:val="20"/>
          <w:color w:val="auto"/>
        </w:rPr>
      </w:pPr>
      <w:r>
        <w:rPr>
          <w:rFonts w:ascii="Arial" w:cs="Arial" w:eastAsia="Arial" w:hAnsi="Arial"/>
          <w:sz w:val="18"/>
          <w:szCs w:val="18"/>
          <w:b w:val="1"/>
          <w:bCs w:val="1"/>
          <w:u w:val="single" w:color="auto"/>
          <w:color w:val="auto"/>
        </w:rPr>
        <w:t xml:space="preserve">LIABILITIES, NONCONTROLLING INTERESTS AND SHAREHOLDERS' EQUITY </w:t>
      </w: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0"/>
        <w:spacing w:after="0" w:line="290" w:lineRule="auto"/>
        <w:rPr>
          <w:sz w:val="20"/>
          <w:szCs w:val="20"/>
          <w:color w:val="auto"/>
        </w:rPr>
      </w:pPr>
      <w:r>
        <w:rPr>
          <w:rFonts w:ascii="Arial" w:cs="Arial" w:eastAsia="Arial" w:hAnsi="Arial"/>
          <w:sz w:val="18"/>
          <w:szCs w:val="18"/>
          <w:color w:val="auto"/>
        </w:rPr>
        <w:t>Short-term borrowings $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386.2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1,057.9</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513.1</w:t>
            </w:r>
          </w:p>
        </w:tc>
      </w:tr>
      <w:tr>
        <w:trPr>
          <w:trHeight w:val="485"/>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685.2</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1,132.4</w:t>
            </w:r>
          </w:p>
        </w:tc>
      </w:t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713.4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676.8</w:t>
            </w:r>
          </w:p>
        </w:tc>
      </w:t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754.4</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w:t>
            </w:r>
          </w:p>
        </w:tc>
      </w:tr>
      <w:tr>
        <w:trPr>
          <w:trHeight w:val="224"/>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2,539.2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2,999.1</w:t>
            </w:r>
          </w:p>
        </w:tc>
      </w:tr>
      <w:tr>
        <w:trPr>
          <w:trHeight w:val="485"/>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509.1</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r>
      <w:tr>
        <w:trPr>
          <w:trHeight w:val="439"/>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3,470.1</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3,419.3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3,470.1</w:t>
            </w:r>
          </w:p>
        </w:tc>
      </w:tr>
      <w:tr>
        <w:trPr>
          <w:trHeight w:val="485"/>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801.0</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1,136.6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814.6</w:t>
            </w:r>
          </w:p>
        </w:tc>
      </w:t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1,604.3</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1,284.9</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1,589.3</w:t>
            </w:r>
          </w:p>
        </w:tc>
      </w:tr>
      <w:tr>
        <w:trPr>
          <w:trHeight w:val="223"/>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5,875.4</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5,874.0</w:t>
            </w:r>
          </w:p>
        </w:tc>
      </w:tr>
      <w:tr>
        <w:trPr>
          <w:trHeight w:val="223"/>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8,923.7</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9,295.9</w:t>
            </w:r>
          </w:p>
        </w:tc>
      </w:tr>
      <w:tr>
        <w:trPr>
          <w:trHeight w:val="20"/>
        </w:trPr>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77"/>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134.5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7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109.0</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7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360.1</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427.3</w:t>
            </w:r>
          </w:p>
        </w:tc>
      </w:tr>
      <w:tr>
        <w:trPr>
          <w:trHeight w:val="270"/>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1,293.8</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1,506.8</w:t>
            </w:r>
          </w:p>
        </w:tc>
      </w:tr>
      <w:tr>
        <w:trPr>
          <w:trHeight w:val="250"/>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1,897.4</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2,189.7</w:t>
            </w:r>
          </w:p>
        </w:tc>
      </w:tr>
      <w:tr>
        <w:trPr>
          <w:trHeight w:val="270"/>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3,682.4</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3,737.9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3,711.2</w:t>
            </w:r>
          </w:p>
        </w:tc>
      </w:tr>
      <w:tr>
        <w:trPr>
          <w:trHeight w:val="27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585.2</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-1559560</wp:posOffset>
            </wp:positionV>
            <wp:extent cx="848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-1713865</wp:posOffset>
            </wp:positionV>
            <wp:extent cx="8483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40" w:space="620"/>
            <w:col w:w="3480"/>
          </w:cols>
          <w:pgMar w:left="320" w:top="1066"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6,165.0</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6,414.5</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6,434.0</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4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sectPr>
          <w:pgSz w:w="11900" w:h="16838" w:orient="portrait"/>
          <w:cols w:equalWidth="0" w:num="1">
            <w:col w:w="11240"/>
          </w:cols>
          <w:pgMar w:left="320" w:top="1066"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Preference stock of $2.50 par value. Authorized 5,000,000 shares; none issued</w:t>
      </w:r>
    </w:p>
    <w:p>
      <w:pPr>
        <w:spacing w:after="0" w:line="63" w:lineRule="exact"/>
        <w:rPr>
          <w:sz w:val="20"/>
          <w:szCs w:val="20"/>
          <w:color w:val="auto"/>
        </w:rPr>
      </w:pPr>
    </w:p>
    <w:p>
      <w:pPr>
        <w:ind w:left="720" w:right="300" w:hanging="323"/>
        <w:spacing w:after="0" w:line="298" w:lineRule="auto"/>
        <w:rPr>
          <w:sz w:val="20"/>
          <w:szCs w:val="20"/>
          <w:color w:val="auto"/>
        </w:rPr>
      </w:pPr>
      <w:r>
        <w:rPr>
          <w:rFonts w:ascii="Arial" w:cs="Arial" w:eastAsia="Arial" w:hAnsi="Arial"/>
          <w:sz w:val="17"/>
          <w:szCs w:val="17"/>
          <w:color w:val="auto"/>
        </w:rPr>
        <w:t>Common stock of $0.50 par value. Authorized 600,000,000 shares; issued 220,286,736 shares at April 2, 2023, March 27, 2022, and December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ind w:left="720" w:right="20" w:hanging="323"/>
        <w:spacing w:after="0" w:line="277" w:lineRule="auto"/>
        <w:rPr>
          <w:sz w:val="20"/>
          <w:szCs w:val="20"/>
          <w:color w:val="auto"/>
        </w:rPr>
      </w:pPr>
      <w:r>
        <w:rPr>
          <w:rFonts w:ascii="Arial" w:cs="Arial" w:eastAsia="Arial" w:hAnsi="Arial"/>
          <w:sz w:val="18"/>
          <w:szCs w:val="18"/>
          <w:color w:val="auto"/>
        </w:rPr>
        <w:t>Treasury stock, at cost; 81,687,608 shares at April 2, 2023; 80,844,603 shares at March 27, 2022; and 82,106,383 shares at December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40"/>
        <w:spacing w:after="0"/>
        <w:tabs>
          <w:tab w:leader="none" w:pos="1860" w:val="left"/>
          <w:tab w:leader="none" w:pos="3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220"/>
        <w:spacing w:after="0"/>
        <w:tabs>
          <w:tab w:leader="none" w:pos="1640" w:val="left"/>
          <w:tab w:leader="none" w:pos="308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8"/>
          <w:szCs w:val="18"/>
          <w:color w:val="auto"/>
        </w:rPr>
        <w:t>110.1</w:t>
      </w:r>
      <w:r>
        <w:rPr>
          <w:sz w:val="20"/>
          <w:szCs w:val="20"/>
          <w:color w:val="auto"/>
        </w:rPr>
        <w:tab/>
      </w:r>
      <w:r>
        <w:rPr>
          <w:rFonts w:ascii="Arial" w:cs="Arial" w:eastAsia="Arial" w:hAnsi="Arial"/>
          <w:sz w:val="15"/>
          <w:szCs w:val="15"/>
          <w:color w:val="auto"/>
        </w:rPr>
        <w:t>110.1</w:t>
      </w:r>
    </w:p>
    <w:p>
      <w:pPr>
        <w:spacing w:after="0" w:line="63" w:lineRule="exact"/>
        <w:rPr>
          <w:sz w:val="20"/>
          <w:szCs w:val="20"/>
          <w:color w:val="auto"/>
        </w:rPr>
      </w:pPr>
    </w:p>
    <w:p>
      <w:pPr>
        <w:ind w:left="80"/>
        <w:spacing w:after="0"/>
        <w:tabs>
          <w:tab w:leader="none" w:pos="1500" w:val="left"/>
          <w:tab w:leader="none" w:pos="2920" w:val="left"/>
        </w:tabs>
        <w:rPr>
          <w:sz w:val="20"/>
          <w:szCs w:val="20"/>
          <w:color w:val="auto"/>
        </w:rPr>
      </w:pPr>
      <w:r>
        <w:rPr>
          <w:rFonts w:ascii="Arial" w:cs="Arial" w:eastAsia="Arial" w:hAnsi="Arial"/>
          <w:sz w:val="18"/>
          <w:szCs w:val="18"/>
          <w:color w:val="auto"/>
        </w:rPr>
        <w:t>2,535.7</w:t>
      </w:r>
      <w:r>
        <w:rPr>
          <w:sz w:val="20"/>
          <w:szCs w:val="20"/>
          <w:color w:val="auto"/>
        </w:rPr>
        <w:tab/>
      </w:r>
      <w:r>
        <w:rPr>
          <w:rFonts w:ascii="Arial" w:cs="Arial" w:eastAsia="Arial" w:hAnsi="Arial"/>
          <w:sz w:val="18"/>
          <w:szCs w:val="18"/>
          <w:color w:val="auto"/>
        </w:rPr>
        <w:t>2,475.7</w:t>
      </w:r>
      <w:r>
        <w:rPr>
          <w:sz w:val="20"/>
          <w:szCs w:val="20"/>
          <w:color w:val="auto"/>
        </w:rPr>
        <w:tab/>
      </w:r>
      <w:r>
        <w:rPr>
          <w:rFonts w:ascii="Arial" w:cs="Arial" w:eastAsia="Arial" w:hAnsi="Arial"/>
          <w:sz w:val="16"/>
          <w:szCs w:val="16"/>
          <w:color w:val="auto"/>
        </w:rPr>
        <w:t>2,540.6</w:t>
      </w:r>
    </w:p>
    <w:p>
      <w:pPr>
        <w:spacing w:after="0" w:line="63" w:lineRule="exact"/>
        <w:rPr>
          <w:sz w:val="20"/>
          <w:szCs w:val="20"/>
          <w:color w:val="auto"/>
        </w:rPr>
      </w:pPr>
    </w:p>
    <w:p>
      <w:pPr>
        <w:ind w:left="80"/>
        <w:spacing w:after="0"/>
        <w:tabs>
          <w:tab w:leader="none" w:pos="1500" w:val="left"/>
          <w:tab w:leader="none" w:pos="2920" w:val="left"/>
        </w:tabs>
        <w:rPr>
          <w:sz w:val="20"/>
          <w:szCs w:val="20"/>
          <w:color w:val="auto"/>
        </w:rPr>
      </w:pPr>
      <w:r>
        <w:rPr>
          <w:rFonts w:ascii="Arial" w:cs="Arial" w:eastAsia="Arial" w:hAnsi="Arial"/>
          <w:sz w:val="18"/>
          <w:szCs w:val="18"/>
          <w:color w:val="auto"/>
        </w:rPr>
        <w:t>3,951.8</w:t>
      </w:r>
      <w:r>
        <w:rPr>
          <w:sz w:val="20"/>
          <w:szCs w:val="20"/>
          <w:color w:val="auto"/>
        </w:rPr>
        <w:tab/>
      </w:r>
      <w:r>
        <w:rPr>
          <w:rFonts w:ascii="Arial" w:cs="Arial" w:eastAsia="Arial" w:hAnsi="Arial"/>
          <w:sz w:val="18"/>
          <w:szCs w:val="18"/>
          <w:color w:val="auto"/>
        </w:rPr>
        <w:t>4,220.9</w:t>
      </w:r>
      <w:r>
        <w:rPr>
          <w:sz w:val="20"/>
          <w:szCs w:val="20"/>
          <w:color w:val="auto"/>
        </w:rPr>
        <w:tab/>
      </w:r>
      <w:r>
        <w:rPr>
          <w:rFonts w:ascii="Arial" w:cs="Arial" w:eastAsia="Arial" w:hAnsi="Arial"/>
          <w:sz w:val="16"/>
          <w:szCs w:val="16"/>
          <w:color w:val="auto"/>
        </w:rPr>
        <w:t>4,071.4</w:t>
      </w:r>
    </w:p>
    <w:p>
      <w:pPr>
        <w:spacing w:after="0" w:line="63" w:lineRule="exact"/>
        <w:rPr>
          <w:sz w:val="20"/>
          <w:szCs w:val="20"/>
          <w:color w:val="auto"/>
        </w:rPr>
      </w:pPr>
    </w:p>
    <w:p>
      <w:pPr>
        <w:ind w:left="140"/>
        <w:spacing w:after="0"/>
        <w:tabs>
          <w:tab w:leader="none" w:pos="1560" w:val="left"/>
          <w:tab w:leader="none" w:pos="2980" w:val="left"/>
        </w:tabs>
        <w:rPr>
          <w:sz w:val="20"/>
          <w:szCs w:val="20"/>
          <w:color w:val="auto"/>
        </w:rPr>
      </w:pPr>
      <w:r>
        <w:rPr>
          <w:rFonts w:ascii="Arial" w:cs="Arial" w:eastAsia="Arial" w:hAnsi="Arial"/>
          <w:sz w:val="18"/>
          <w:szCs w:val="18"/>
          <w:color w:val="auto"/>
        </w:rPr>
        <w:t>(237.4)</w:t>
      </w:r>
      <w:r>
        <w:rPr>
          <w:sz w:val="20"/>
          <w:szCs w:val="20"/>
          <w:color w:val="auto"/>
        </w:rPr>
        <w:tab/>
      </w:r>
      <w:r>
        <w:rPr>
          <w:rFonts w:ascii="Arial" w:cs="Arial" w:eastAsia="Arial" w:hAnsi="Arial"/>
          <w:sz w:val="18"/>
          <w:szCs w:val="18"/>
          <w:color w:val="auto"/>
        </w:rPr>
        <w:t>(246.9)</w:t>
      </w:r>
      <w:r>
        <w:rPr>
          <w:sz w:val="20"/>
          <w:szCs w:val="20"/>
          <w:color w:val="auto"/>
        </w:rPr>
        <w:tab/>
      </w:r>
      <w:r>
        <w:rPr>
          <w:rFonts w:ascii="Arial" w:cs="Arial" w:eastAsia="Arial" w:hAnsi="Arial"/>
          <w:sz w:val="17"/>
          <w:szCs w:val="17"/>
          <w:color w:val="auto"/>
        </w:rPr>
        <w:t>(254.9)</w:t>
      </w:r>
    </w:p>
    <w:p>
      <w:pPr>
        <w:spacing w:after="0" w:line="279" w:lineRule="exact"/>
        <w:rPr>
          <w:sz w:val="20"/>
          <w:szCs w:val="20"/>
          <w:color w:val="auto"/>
        </w:rPr>
      </w:pPr>
    </w:p>
    <w:p>
      <w:pPr>
        <w:spacing w:after="0"/>
        <w:tabs>
          <w:tab w:leader="none" w:pos="1420" w:val="left"/>
          <w:tab w:leader="none" w:pos="2860" w:val="left"/>
        </w:tabs>
        <w:rPr>
          <w:sz w:val="20"/>
          <w:szCs w:val="20"/>
          <w:color w:val="auto"/>
        </w:rPr>
      </w:pPr>
      <w:r>
        <w:rPr>
          <w:rFonts w:ascii="Arial" w:cs="Arial" w:eastAsia="Arial" w:hAnsi="Arial"/>
          <w:sz w:val="18"/>
          <w:szCs w:val="18"/>
          <w:color w:val="auto"/>
        </w:rPr>
        <w:t>(3,629.4)</w:t>
      </w:r>
      <w:r>
        <w:rPr>
          <w:sz w:val="20"/>
          <w:szCs w:val="20"/>
          <w:color w:val="auto"/>
        </w:rPr>
        <w:tab/>
      </w:r>
      <w:r>
        <w:rPr>
          <w:rFonts w:ascii="Arial" w:cs="Arial" w:eastAsia="Arial" w:hAnsi="Arial"/>
          <w:sz w:val="18"/>
          <w:szCs w:val="18"/>
          <w:color w:val="auto"/>
        </w:rPr>
        <w:t>(3,513.8)</w:t>
      </w:r>
      <w:r>
        <w:rPr>
          <w:sz w:val="20"/>
          <w:szCs w:val="20"/>
          <w:color w:val="auto"/>
        </w:rPr>
        <w:tab/>
      </w:r>
      <w:r>
        <w:rPr>
          <w:rFonts w:ascii="Arial" w:cs="Arial" w:eastAsia="Arial" w:hAnsi="Arial"/>
          <w:sz w:val="16"/>
          <w:szCs w:val="16"/>
          <w:color w:val="auto"/>
        </w:rPr>
        <w:t>(3,634.4)</w:t>
      </w:r>
    </w:p>
    <w:p>
      <w:pPr>
        <w:spacing w:after="0" w:line="63" w:lineRule="exact"/>
        <w:rPr>
          <w:sz w:val="20"/>
          <w:szCs w:val="20"/>
          <w:color w:val="auto"/>
        </w:rPr>
      </w:pPr>
    </w:p>
    <w:p>
      <w:pPr>
        <w:ind w:left="300"/>
        <w:spacing w:after="0"/>
        <w:tabs>
          <w:tab w:leader="none" w:pos="1720" w:val="left"/>
          <w:tab w:leader="none" w:pos="316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8"/>
          <w:szCs w:val="18"/>
          <w:color w:val="auto"/>
        </w:rPr>
        <w:t>34.7</w:t>
      </w:r>
      <w:r>
        <w:rPr>
          <w:sz w:val="20"/>
          <w:szCs w:val="20"/>
          <w:color w:val="auto"/>
        </w:rPr>
        <w:tab/>
      </w:r>
      <w:r>
        <w:rPr>
          <w:rFonts w:ascii="Arial" w:cs="Arial" w:eastAsia="Arial" w:hAnsi="Arial"/>
          <w:sz w:val="15"/>
          <w:szCs w:val="15"/>
          <w:color w:val="auto"/>
        </w:rPr>
        <w:t>29.1</w:t>
      </w:r>
    </w:p>
    <w:p>
      <w:pPr>
        <w:spacing w:after="0" w:line="23" w:lineRule="exact"/>
        <w:rPr>
          <w:sz w:val="20"/>
          <w:szCs w:val="20"/>
          <w:color w:val="auto"/>
        </w:rPr>
      </w:pPr>
    </w:p>
    <w:p>
      <w:pPr>
        <w:sectPr>
          <w:pgSz w:w="11900" w:h="16838" w:orient="portrait"/>
          <w:cols w:equalWidth="0" w:num="2">
            <w:col w:w="6960" w:space="720"/>
            <w:col w:w="3560"/>
          </w:cols>
          <w:pgMar w:left="320" w:top="1066"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2,758.7</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3,080.7</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2,861.9</w:t>
            </w: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40"/>
          </w:cols>
          <w:pgMar w:left="320" w:top="1066" w:right="339" w:bottom="1440" w:gutter="0" w:footer="0" w:header="0"/>
          <w:type w:val="continuous"/>
        </w:sectPr>
      </w:pPr>
    </w:p>
    <w:p>
      <w:pPr>
        <w:spacing w:after="0"/>
        <w:rPr>
          <w:sz w:val="20"/>
          <w:szCs w:val="20"/>
          <w:color w:val="auto"/>
        </w:rPr>
      </w:pPr>
      <w:r>
        <w:rPr>
          <w:rFonts w:ascii="Arial" w:cs="Arial" w:eastAsia="Arial" w:hAnsi="Arial"/>
          <w:sz w:val="16"/>
          <w:szCs w:val="16"/>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26"/>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1"/>
                <w:szCs w:val="11"/>
                <w:color w:val="auto"/>
              </w:rPr>
            </w:pPr>
          </w:p>
        </w:tc>
        <w:tc>
          <w:tcPr>
            <w:tcW w:w="110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March 27,</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29"/>
        </w:trPr>
        <w:tc>
          <w:tcPr>
            <w:tcW w:w="8480" w:type="dxa"/>
            <w:vAlign w:val="bottom"/>
          </w:tcPr>
          <w:p>
            <w:pPr>
              <w:ind w:left="800"/>
              <w:spacing w:after="0"/>
              <w:rPr>
                <w:sz w:val="20"/>
                <w:szCs w:val="20"/>
                <w:color w:val="auto"/>
              </w:rPr>
            </w:pPr>
            <w:r>
              <w:rPr>
                <w:rFonts w:ascii="Arial" w:cs="Arial" w:eastAsia="Arial" w:hAnsi="Arial"/>
                <w:sz w:val="18"/>
                <w:szCs w:val="18"/>
                <w:color w:val="auto"/>
              </w:rPr>
              <w:t>Program cost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Royalties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9"/>
        </w:trPr>
        <w:tc>
          <w:tcPr>
            <w:tcW w:w="8480" w:type="dxa"/>
            <w:vAlign w:val="bottom"/>
          </w:tcPr>
          <w:p>
            <w:pPr>
              <w:ind w:left="80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8480" w:type="dxa"/>
            <w:vAlign w:val="bottom"/>
          </w:tcPr>
          <w:p>
            <w:pPr>
              <w:ind w:left="80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Selling, distribution and administration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0"/>
        </w:trPr>
        <w:tc>
          <w:tcPr>
            <w:tcW w:w="848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9"/>
        </w:trPr>
        <w:tc>
          <w:tcPr>
            <w:tcW w:w="8480" w:type="dxa"/>
            <w:vAlign w:val="bottom"/>
          </w:tcPr>
          <w:p>
            <w:pPr>
              <w:ind w:left="8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Total non-operating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Hasbro,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common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8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Pr>
          <w:p>
            <w:pPr>
              <w:ind w:left="20"/>
              <w:spacing w:after="0" w:line="203" w:lineRule="exact"/>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See accompanying condensed notes to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8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Quarter Ended</w:t>
            </w:r>
          </w:p>
        </w:tc>
      </w:tr>
      <w:tr>
        <w:trPr>
          <w:trHeight w:val="26"/>
        </w:trPr>
        <w:tc>
          <w:tcPr>
            <w:tcW w:w="8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8"/>
        </w:trPr>
        <w:tc>
          <w:tcPr>
            <w:tcW w:w="8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11"/>
                <w:szCs w:val="11"/>
                <w:color w:val="auto"/>
              </w:rPr>
            </w:pPr>
          </w:p>
        </w:tc>
        <w:tc>
          <w:tcPr>
            <w:tcW w:w="100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March 27,</w:t>
            </w:r>
          </w:p>
        </w:tc>
      </w:tr>
      <w:tr>
        <w:trPr>
          <w:trHeight w:val="196"/>
        </w:trPr>
        <w:tc>
          <w:tcPr>
            <w:tcW w:w="8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09"/>
        </w:trPr>
        <w:tc>
          <w:tcPr>
            <w:tcW w:w="8720" w:type="dxa"/>
            <w:vAlign w:val="bottom"/>
          </w:tcPr>
          <w:p>
            <w:pPr>
              <w:ind w:left="20"/>
              <w:spacing w:after="0"/>
              <w:rPr>
                <w:sz w:val="20"/>
                <w:szCs w:val="20"/>
                <w:color w:val="auto"/>
              </w:rPr>
            </w:pPr>
            <w:r>
              <w:rPr>
                <w:rFonts w:ascii="Arial" w:cs="Arial" w:eastAsia="Arial" w:hAnsi="Arial"/>
                <w:sz w:val="18"/>
                <w:szCs w:val="18"/>
                <w:color w:val="auto"/>
              </w:rPr>
              <w:t>Other comprehensive earnings (loss):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adjustments, net of tax</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720" w:type="dxa"/>
            <w:vAlign w:val="bottom"/>
          </w:tcPr>
          <w:p>
            <w:pPr>
              <w:ind w:left="640"/>
              <w:spacing w:after="0"/>
              <w:rPr>
                <w:sz w:val="20"/>
                <w:szCs w:val="20"/>
                <w:color w:val="auto"/>
              </w:rPr>
            </w:pPr>
            <w:r>
              <w:rPr>
                <w:rFonts w:ascii="Arial" w:cs="Arial" w:eastAsia="Arial" w:hAnsi="Arial"/>
                <w:sz w:val="18"/>
                <w:szCs w:val="18"/>
                <w:color w:val="auto"/>
              </w:rPr>
              <w:t>Unrealized holding gains on available-for-sale securities, net of tax</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losses on cash flow hedging activities, net of tax</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720" w:type="dxa"/>
            <w:vAlign w:val="bottom"/>
          </w:tcPr>
          <w:p>
            <w:pPr>
              <w:ind w:left="640"/>
              <w:spacing w:after="0"/>
              <w:rPr>
                <w:sz w:val="20"/>
                <w:szCs w:val="20"/>
                <w:color w:val="auto"/>
              </w:rPr>
            </w:pPr>
            <w:r>
              <w:rPr>
                <w:rFonts w:ascii="Arial" w:cs="Arial" w:eastAsia="Arial" w:hAnsi="Arial"/>
                <w:sz w:val="18"/>
                <w:szCs w:val="18"/>
                <w:color w:val="auto"/>
              </w:rPr>
              <w:t>Reclassifications to earnings, net of tax:</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Net gains on cash flow hedging activities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1160"/>
              <w:spacing w:after="0"/>
              <w:rPr>
                <w:sz w:val="20"/>
                <w:szCs w:val="20"/>
                <w:color w:val="auto"/>
              </w:rPr>
            </w:pPr>
            <w:r>
              <w:rPr>
                <w:rFonts w:ascii="Arial" w:cs="Arial" w:eastAsia="Arial" w:hAnsi="Arial"/>
                <w:sz w:val="18"/>
                <w:szCs w:val="18"/>
                <w:color w:val="auto"/>
              </w:rPr>
              <w:t>Amortization of unrecognized pension and postretirement amounts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earnings (loss), net of tax</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comprehensive earnings attributable to noncontrolling interests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earnings (loss) attributable to Hasbro,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23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9"/>
        </w:trPr>
        <w:tc>
          <w:tcPr>
            <w:tcW w:w="7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1"/>
                <w:szCs w:val="11"/>
                <w:color w:val="auto"/>
              </w:rPr>
            </w:pPr>
          </w:p>
        </w:tc>
        <w:tc>
          <w:tcPr>
            <w:tcW w:w="1100" w:type="dxa"/>
            <w:vAlign w:val="bottom"/>
          </w:tcPr>
          <w:p>
            <w:pPr>
              <w:jc w:val="right"/>
              <w:ind w:right="271"/>
              <w:spacing w:after="0" w:line="129" w:lineRule="exact"/>
              <w:rPr>
                <w:sz w:val="20"/>
                <w:szCs w:val="20"/>
                <w:color w:val="auto"/>
              </w:rPr>
            </w:pPr>
            <w:r>
              <w:rPr>
                <w:rFonts w:ascii="Arial" w:cs="Arial" w:eastAsia="Arial" w:hAnsi="Arial"/>
                <w:sz w:val="14"/>
                <w:szCs w:val="14"/>
                <w:b w:val="1"/>
                <w:bCs w:val="1"/>
                <w:color w:val="auto"/>
              </w:rPr>
              <w:t>March 27,</w:t>
            </w:r>
          </w:p>
        </w:tc>
      </w:tr>
      <w:tr>
        <w:trPr>
          <w:trHeight w:val="196"/>
        </w:trPr>
        <w:tc>
          <w:tcPr>
            <w:tcW w:w="79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980" w:type="dxa"/>
            <w:vAlign w:val="bottom"/>
          </w:tcPr>
          <w:p>
            <w:pPr>
              <w:ind w:left="540"/>
              <w:spacing w:after="0"/>
              <w:rPr>
                <w:sz w:val="20"/>
                <w:szCs w:val="20"/>
                <w:color w:val="auto"/>
              </w:rPr>
            </w:pPr>
            <w:r>
              <w:rPr>
                <w:rFonts w:ascii="Arial" w:cs="Arial" w:eastAsia="Arial" w:hAnsi="Arial"/>
                <w:sz w:val="18"/>
                <w:szCs w:val="18"/>
                <w:color w:val="auto"/>
              </w:rPr>
              <w:t>Depreciation of plant and equipment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Program cost amortization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non-cash items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Change in operating assets and liabilities net of acquired balances: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accounts receivable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r>
      <w:tr>
        <w:trPr>
          <w:trHeight w:val="229"/>
        </w:trPr>
        <w:tc>
          <w:tcPr>
            <w:tcW w:w="7980" w:type="dxa"/>
            <w:vAlign w:val="bottom"/>
          </w:tcPr>
          <w:p>
            <w:pPr>
              <w:ind w:left="540"/>
              <w:spacing w:after="0"/>
              <w:rPr>
                <w:sz w:val="20"/>
                <w:szCs w:val="20"/>
                <w:color w:val="auto"/>
              </w:rPr>
            </w:pPr>
            <w:r>
              <w:rPr>
                <w:rFonts w:ascii="Arial" w:cs="Arial" w:eastAsia="Arial" w:hAnsi="Arial"/>
                <w:sz w:val="18"/>
                <w:szCs w:val="18"/>
                <w:color w:val="auto"/>
              </w:rPr>
              <w:t>Increase in inventories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(Increase) decrease in prepaid expenses and other current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Program spend,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(169.4)</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accounts payable and accrued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r>
      <w:tr>
        <w:trPr>
          <w:trHeight w:val="230"/>
        </w:trPr>
        <w:tc>
          <w:tcPr>
            <w:tcW w:w="79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79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79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79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utilized by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from borrowings with maturity greater than three months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Repayments of borrowings with maturity greater than three months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(repayments) proceeds from other short-term borrowings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Stock-based compensation transactions</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29"/>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30"/>
        </w:trPr>
        <w:tc>
          <w:tcPr>
            <w:tcW w:w="7980" w:type="dxa"/>
            <w:vAlign w:val="bottom"/>
          </w:tcPr>
          <w:p>
            <w:pPr>
              <w:ind w:left="540"/>
              <w:spacing w:after="0"/>
              <w:rPr>
                <w:sz w:val="20"/>
                <w:szCs w:val="20"/>
                <w:color w:val="auto"/>
              </w:rPr>
            </w:pPr>
            <w:r>
              <w:rPr>
                <w:rFonts w:ascii="Arial" w:cs="Arial" w:eastAsia="Arial" w:hAnsi="Arial"/>
                <w:sz w:val="18"/>
                <w:szCs w:val="18"/>
                <w:color w:val="auto"/>
              </w:rPr>
              <w:t>Payments related to tax withholding for share-based compensation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98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Net cash utilized by financing activities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
        </w:trPr>
        <w:tc>
          <w:tcPr>
            <w:tcW w:w="79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paid during the period for: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980" w:type="dxa"/>
            <w:vAlign w:val="bottom"/>
          </w:tcPr>
          <w:p>
            <w:pPr>
              <w:ind w:left="98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79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86" w:right="5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April 2,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right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6"/>
              </w:rPr>
              <w:t>Total</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48"/>
              <w:spacing w:after="0" w:line="157"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Common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Additional</w:t>
            </w:r>
          </w:p>
        </w:tc>
        <w:tc>
          <w:tcPr>
            <w:tcW w:w="11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Retained</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Accumulated Other</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Treasury</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color w:val="auto"/>
                <w:w w:val="90"/>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2"/>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Balance, December 25, 2022</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2,861.9</w:t>
            </w:r>
          </w:p>
        </w:tc>
        <w:tc>
          <w:tcPr>
            <w:tcW w:w="1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Net loss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w w:val="99"/>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140"/>
              <w:spacing w:after="0" w:line="143"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40"/>
              <w:spacing w:after="0" w:line="149" w:lineRule="exact"/>
              <w:rPr>
                <w:sz w:val="20"/>
                <w:szCs w:val="20"/>
                <w:color w:val="auto"/>
              </w:rPr>
            </w:pPr>
            <w:r>
              <w:rPr>
                <w:rFonts w:ascii="Arial" w:cs="Arial" w:eastAsia="Arial" w:hAnsi="Arial"/>
                <w:sz w:val="14"/>
                <w:szCs w:val="14"/>
                <w:color w:val="auto"/>
              </w:rPr>
              <w:t>noncontrolling owners 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Buyout of redeemable</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840" w:type="dxa"/>
            <w:vAlign w:val="bottom"/>
          </w:tcPr>
          <w:p>
            <w:pPr>
              <w:ind w:left="20"/>
              <w:spacing w:after="0"/>
              <w:rPr>
                <w:sz w:val="20"/>
                <w:szCs w:val="20"/>
                <w:color w:val="auto"/>
              </w:rPr>
            </w:pPr>
            <w:r>
              <w:rPr>
                <w:rFonts w:ascii="Arial" w:cs="Arial" w:eastAsia="Arial" w:hAnsi="Arial"/>
                <w:sz w:val="14"/>
                <w:szCs w:val="14"/>
                <w:color w:val="auto"/>
              </w:rPr>
              <w:t>Balance, April 2,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2,535.7</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3,951.8</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(3,629.4)</w:t>
            </w: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2,758.7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4"/>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ind w:left="700"/>
              <w:spacing w:after="0"/>
              <w:rPr>
                <w:sz w:val="20"/>
                <w:szCs w:val="20"/>
                <w:color w:val="auto"/>
              </w:rPr>
            </w:pPr>
            <w:r>
              <w:rPr>
                <w:rFonts w:ascii="Arial" w:cs="Arial" w:eastAsia="Arial" w:hAnsi="Arial"/>
                <w:sz w:val="14"/>
                <w:szCs w:val="14"/>
                <w:b w:val="1"/>
                <w:bCs w:val="1"/>
                <w:color w:val="auto"/>
              </w:rPr>
              <w:t>Three Months Ended March 27, 2022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240"/>
              <w:spacing w:after="0" w:line="137" w:lineRule="exact"/>
              <w:rPr>
                <w:sz w:val="20"/>
                <w:szCs w:val="20"/>
                <w:color w:val="auto"/>
              </w:rPr>
            </w:pPr>
            <w:r>
              <w:rPr>
                <w:rFonts w:ascii="Arial" w:cs="Arial" w:eastAsia="Arial" w:hAnsi="Arial"/>
                <w:sz w:val="14"/>
                <w:szCs w:val="14"/>
                <w:color w:val="auto"/>
                <w:w w:val="96"/>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7"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Common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Additional</w:t>
            </w:r>
          </w:p>
        </w:tc>
        <w:tc>
          <w:tcPr>
            <w:tcW w:w="11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Retained</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Accumulated Other</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Treasury</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color w:val="auto"/>
                <w:w w:val="90"/>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2"/>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Balance, December 26, 2021</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3,063.1</w:t>
            </w:r>
          </w:p>
        </w:tc>
        <w:tc>
          <w:tcPr>
            <w:tcW w:w="12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w w:val="95"/>
              </w:rPr>
              <w:t>Net earnings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22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5"/>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20"/>
              <w:spacing w:after="0"/>
              <w:rPr>
                <w:sz w:val="20"/>
                <w:szCs w:val="20"/>
                <w:color w:val="auto"/>
              </w:rPr>
            </w:pPr>
            <w:r>
              <w:rPr>
                <w:rFonts w:ascii="Arial" w:cs="Arial" w:eastAsia="Arial" w:hAnsi="Arial"/>
                <w:sz w:val="14"/>
                <w:szCs w:val="14"/>
                <w:color w:val="auto"/>
                <w:w w:val="96"/>
              </w:rPr>
              <w:t>Change in put option value</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8"/>
              </w:rPr>
              <w:t>Other 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40" w:type="dxa"/>
            <w:vAlign w:val="bottom"/>
          </w:tcPr>
          <w:p>
            <w:pPr>
              <w:ind w:left="220"/>
              <w:spacing w:after="0" w:line="143" w:lineRule="exact"/>
              <w:rPr>
                <w:sz w:val="20"/>
                <w:szCs w:val="20"/>
                <w:color w:val="auto"/>
              </w:rPr>
            </w:pPr>
            <w:r>
              <w:rPr>
                <w:rFonts w:ascii="Arial" w:cs="Arial" w:eastAsia="Arial" w:hAnsi="Arial"/>
                <w:sz w:val="14"/>
                <w:szCs w:val="14"/>
                <w:color w:val="auto"/>
                <w:w w:val="94"/>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40" w:type="dxa"/>
            <w:vAlign w:val="bottom"/>
          </w:tcPr>
          <w:p>
            <w:pPr>
              <w:ind w:left="2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expense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20"/>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Distributions paid to</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7"/>
              </w:rPr>
              <w:t>noncontrolling owners and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8"/>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foreign exchange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840" w:type="dxa"/>
            <w:vAlign w:val="bottom"/>
          </w:tcPr>
          <w:p>
            <w:pPr>
              <w:ind w:left="20"/>
              <w:spacing w:after="0"/>
              <w:rPr>
                <w:sz w:val="20"/>
                <w:szCs w:val="20"/>
                <w:color w:val="auto"/>
              </w:rPr>
            </w:pPr>
            <w:r>
              <w:rPr>
                <w:rFonts w:ascii="Arial" w:cs="Arial" w:eastAsia="Arial" w:hAnsi="Arial"/>
                <w:sz w:val="14"/>
                <w:szCs w:val="14"/>
                <w:color w:val="auto"/>
              </w:rPr>
              <w:t>Balance, March 27,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2,475.7</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4,220.9</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(246.9)</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(3,513.8)</w:t>
            </w: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3,080.7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392"/>
        </w:trPr>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0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April 2, 2023 and March 27, 2022,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quarters ended April 2, 2023 and March 27, 2022 were 14-week and 13-week periods, respectively.</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results of operations for the quarter ended April 2, 2023 are not necessarily indicative of results to be expected for the full year 2023, nor were those of the comparable 2022 period representative of those actually experienced for the full year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significant accounting policies are summarized in note 1 to the consolidated financial statements included in the Company's Annual Report on Form 10-K for the year ended December 25, 2022 ("2022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Blueprint 2.0 and Operational Excellence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October 4, 2022, following a several months long strategic review of our business led by our CEO, the Company announced a go-forward strategic plan guided by our new Blueprint 2.0, a consumer-centric framework for bringing compelling and expansive brand experiences to audiences around the world. During the review, the Company identified opportunities to focus and scale its business, enhance operational excellence, including through specialized organizational programs and supply chain transformation, to drive growth and profit and enhance shareholder value. The Company is increasing strategic investment in its most valuable and profitable franchises across toys, games, entertainment and licensing, and exiting certain non-core aspects of the business.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TV and Film Business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212529"/>
        </w:rPr>
        <w:t>On November 17, 2022, the Company announced an authorization by Hasbro's Board of Directors to initiate a marketing process to explore a sale of parts of our eOne TV and film business that do not directly support the Company’s Branded Entertainment strategy. In the event a transaction were to occur, Hasbro is expected to maintain the capability to develop and produce animation, digital shorts, scripted TV and theatrical films for audiences related to core Hasbro IP. The family brands business, including the brands PEPPA PIG and PJ MASKS, is not expected to be part of any sale transaction involving parts of the eOne film and television business. The sale process was ongoing as of the close of the first quarter of 2023 however, there can be no assurance that the process will result in a sale.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Brand Portfolio Realignment</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212529"/>
        </w:rPr>
        <w:t>Effective for the first quarter 2023, we realigned our brand portfolios to correspond with the evolution of our Blueprint 2.0 strategy. We are focusing on fewer, bigger, more profitable brands that showcase our leadership in preschool toys, action figures and accessories, games, arts &amp; crafts, and outdoor action brands.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212529"/>
        </w:rPr>
        <w:t>Our new product categories beginning in the first quarter of 2023 are as follows:</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u w:val="single" w:color="auto"/>
          <w:color w:val="212529"/>
        </w:rPr>
        <w:t>Franchise Brands</w:t>
      </w:r>
      <w:r>
        <w:rPr>
          <w:rFonts w:ascii="Arial" w:cs="Arial" w:eastAsia="Arial" w:hAnsi="Arial"/>
          <w:sz w:val="17"/>
          <w:szCs w:val="17"/>
          <w:color w:val="212529"/>
        </w:rPr>
        <w:t xml:space="preserve"> - A refreshed group of our most financially significant brands which we consider to have the greatest long-term potential including DUNGEONS &amp; DRAGONS, Hasbro Gaming, MAGIC: THE GATHERING, NERF, PEPPA PIG, PLAY-DOH, and TRANSFORMERS.</w:t>
      </w:r>
    </w:p>
    <w:p>
      <w:pPr>
        <w:spacing w:after="0" w:line="3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u w:val="single" w:color="auto"/>
          <w:color w:val="212529"/>
        </w:rPr>
        <w:t>Partner Brands</w:t>
      </w:r>
      <w:r>
        <w:rPr>
          <w:rFonts w:ascii="Arial" w:cs="Arial" w:eastAsia="Arial" w:hAnsi="Arial"/>
          <w:sz w:val="18"/>
          <w:szCs w:val="18"/>
          <w:color w:val="212529"/>
        </w:rPr>
        <w:t xml:space="preserve"> - The Partner Brands category includes those brands we license from other parties such as Disney's STAR WARS and MARVEL brands as well as other partners, for which we develop toy and game products, with a focus on those key Partner Brands that give us the biggest growth potential and where we can lead and innovate in the category.</w:t>
      </w:r>
    </w:p>
    <w:p>
      <w:pPr>
        <w:spacing w:after="0" w:line="7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u w:val="single" w:color="auto"/>
          <w:color w:val="212529"/>
        </w:rPr>
        <w:t>Portfolio Brands</w:t>
      </w:r>
      <w:r>
        <w:rPr>
          <w:rFonts w:ascii="Arial" w:cs="Arial" w:eastAsia="Arial" w:hAnsi="Arial"/>
          <w:sz w:val="18"/>
          <w:szCs w:val="18"/>
          <w:color w:val="212529"/>
        </w:rPr>
        <w:t xml:space="preserve"> - Our Portfolio Brands category includes those brands we own or control which we feel have upside in revenue and profitability that have not yet grown to the significance of a franchise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 w:name="page10"/>
    <w:bookmarkEnd w:id="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212529"/>
        </w:rPr>
        <w:t>Non-Hasbro Branded Film &amp; TV</w:t>
      </w:r>
      <w:r>
        <w:rPr>
          <w:rFonts w:ascii="Arial" w:cs="Arial" w:eastAsia="Arial" w:hAnsi="Arial"/>
          <w:sz w:val="18"/>
          <w:szCs w:val="18"/>
          <w:color w:val="212529"/>
        </w:rPr>
        <w:t xml:space="preserve"> - The Non-Hasbro Branded Film &amp; TV category includes non-Hasbro-branded film, TV and other entertainment related revenues. All Hasbro-branded content is included in the portfolios noted above.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25, 2022 in its 2022 Form 10-K, which includes all such information and disclosures and, accordingly, should be read in conjunction with the financial information included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April 2, 2023, there were no recently adopted accounting standards that had a material effect on the Company’s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April 2, 2023, there were no recently issued accounting pronouncements that had a material effect on the Company’s financial statements.</w:t>
      </w:r>
    </w:p>
    <w:p>
      <w:pPr>
        <w:spacing w:after="0" w:line="206"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Assets and Liabilities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ordinary course of business, the Company’s Consumer Products, Wizards of the Coast and Digital Gaming and Entertainment segments enter into contracts to license certain of the Company’s intellectual property, providing licensees right-to-use or access to such intellectual property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or through in-application purchases. These digital gaming revenues are recognized over a period of time, determined based on player usage patterns or the estimated playing life of the user or when additional downloadable content is made available.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respectively, and the long-term portion is recorded within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60" w:type="dxa"/>
            <w:vAlign w:val="bottom"/>
          </w:tcPr>
          <w:p>
            <w:pPr>
              <w:ind w:left="2700"/>
              <w:spacing w:after="0"/>
              <w:rPr>
                <w:sz w:val="20"/>
                <w:szCs w:val="20"/>
                <w:color w:val="auto"/>
              </w:rPr>
            </w:pPr>
            <w:r>
              <w:rPr>
                <w:rFonts w:ascii="Arial" w:cs="Arial" w:eastAsia="Arial" w:hAnsi="Arial"/>
                <w:sz w:val="18"/>
                <w:szCs w:val="18"/>
                <w:b w:val="1"/>
                <w:bCs w:val="1"/>
                <w:color w:val="auto"/>
              </w:rPr>
              <w:t>Condensed Notes to Consolidated Financial Statements</w:t>
            </w: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60" w:type="dxa"/>
            <w:vAlign w:val="bottom"/>
          </w:tcPr>
          <w:p>
            <w:pPr>
              <w:ind w:left="2700"/>
              <w:spacing w:after="0"/>
              <w:rPr>
                <w:sz w:val="20"/>
                <w:szCs w:val="20"/>
                <w:color w:val="auto"/>
              </w:rPr>
            </w:pPr>
            <w:r>
              <w:rPr>
                <w:rFonts w:ascii="Arial" w:cs="Arial" w:eastAsia="Arial" w:hAnsi="Arial"/>
                <w:sz w:val="18"/>
                <w:szCs w:val="18"/>
                <w:b w:val="1"/>
                <w:bCs w:val="1"/>
                <w:color w:val="auto"/>
              </w:rPr>
              <w:t>(Millions of Dollars and Shares Except Per Share Data)</w:t>
            </w: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756"/>
        </w:trPr>
        <w:tc>
          <w:tcPr>
            <w:tcW w:w="9060" w:type="dxa"/>
            <w:vAlign w:val="bottom"/>
            <w:gridSpan w:val="4"/>
          </w:tcPr>
          <w:p>
            <w:pPr>
              <w:spacing w:after="0"/>
              <w:rPr>
                <w:sz w:val="20"/>
                <w:szCs w:val="20"/>
                <w:color w:val="auto"/>
              </w:rPr>
            </w:pPr>
            <w:r>
              <w:rPr>
                <w:rFonts w:ascii="Arial" w:cs="Arial" w:eastAsia="Arial" w:hAnsi="Arial"/>
                <w:sz w:val="18"/>
                <w:szCs w:val="18"/>
                <w:color w:val="auto"/>
                <w:w w:val="98"/>
              </w:rPr>
              <w:t>The changes in carrying amounts of contract assets and liabilities for the quarter ended April 2, 2023 are as follows:</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51"/>
        </w:trPr>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2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April 2, 2023</w:t>
            </w:r>
          </w:p>
        </w:tc>
      </w:tr>
      <w:tr>
        <w:trPr>
          <w:trHeight w:val="169"/>
        </w:trPr>
        <w:tc>
          <w:tcPr>
            <w:tcW w:w="20" w:type="dxa"/>
            <w:vAlign w:val="bottom"/>
            <w:shd w:val="clear" w:color="auto" w:fill="CCEEFF"/>
          </w:tcPr>
          <w:p>
            <w:pPr>
              <w:spacing w:after="0"/>
              <w:rPr>
                <w:sz w:val="14"/>
                <w:szCs w:val="14"/>
                <w:color w:val="auto"/>
              </w:rPr>
            </w:pPr>
          </w:p>
        </w:tc>
        <w:tc>
          <w:tcPr>
            <w:tcW w:w="90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Balance at beginning of the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594.4</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Recognized in current year</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r>
      <w:tr>
        <w:trPr>
          <w:trHeight w:val="229"/>
        </w:trPr>
        <w:tc>
          <w:tcPr>
            <w:tcW w:w="20" w:type="dxa"/>
            <w:vAlign w:val="bottom"/>
          </w:tcPr>
          <w:p>
            <w:pPr>
              <w:spacing w:after="0"/>
              <w:rPr>
                <w:sz w:val="19"/>
                <w:szCs w:val="19"/>
                <w:color w:val="auto"/>
              </w:rPr>
            </w:pPr>
          </w:p>
        </w:tc>
        <w:tc>
          <w:tcPr>
            <w:tcW w:w="9040" w:type="dxa"/>
            <w:vAlign w:val="bottom"/>
            <w:gridSpan w:val="3"/>
          </w:tcPr>
          <w:p>
            <w:pPr>
              <w:ind w:left="120"/>
              <w:spacing w:after="0"/>
              <w:rPr>
                <w:sz w:val="20"/>
                <w:szCs w:val="20"/>
                <w:color w:val="auto"/>
              </w:rPr>
            </w:pPr>
            <w:r>
              <w:rPr>
                <w:rFonts w:ascii="Arial" w:cs="Arial" w:eastAsia="Arial" w:hAnsi="Arial"/>
                <w:sz w:val="18"/>
                <w:szCs w:val="18"/>
                <w:color w:val="auto"/>
              </w:rPr>
              <w:t>Amounts reclassified to accounts receivable</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Foreign currency impact</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20" w:type="dxa"/>
            <w:vAlign w:val="bottom"/>
          </w:tcPr>
          <w:p>
            <w:pPr>
              <w:spacing w:after="0"/>
              <w:rPr>
                <w:sz w:val="19"/>
                <w:szCs w:val="19"/>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90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9"/>
        </w:trPr>
        <w:tc>
          <w:tcPr>
            <w:tcW w:w="20" w:type="dxa"/>
            <w:vAlign w:val="bottom"/>
          </w:tcPr>
          <w:p>
            <w:pPr>
              <w:spacing w:after="0"/>
              <w:rPr>
                <w:sz w:val="19"/>
                <w:szCs w:val="19"/>
                <w:color w:val="auto"/>
              </w:rPr>
            </w:pPr>
          </w:p>
        </w:tc>
        <w:tc>
          <w:tcPr>
            <w:tcW w:w="9040" w:type="dxa"/>
            <w:vAlign w:val="bottom"/>
            <w:gridSpan w:val="3"/>
          </w:tcPr>
          <w:p>
            <w:pPr>
              <w:ind w:left="120"/>
              <w:spacing w:after="0"/>
              <w:rPr>
                <w:sz w:val="20"/>
                <w:szCs w:val="20"/>
                <w:color w:val="auto"/>
              </w:rPr>
            </w:pPr>
            <w:r>
              <w:rPr>
                <w:rFonts w:ascii="Arial" w:cs="Arial" w:eastAsia="Arial" w:hAnsi="Arial"/>
                <w:sz w:val="18"/>
                <w:szCs w:val="18"/>
                <w:color w:val="auto"/>
              </w:rPr>
              <w:t>Recognized in current year</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Amounts in beginning balance reclassified to revenue</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29"/>
        </w:trPr>
        <w:tc>
          <w:tcPr>
            <w:tcW w:w="20" w:type="dxa"/>
            <w:vAlign w:val="bottom"/>
          </w:tcPr>
          <w:p>
            <w:pPr>
              <w:spacing w:after="0"/>
              <w:rPr>
                <w:sz w:val="19"/>
                <w:szCs w:val="19"/>
                <w:color w:val="auto"/>
              </w:rPr>
            </w:pPr>
          </w:p>
        </w:tc>
        <w:tc>
          <w:tcPr>
            <w:tcW w:w="9040" w:type="dxa"/>
            <w:vAlign w:val="bottom"/>
            <w:gridSpan w:val="3"/>
          </w:tcPr>
          <w:p>
            <w:pPr>
              <w:ind w:left="120"/>
              <w:spacing w:after="0"/>
              <w:rPr>
                <w:sz w:val="20"/>
                <w:szCs w:val="20"/>
                <w:color w:val="auto"/>
              </w:rPr>
            </w:pPr>
            <w:r>
              <w:rPr>
                <w:rFonts w:ascii="Arial" w:cs="Arial" w:eastAsia="Arial" w:hAnsi="Arial"/>
                <w:sz w:val="18"/>
                <w:szCs w:val="18"/>
                <w:color w:val="auto"/>
              </w:rPr>
              <w:t>Current year amounts reclassified to revenue</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Foreign currency impact</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Unsatisfied performance obligations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April 2, 2023, unrecognized revenue attributable to unsatisfied performance obligations expected to be recognized in the future was $293.8 million. Of this amount, we expect to recognize $244.4 million in the remainder of 2023, $38.0 million in 2024, $11.3 million in 2025 and $0.1 million in 2026. These amounts include only fixed consideration.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and Allowance for Credit Losses</w:t>
      </w:r>
    </w:p>
    <w:p>
      <w:pPr>
        <w:spacing w:after="0" w:line="11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Company’s balance for accounts receivable on the consolidated balance sheets as of April 2, 2023 and March 27, 2022 are primarily from contracts with customers. The Company had no material expense for credit losses for the quarters ended April 2, 2023 and March 27, 2022.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Company disaggregates its revenues from contracts with customers by reportable segment: Consumer Products, Wizards of the Coast and Digital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Gaming, and Entertainment. The Company further disaggregates revenues within its Consumer Products segment by major geographic region: North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America, Europe, Latin America, and Asia Pacific; within its Wizards of the Coast and Digital Gaming segment by category: Tabletop Gaming and Digital</w:t>
      </w:r>
    </w:p>
    <w:p>
      <w:pPr>
        <w:spacing w:after="0" w:line="3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and Licensed Gaming; and within its Entertainment segment by category: Film &amp; TV, Family Brands, and Other. Finally, the Company disaggregates its revenues by brand portfolio into four brand categories: Franchise Brands, Partner Brands, Portfolio Brands, and Non-Hasbro Branded Film &amp; TV. We believe these collectively depict how the nature, amount, timing and uncertainty of revenue and cash flows are affected by economic factors. See note 13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11" w:name="page12"/>
    <w:bookmarkEnd w:id="1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earnings (loss) per share data for the quarters ended April 2, 2023 and March 27, 2022 were computed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Arial" w:cs="Arial" w:eastAsia="Arial" w:hAnsi="Arial"/>
                <w:sz w:val="18"/>
                <w:szCs w:val="18"/>
                <w:b w:val="1"/>
                <w:bCs w:val="1"/>
                <w:color w:val="auto"/>
              </w:rPr>
              <w:t>Basic</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Diluted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right"/>
              <w:ind w:right="74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earnings attributable to Hasbro,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Options and other share-based awards</w:t>
            </w: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(loss) earnings attributable to Hasbro, Inc. per common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quarters ended April 2, 2023 and March 27, 2022, options and restricted stock units totaling 4.2 million and 2.5 million, respectively, were excluded from the calculation of diluted earnings per share because to include them would have been anti-dilutive. Of the fiscal 2023 amount, 2.0 million shares would have been included in the calculation of diluted shares had the Company not had a net loss for the quarter ended April 2, 2023. Assuming that these options and restricted stock units were included, under the treasury stock method, they would have resulted in an additional 0.1 million shares being included in the diluted earnings per share calculation for the quarter ended April 2, 2023.</w:t>
      </w:r>
    </w:p>
    <w:p>
      <w:pPr>
        <w:spacing w:after="0" w:line="13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operating segment, for the quarters ended April 2, 2023 and March 27, 2022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Wizards of the Coast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8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Consumer Products</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and Digital Gaming</w:t>
            </w:r>
          </w:p>
        </w:tc>
        <w:tc>
          <w:tcPr>
            <w:tcW w:w="1840" w:type="dxa"/>
            <w:vAlign w:val="bottom"/>
            <w:gridSpan w:val="2"/>
          </w:tcPr>
          <w:p>
            <w:pPr>
              <w:ind w:left="300"/>
              <w:spacing w:after="0"/>
              <w:rPr>
                <w:sz w:val="20"/>
                <w:szCs w:val="20"/>
                <w:color w:val="auto"/>
              </w:rPr>
            </w:pPr>
            <w:r>
              <w:rPr>
                <w:rFonts w:ascii="Arial" w:cs="Arial" w:eastAsia="Arial" w:hAnsi="Arial"/>
                <w:sz w:val="18"/>
                <w:szCs w:val="18"/>
                <w:b w:val="1"/>
                <w:bCs w:val="1"/>
                <w:color w:val="auto"/>
              </w:rPr>
              <w:t>Entertainment</w:t>
            </w:r>
          </w:p>
        </w:tc>
        <w:tc>
          <w:tcPr>
            <w:tcW w:w="400" w:type="dxa"/>
            <w:vAlign w:val="bottom"/>
          </w:tcPr>
          <w:p>
            <w:pPr>
              <w:spacing w:after="0"/>
              <w:rPr>
                <w:sz w:val="21"/>
                <w:szCs w:val="21"/>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at December 25, 2022</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1,584.7</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1,513.9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3,470.1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April 2, 2023</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1,584.7</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1,513.9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3,470.1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Wizards of the Coast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8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Consumer Products</w:t>
            </w: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and Digital Gaming</w:t>
            </w:r>
          </w:p>
        </w:tc>
        <w:tc>
          <w:tcPr>
            <w:tcW w:w="1840" w:type="dxa"/>
            <w:vAlign w:val="bottom"/>
            <w:gridSpan w:val="2"/>
          </w:tcPr>
          <w:p>
            <w:pPr>
              <w:ind w:left="300"/>
              <w:spacing w:after="0"/>
              <w:rPr>
                <w:sz w:val="20"/>
                <w:szCs w:val="20"/>
                <w:color w:val="auto"/>
              </w:rPr>
            </w:pPr>
            <w:r>
              <w:rPr>
                <w:rFonts w:ascii="Arial" w:cs="Arial" w:eastAsia="Arial" w:hAnsi="Arial"/>
                <w:sz w:val="18"/>
                <w:szCs w:val="18"/>
                <w:b w:val="1"/>
                <w:bCs w:val="1"/>
                <w:color w:val="auto"/>
              </w:rPr>
              <w:t>Entertainment</w:t>
            </w:r>
          </w:p>
        </w:tc>
        <w:tc>
          <w:tcPr>
            <w:tcW w:w="400" w:type="dxa"/>
            <w:vAlign w:val="bottom"/>
          </w:tcPr>
          <w:p>
            <w:pPr>
              <w:spacing w:after="0"/>
              <w:rPr>
                <w:sz w:val="21"/>
                <w:szCs w:val="21"/>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Balance at December 26, 2021</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1,584.9</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1,527.4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3,419.6</w:t>
            </w:r>
          </w:p>
        </w:tc>
      </w:tr>
      <w:tr>
        <w:trPr>
          <w:trHeight w:val="230"/>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Balance at March 27, 2022</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1,584.8</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36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Components of other comprehensive earnings (loss) are presented within the consolidated statements of comprehensive earnings (loss). The following table presents the related tax effects on changes in other comprehensive earnings (loss) for the quarters ended April 2, 2023 and March 27,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Borders>
              <w:bottom w:val="single" w:sz="8" w:color="auto"/>
            </w:tcBorders>
          </w:tcPr>
          <w:p>
            <w:pPr>
              <w:spacing w:after="0"/>
              <w:rPr>
                <w:sz w:val="20"/>
                <w:szCs w:val="20"/>
                <w:color w:val="auto"/>
              </w:rPr>
            </w:pPr>
          </w:p>
        </w:tc>
      </w:tr>
      <w:tr>
        <w:trPr>
          <w:trHeight w:val="178"/>
        </w:trPr>
        <w:tc>
          <w:tcPr>
            <w:tcW w:w="7980" w:type="dxa"/>
            <w:vAlign w:val="bottom"/>
          </w:tcPr>
          <w:p>
            <w:pPr>
              <w:spacing w:after="0"/>
              <w:rPr>
                <w:sz w:val="15"/>
                <w:szCs w:val="15"/>
                <w:color w:val="auto"/>
              </w:rPr>
            </w:pPr>
          </w:p>
        </w:tc>
        <w:tc>
          <w:tcPr>
            <w:tcW w:w="1180" w:type="dxa"/>
            <w:vAlign w:val="bottom"/>
          </w:tcPr>
          <w:p>
            <w:pPr>
              <w:jc w:val="right"/>
              <w:ind w:right="10"/>
              <w:spacing w:after="0" w:line="177" w:lineRule="exact"/>
              <w:rPr>
                <w:sz w:val="20"/>
                <w:szCs w:val="20"/>
                <w:color w:val="auto"/>
              </w:rPr>
            </w:pPr>
            <w:r>
              <w:rPr>
                <w:rFonts w:ascii="Arial" w:cs="Arial" w:eastAsia="Arial" w:hAnsi="Arial"/>
                <w:sz w:val="18"/>
                <w:szCs w:val="18"/>
                <w:b w:val="1"/>
                <w:bCs w:val="1"/>
                <w:color w:val="auto"/>
              </w:rPr>
              <w:t>April 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March 27,</w:t>
            </w:r>
          </w:p>
        </w:tc>
        <w:tc>
          <w:tcPr>
            <w:tcW w:w="380" w:type="dxa"/>
            <w:vAlign w:val="bottom"/>
          </w:tcPr>
          <w:p>
            <w:pPr>
              <w:spacing w:after="0"/>
              <w:rPr>
                <w:sz w:val="15"/>
                <w:szCs w:val="15"/>
                <w:color w:val="auto"/>
              </w:rPr>
            </w:pPr>
          </w:p>
        </w:tc>
      </w:tr>
      <w:tr>
        <w:trPr>
          <w:trHeight w:val="234"/>
        </w:trPr>
        <w:tc>
          <w:tcPr>
            <w:tcW w:w="79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r>
      <w:tr>
        <w:trPr>
          <w:trHeight w:val="250"/>
        </w:trPr>
        <w:tc>
          <w:tcPr>
            <w:tcW w:w="79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earnings (loss), tax effect:</w:t>
            </w: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on unrealized holding gains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Tax benefit on cash flow hedging activities</w:t>
            </w:r>
          </w:p>
        </w:tc>
        <w:tc>
          <w:tcPr>
            <w:tcW w:w="1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0.9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to earnings, tax effect:</w:t>
            </w: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0"/>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Tax expense (benefit) on cash flow hedging activities</w:t>
            </w: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(0.2)</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effect on other comprehensive earnings</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Changes in the components of accumulated other comprehensive earnings (loss), net of tax for the quarters ended April 2, 2023 and March 27, 2022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5"/>
              </w:rPr>
              <w:t>Holding</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Gains</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Pension and</w:t>
            </w: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(Losses) on</w:t>
            </w: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Available-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1"/>
                <w:szCs w:val="11"/>
                <w:color w:val="auto"/>
              </w:rPr>
            </w:pPr>
          </w:p>
        </w:tc>
        <w:tc>
          <w:tcPr>
            <w:tcW w:w="118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for-Sale</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Amounts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Instruments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7"/>
                <w:szCs w:val="17"/>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CCEEFF"/>
            </w:tcBorders>
            <w:gridSpan w:val="2"/>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Balance at December 25,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Balance at April 2,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8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26,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27,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(Losses) on Derivative Instruments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April 2, 2023, the Company had remaining net deferred losses on foreign currency forward contracts, net of tax, of $4.0 million in accumulated other comprehensive earnings (loss) ("AOCE"). These instruments hedge payments related to inventory purchased in the first quarter of 2023 or forecasted to be purchased during the remainder of 2023, intercompany expenses expected to be paid or received during 2023, television and movie production costs paid in 2023 or expected to be paid in 2024, and cash receipts for sales made at the end of the first quarter of 2023 or forecasted to be made in the remainder of 2023. These amounts will be reclassified into the consolidated statements of operations upon the sale of the related inventory, the recognition of the related production costs or the recognition of the related sales or intercompany expenses to be paid or received.</w:t>
      </w:r>
    </w:p>
    <w:p>
      <w:pPr>
        <w:spacing w:after="0" w:line="13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to foreign currency forward contracts, the Company entered into hedging contracts on future interest payments related to the 3.15% Notes that were repaid in full in the aggregate principal amount of $300.0 million in 2021 (See note 7), and the 5.10% Notes due 2044. At the date of debt issuance, these contracts were terminated and the fair value on the date of settlement was deferred in AOCE and is being amortized to interest expense over the life of the related notes using the effective interest rate method. At April 2, 2023, deferred losses, net of tax of $14.7 million related to these instruments remained in AOCE. For each of the quarters ended April 2, 2023 and March 27, 2022, previously deferred losses of $0.2 million related to these instruments were reclassified from AOCE to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Of the net deferred losses included in AOCE at April 2, 2023, the Company expects net losses of approximately $4.2 million to be reclassified to the consolidated statements of operations within the next 12 months. However, the amount ultimately realized in earnings is dependent on the fair value of the hedging instruments on the settlement dates.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additional discussion on reclassifications from AOCE to earnings.</w:t>
      </w:r>
    </w:p>
    <w:p>
      <w:pPr>
        <w:spacing w:after="0" w:line="18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accrued liabilities for the periods ended April 2, 2023, March 27, 2022 and December 25, 2022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 2023</w:t>
            </w:r>
          </w:p>
        </w:tc>
        <w:tc>
          <w:tcPr>
            <w:tcW w:w="16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27, 2022</w:t>
            </w:r>
          </w:p>
        </w:tc>
        <w:tc>
          <w:tcPr>
            <w:tcW w:w="194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25, 2022</w:t>
            </w:r>
          </w:p>
        </w:tc>
      </w:tr>
      <w:tr>
        <w:trPr>
          <w:trHeight w:val="23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Participations and residuals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80" w:type="dxa"/>
            <w:vAlign w:val="bottom"/>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Royalties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195.4</w:t>
            </w:r>
          </w:p>
        </w:tc>
        <w:tc>
          <w:tcPr>
            <w:tcW w:w="28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Dividends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Cancellation charges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80" w:type="dxa"/>
            <w:vAlign w:val="bottom"/>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Severance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80" w:type="dxa"/>
            <w:vAlign w:val="bottom"/>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Accrued expenses - IIP &amp; IIC</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c>
          <w:tcPr>
            <w:tcW w:w="28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vendor accruals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current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80" w:type="dxa"/>
            <w:vAlign w:val="bottom"/>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Freight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management incentives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280" w:type="dxa"/>
            <w:vAlign w:val="bottom"/>
          </w:tcPr>
          <w:p>
            <w:pPr>
              <w:spacing w:after="0"/>
              <w:rPr>
                <w:sz w:val="19"/>
                <w:szCs w:val="19"/>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1,506.8</w:t>
            </w:r>
          </w:p>
        </w:tc>
        <w:tc>
          <w:tcPr>
            <w:tcW w:w="280" w:type="dxa"/>
            <w:vAlign w:val="bottom"/>
          </w:tcPr>
          <w:p>
            <w:pPr>
              <w:spacing w:after="0"/>
              <w:rPr>
                <w:sz w:val="21"/>
                <w:szCs w:val="2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196"/>
        </w:trPr>
        <w:tc>
          <w:tcPr>
            <w:tcW w:w="5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w:t>
      </w:r>
    </w:p>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Company's financial instruments include cash and cash equivalents, accounts receivable, short-term borrowings, accounts payable and certain accrued liabilities. At April 2, 2023, March 27, 2022 and December 25, 2022, the carrying cost of these instruments approximated their fair value. The Company's financial instruments at April 2, 2023, March 27, 2022 and December 25, 2022 also include certain assets and liabilities measured at fair value (see notes 10 and 11) as well as long-term borrowings. The carrying costs, which are equal to the outstanding principal amounts, and fair values of the Company's long-term borrowings as of April 2, 2023, March 27, 2022 and December 25, 2022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660"/>
              <w:spacing w:after="0"/>
              <w:rPr>
                <w:sz w:val="20"/>
                <w:szCs w:val="20"/>
                <w:color w:val="auto"/>
              </w:rPr>
            </w:pPr>
            <w:r>
              <w:rPr>
                <w:rFonts w:ascii="Arial" w:cs="Arial" w:eastAsia="Arial" w:hAnsi="Arial"/>
                <w:sz w:val="18"/>
                <w:szCs w:val="18"/>
                <w:b w:val="1"/>
                <w:bCs w:val="1"/>
                <w:color w:val="auto"/>
              </w:rPr>
              <w:t>April 2, 2023</w:t>
            </w:r>
          </w:p>
        </w:tc>
        <w:tc>
          <w:tcPr>
            <w:tcW w:w="200" w:type="dxa"/>
            <w:vAlign w:val="bottom"/>
          </w:tcPr>
          <w:p>
            <w:pPr>
              <w:spacing w:after="0"/>
              <w:rPr>
                <w:sz w:val="20"/>
                <w:szCs w:val="20"/>
                <w:color w:val="auto"/>
              </w:rPr>
            </w:pPr>
          </w:p>
        </w:tc>
        <w:tc>
          <w:tcPr>
            <w:tcW w:w="2640" w:type="dxa"/>
            <w:vAlign w:val="bottom"/>
            <w:gridSpan w:val="4"/>
          </w:tcPr>
          <w:p>
            <w:pPr>
              <w:ind w:left="580"/>
              <w:spacing w:after="0"/>
              <w:rPr>
                <w:sz w:val="20"/>
                <w:szCs w:val="20"/>
                <w:color w:val="auto"/>
              </w:rPr>
            </w:pPr>
            <w:r>
              <w:rPr>
                <w:rFonts w:ascii="Arial" w:cs="Arial" w:eastAsia="Arial" w:hAnsi="Arial"/>
                <w:sz w:val="18"/>
                <w:szCs w:val="18"/>
                <w:b w:val="1"/>
                <w:bCs w:val="1"/>
                <w:color w:val="auto"/>
              </w:rPr>
              <w:t>March 27, 2022</w:t>
            </w:r>
          </w:p>
        </w:tc>
        <w:tc>
          <w:tcPr>
            <w:tcW w:w="200" w:type="dxa"/>
            <w:vAlign w:val="bottom"/>
          </w:tcPr>
          <w:p>
            <w:pPr>
              <w:spacing w:after="0"/>
              <w:rPr>
                <w:sz w:val="20"/>
                <w:szCs w:val="20"/>
                <w:color w:val="auto"/>
              </w:rPr>
            </w:pPr>
          </w:p>
        </w:tc>
        <w:tc>
          <w:tcPr>
            <w:tcW w:w="25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December 25, 2022</w:t>
            </w:r>
          </w:p>
        </w:tc>
      </w:tr>
      <w:tr>
        <w:trPr>
          <w:trHeight w:val="169"/>
        </w:trPr>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7"/>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7"/>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4"/>
              </w:rPr>
              <w:t>Carrying</w:t>
            </w:r>
          </w:p>
        </w:tc>
        <w:tc>
          <w:tcPr>
            <w:tcW w:w="1300" w:type="dxa"/>
            <w:vAlign w:val="bottom"/>
            <w:tcBorders>
              <w:top w:val="single" w:sz="8" w:color="auto"/>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r>
      <w:tr>
        <w:trPr>
          <w:trHeight w:val="237"/>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3.90%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808.2</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3.55%</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3.00%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482.2</w:t>
            </w: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6.35%</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3.50%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465.8</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5.10%</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6.60%</w:t>
            </w:r>
          </w:p>
        </w:tc>
        <w:tc>
          <w:tcPr>
            <w:tcW w:w="2260" w:type="dxa"/>
            <w:vAlign w:val="bottom"/>
          </w:tcPr>
          <w:p>
            <w:pPr>
              <w:ind w:left="20"/>
              <w:spacing w:after="0"/>
              <w:rPr>
                <w:sz w:val="20"/>
                <w:szCs w:val="20"/>
                <w:color w:val="auto"/>
              </w:rPr>
            </w:pPr>
            <w:r>
              <w:rPr>
                <w:rFonts w:ascii="Arial" w:cs="Arial" w:eastAsia="Arial" w:hAnsi="Arial"/>
                <w:sz w:val="18"/>
                <w:szCs w:val="18"/>
                <w:color w:val="auto"/>
              </w:rPr>
              <w:t>Debentures Due 2028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Variable % Notes Due December 30,</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2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Production Financing Facilities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2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3,626.3</w:t>
            </w: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Less: Deferred debt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4,060.5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3,711.2</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3,626.3</w:t>
            </w:r>
          </w:p>
        </w:tc>
      </w:tr>
      <w:tr>
        <w:trPr>
          <w:trHeight w:val="20"/>
        </w:trPr>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212529"/>
        </w:rPr>
        <w:t xml:space="preserve">In November 2019, in conjunction with the Company's acquisition of eOne, the Company issued an aggregate of </w:t>
      </w:r>
      <w:r>
        <w:rPr>
          <w:rFonts w:ascii="Arial" w:cs="Arial" w:eastAsia="Arial" w:hAnsi="Arial"/>
          <w:sz w:val="16"/>
          <w:szCs w:val="16"/>
          <w:color w:val="000000"/>
        </w:rPr>
        <w:t>$2.4 billion</w:t>
      </w:r>
      <w:r>
        <w:rPr>
          <w:rFonts w:ascii="Arial" w:cs="Arial" w:eastAsia="Arial" w:hAnsi="Arial"/>
          <w:sz w:val="16"/>
          <w:szCs w:val="16"/>
          <w:color w:val="212529"/>
        </w:rPr>
        <w:t xml:space="preserve"> of senior unsecured debt securities (the "Notes") consisting of the following tranches: $300.0 million of notes due 2022 (the "2022 Notes") that bear interest at a fixed rate</w:t>
      </w:r>
    </w:p>
    <w:p>
      <w:pPr>
        <w:ind w:right="180"/>
        <w:spacing w:after="0" w:line="273" w:lineRule="auto"/>
        <w:rPr>
          <w:sz w:val="20"/>
          <w:szCs w:val="20"/>
          <w:color w:val="auto"/>
        </w:rPr>
      </w:pPr>
      <w:r>
        <w:rPr>
          <w:rFonts w:ascii="Arial" w:cs="Arial" w:eastAsia="Arial" w:hAnsi="Arial"/>
          <w:sz w:val="17"/>
          <w:szCs w:val="17"/>
          <w:color w:val="212529"/>
        </w:rPr>
        <w:t>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212529"/>
        </w:rPr>
        <w:t>The Notes bear interest at the stated rates but may be subject to upward adjustment if the credit rating of the Company is reduced by Moody's or Standard</w:t>
      </w:r>
    </w:p>
    <w:p>
      <w:pPr>
        <w:spacing w:after="0" w:line="46" w:lineRule="exact"/>
        <w:rPr>
          <w:sz w:val="20"/>
          <w:szCs w:val="20"/>
          <w:color w:val="auto"/>
        </w:rPr>
      </w:pPr>
    </w:p>
    <w:p>
      <w:pPr>
        <w:ind w:right="60" w:firstLine="8"/>
        <w:spacing w:after="0" w:line="290" w:lineRule="auto"/>
        <w:tabs>
          <w:tab w:leader="none" w:pos="185" w:val="left"/>
        </w:tabs>
        <w:numPr>
          <w:ilvl w:val="0"/>
          <w:numId w:val="12"/>
        </w:numPr>
        <w:rPr>
          <w:rFonts w:ascii="Arial" w:cs="Arial" w:eastAsia="Arial" w:hAnsi="Arial"/>
          <w:sz w:val="16"/>
          <w:szCs w:val="16"/>
          <w:color w:val="212529"/>
        </w:rPr>
      </w:pPr>
      <w:r>
        <w:rPr>
          <w:rFonts w:ascii="Arial" w:cs="Arial" w:eastAsia="Arial" w:hAnsi="Arial"/>
          <w:sz w:val="16"/>
          <w:szCs w:val="16"/>
          <w:color w:val="212529"/>
        </w:rPr>
        <w:t>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17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The full amount of the Term Loan Facilities was drawn down on December 30, 2019, the closing date of the eOne Acquisition. As of September 25, 2022, the Company has fully repaid the Three-Year Tranche $400.0 million principal term loan, and of the Five-Year Tranche $600.0 million principal balance, the Company has repaid a total of</w:t>
      </w:r>
    </w:p>
    <w:p>
      <w:pPr>
        <w:spacing w:after="0" w:line="1"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$320.0 million in the following increments: $22.5 million in 2020; $180.0 million in 2021; $87.5 million in 2022; and $30.0 million of principal amortization payments in the first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5" w:name="page16"/>
    <w:bookmarkEnd w:id="1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58" w:lineRule="exact"/>
        <w:rPr>
          <w:sz w:val="20"/>
          <w:szCs w:val="20"/>
          <w:color w:val="auto"/>
        </w:rPr>
      </w:pPr>
    </w:p>
    <w:p>
      <w:pPr>
        <w:spacing w:after="0" w:line="250" w:lineRule="auto"/>
        <w:rPr>
          <w:sz w:val="20"/>
          <w:szCs w:val="20"/>
          <w:color w:val="auto"/>
        </w:rPr>
      </w:pPr>
      <w:r>
        <w:rPr>
          <w:rFonts w:ascii="Arial" w:cs="Arial" w:eastAsia="Arial" w:hAnsi="Arial"/>
          <w:sz w:val="17"/>
          <w:szCs w:val="17"/>
          <w:color w:val="212529"/>
        </w:rPr>
        <w:t xml:space="preserve">Loans under the remaining </w:t>
      </w:r>
      <w:r>
        <w:rPr>
          <w:rFonts w:ascii="Arial" w:cs="Arial" w:eastAsia="Arial" w:hAnsi="Arial"/>
          <w:sz w:val="17"/>
          <w:szCs w:val="17"/>
          <w:color w:val="000000"/>
        </w:rPr>
        <w:t>Five</w:t>
      </w:r>
      <w:r>
        <w:rPr>
          <w:rFonts w:ascii="Arial" w:cs="Arial" w:eastAsia="Arial" w:hAnsi="Arial"/>
          <w:sz w:val="17"/>
          <w:szCs w:val="17"/>
          <w:color w:val="212529"/>
        </w:rPr>
        <w:t xml:space="preserve">-Year Tranche bear interest at the Company’s option, at either the adjusted Term Secured Overnight Financing Rate ("SOFR"), plus an applicable margin, or the Base Rate, plus a per annum applicable rate that fluctuates between 100.0 basis points and 187.5 basis points, in the case of loans priced at the SOFR,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As of </w:t>
      </w:r>
      <w:r>
        <w:rPr>
          <w:rFonts w:ascii="Arial" w:cs="Arial" w:eastAsia="Arial" w:hAnsi="Arial"/>
          <w:sz w:val="17"/>
          <w:szCs w:val="17"/>
          <w:color w:val="000000"/>
        </w:rPr>
        <w:t>April 2, 2023</w:t>
      </w:r>
      <w:r>
        <w:rPr>
          <w:rFonts w:ascii="Arial" w:cs="Arial" w:eastAsia="Arial" w:hAnsi="Arial"/>
          <w:sz w:val="17"/>
          <w:szCs w:val="17"/>
          <w:color w:val="212529"/>
        </w:rPr>
        <w:t>, the Company was in compliance with the financial covenants contained in the Term Loan Agreement.</w:t>
      </w:r>
    </w:p>
    <w:p>
      <w:pPr>
        <w:spacing w:after="0" w:line="15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212529"/>
        </w:rPr>
        <w:t xml:space="preserve">Current portion of long-term debt at </w:t>
      </w:r>
      <w:r>
        <w:rPr>
          <w:rFonts w:ascii="Arial" w:cs="Arial" w:eastAsia="Arial" w:hAnsi="Arial"/>
          <w:sz w:val="18"/>
          <w:szCs w:val="18"/>
          <w:color w:val="000000"/>
        </w:rPr>
        <w:t>April 2, 2023</w:t>
      </w:r>
      <w:r>
        <w:rPr>
          <w:rFonts w:ascii="Arial" w:cs="Arial" w:eastAsia="Arial" w:hAnsi="Arial"/>
          <w:sz w:val="18"/>
          <w:szCs w:val="18"/>
          <w:color w:val="212529"/>
        </w:rPr>
        <w:t xml:space="preserve"> o</w:t>
      </w:r>
      <w:r>
        <w:rPr>
          <w:rFonts w:ascii="Arial" w:cs="Arial" w:eastAsia="Arial" w:hAnsi="Arial"/>
          <w:sz w:val="18"/>
          <w:szCs w:val="18"/>
          <w:color w:val="000000"/>
        </w:rPr>
        <w:t>f $109.0 million</w:t>
      </w:r>
      <w:r>
        <w:rPr>
          <w:rFonts w:ascii="Arial" w:cs="Arial" w:eastAsia="Arial" w:hAnsi="Arial"/>
          <w:sz w:val="18"/>
          <w:szCs w:val="18"/>
          <w:color w:val="212529"/>
        </w:rPr>
        <w:t xml:space="preserve">, as shown on the consolidated balance sheet, represents </w:t>
      </w:r>
      <w:r>
        <w:rPr>
          <w:rFonts w:ascii="Arial" w:cs="Arial" w:eastAsia="Arial" w:hAnsi="Arial"/>
          <w:sz w:val="18"/>
          <w:szCs w:val="18"/>
          <w:color w:val="000000"/>
        </w:rPr>
        <w:t>the current portion of required</w:t>
      </w:r>
      <w:r>
        <w:rPr>
          <w:rFonts w:ascii="Arial" w:cs="Arial" w:eastAsia="Arial" w:hAnsi="Arial"/>
          <w:sz w:val="18"/>
          <w:szCs w:val="18"/>
          <w:color w:val="212529"/>
        </w:rPr>
        <w:t xml:space="preserve"> </w:t>
      </w:r>
      <w:r>
        <w:rPr>
          <w:rFonts w:ascii="Arial" w:cs="Arial" w:eastAsia="Arial" w:hAnsi="Arial"/>
          <w:sz w:val="18"/>
          <w:szCs w:val="18"/>
          <w:color w:val="000000"/>
        </w:rPr>
        <w:t xml:space="preserve">quarterly principal amortization payments for the Five-Year Tranche of the Term Loan Facilities and production financing facilities. </w:t>
      </w:r>
      <w:r>
        <w:rPr>
          <w:rFonts w:ascii="Arial" w:cs="Arial" w:eastAsia="Arial" w:hAnsi="Arial"/>
          <w:sz w:val="18"/>
          <w:szCs w:val="18"/>
          <w:color w:val="212529"/>
        </w:rPr>
        <w:t>All of the Company’s</w:t>
      </w:r>
      <w:r>
        <w:rPr>
          <w:rFonts w:ascii="Arial" w:cs="Arial" w:eastAsia="Arial" w:hAnsi="Arial"/>
          <w:sz w:val="18"/>
          <w:szCs w:val="18"/>
          <w:color w:val="000000"/>
        </w:rPr>
        <w:t xml:space="preserve"> </w:t>
      </w:r>
      <w:r>
        <w:rPr>
          <w:rFonts w:ascii="Arial" w:cs="Arial" w:eastAsia="Arial" w:hAnsi="Arial"/>
          <w:sz w:val="18"/>
          <w:szCs w:val="18"/>
          <w:color w:val="212529"/>
        </w:rPr>
        <w:t>other long-term borrowings have contractual maturities that occur subsequent to 2023 with the exception of certain of the Company's production financing facilities and annual principal payments related to the Term Loan Facilities.</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values of the Company's long-term debt are considered Level 3 fair values (see note 10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6" w:name="page17"/>
    <w:bookmarkEnd w:id="1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Production Financing</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212529"/>
        </w:rPr>
        <w:t>In addition to the Company's financial instruments, t</w:t>
      </w:r>
      <w:r>
        <w:rPr>
          <w:rFonts w:ascii="Arial" w:cs="Arial" w:eastAsia="Arial" w:hAnsi="Arial"/>
          <w:sz w:val="17"/>
          <w:szCs w:val="17"/>
          <w:color w:val="000000"/>
        </w:rPr>
        <w:t>he Company uses production financing facilities to fund its film and television productions which are</w:t>
      </w:r>
      <w:r>
        <w:rPr>
          <w:rFonts w:ascii="Arial" w:cs="Arial" w:eastAsia="Arial" w:hAnsi="Arial"/>
          <w:sz w:val="17"/>
          <w:szCs w:val="17"/>
          <w:color w:val="212529"/>
        </w:rPr>
        <w:t xml:space="preserve"> </w:t>
      </w:r>
      <w:r>
        <w:rPr>
          <w:rFonts w:ascii="Arial" w:cs="Arial" w:eastAsia="Arial" w:hAnsi="Arial"/>
          <w:sz w:val="17"/>
          <w:szCs w:val="17"/>
          <w:color w:val="000000"/>
        </w:rPr>
        <w:t>arranged on an individual production basis by either special purpose production subsidiaries, each secured by future revenues of such production subsidiaries, which are non-recourse to the Company's assets, or through a senior revolving credit facility dedicated to production financing obtained in November 2021.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Going forward, the Company expects to utilize the RPCF for the majority of its production financing needs.</w:t>
      </w:r>
    </w:p>
    <w:p>
      <w:pPr>
        <w:spacing w:after="0" w:line="7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April 2, 2023, March 27, 2022 and December 25, 2022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 2023</w:t>
            </w:r>
          </w:p>
        </w:tc>
        <w:tc>
          <w:tcPr>
            <w:tcW w:w="200" w:type="dxa"/>
            <w:vAlign w:val="bottom"/>
          </w:tcPr>
          <w:p>
            <w:pPr>
              <w:spacing w:after="0"/>
              <w:rPr>
                <w:sz w:val="21"/>
                <w:szCs w:val="21"/>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27, 2022</w:t>
            </w:r>
          </w:p>
        </w:tc>
        <w:tc>
          <w:tcPr>
            <w:tcW w:w="18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25, 2022</w:t>
            </w:r>
          </w:p>
        </w:tc>
      </w:tr>
      <w:tr>
        <w:trPr>
          <w:trHeight w:val="209"/>
        </w:trPr>
        <w:tc>
          <w:tcPr>
            <w:tcW w:w="5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Production financing facilities included in the consolidated balance sheet as:</w:t>
            </w: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195.6</w:t>
            </w:r>
          </w:p>
        </w:tc>
      </w:tr>
    </w:tbl>
    <w:p>
      <w:pPr>
        <w:spacing w:after="0" w:line="2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is charged at bank prime rate plus a margin based on the risk of the respective production. The weighted average interest rate on all production financing as of April 2, 2023 was 5.9%.</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Canadian dollar and U.S. dollar production financing loans with various banks. The carrying amounts are denominated in the following currencies: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Canadian Dollars</w:t>
            </w:r>
          </w:p>
        </w:tc>
        <w:tc>
          <w:tcPr>
            <w:tcW w:w="26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 Dollars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April 2,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movements in production financing loans during the first quarter of 2023:</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Drawdowns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April 2, 2023</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369"/>
        <w:spacing w:after="0"/>
        <w:rPr>
          <w:sz w:val="20"/>
          <w:szCs w:val="20"/>
          <w:color w:val="auto"/>
        </w:rPr>
      </w:pPr>
      <w:r>
        <w:rPr>
          <w:rFonts w:ascii="Arial" w:cs="Arial" w:eastAsia="Arial" w:hAnsi="Arial"/>
          <w:sz w:val="18"/>
          <w:szCs w:val="18"/>
          <w:b w:val="1"/>
          <w:bCs w:val="1"/>
          <w:color w:val="auto"/>
        </w:rPr>
        <w:t>Production</w:t>
      </w:r>
    </w:p>
    <w:p>
      <w:pPr>
        <w:spacing w:after="0" w:line="2" w:lineRule="exact"/>
        <w:rPr>
          <w:sz w:val="20"/>
          <w:szCs w:val="20"/>
          <w:color w:val="auto"/>
        </w:rPr>
      </w:pPr>
    </w:p>
    <w:p>
      <w:pPr>
        <w:ind w:left="429"/>
        <w:spacing w:after="0"/>
        <w:rPr>
          <w:sz w:val="20"/>
          <w:szCs w:val="20"/>
          <w:color w:val="auto"/>
        </w:rPr>
      </w:pPr>
      <w:r>
        <w:rPr>
          <w:rFonts w:ascii="Arial" w:cs="Arial" w:eastAsia="Arial" w:hAnsi="Arial"/>
          <w:sz w:val="18"/>
          <w:szCs w:val="18"/>
          <w:b w:val="1"/>
          <w:bCs w:val="1"/>
          <w:color w:val="auto"/>
        </w:rPr>
        <w:t>Financing</w:t>
      </w:r>
    </w:p>
    <w:p>
      <w:pPr>
        <w:spacing w:after="0" w:line="20" w:lineRule="exact"/>
        <w:rPr>
          <w:sz w:val="20"/>
          <w:szCs w:val="20"/>
          <w:color w:val="auto"/>
        </w:rPr>
      </w:pPr>
    </w:p>
    <w:p>
      <w:pPr>
        <w:ind w:left="1149" w:hanging="1149"/>
        <w:spacing w:after="0"/>
        <w:tabs>
          <w:tab w:leader="none" w:pos="11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195.6</w:t>
      </w:r>
    </w:p>
    <w:p>
      <w:pPr>
        <w:spacing w:after="0" w:line="23" w:lineRule="exact"/>
        <w:rPr>
          <w:rFonts w:ascii="Arial" w:cs="Arial" w:eastAsia="Arial" w:hAnsi="Arial"/>
          <w:sz w:val="18"/>
          <w:szCs w:val="18"/>
          <w:color w:val="auto"/>
        </w:rPr>
      </w:pPr>
    </w:p>
    <w:p>
      <w:pPr>
        <w:ind w:left="1249"/>
        <w:spacing w:after="0"/>
        <w:rPr>
          <w:rFonts w:ascii="Arial" w:cs="Arial" w:eastAsia="Arial" w:hAnsi="Arial"/>
          <w:sz w:val="18"/>
          <w:szCs w:val="18"/>
          <w:color w:val="auto"/>
        </w:rPr>
      </w:pPr>
      <w:r>
        <w:rPr>
          <w:rFonts w:ascii="Arial" w:cs="Arial" w:eastAsia="Arial" w:hAnsi="Arial"/>
          <w:sz w:val="18"/>
          <w:szCs w:val="18"/>
          <w:color w:val="auto"/>
        </w:rPr>
        <w:t>42.8</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(54.8)</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(0.1)</w:t>
      </w:r>
    </w:p>
    <w:p>
      <w:pPr>
        <w:spacing w:after="0" w:line="35" w:lineRule="exact"/>
        <w:rPr>
          <w:sz w:val="20"/>
          <w:szCs w:val="20"/>
          <w:color w:val="auto"/>
        </w:rPr>
      </w:pPr>
    </w:p>
    <w:p>
      <w:pPr>
        <w:ind w:left="1149" w:hanging="1149"/>
        <w:spacing w:after="0"/>
        <w:tabs>
          <w:tab w:leader="none" w:pos="11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183.5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891" w:space="720"/>
            <w:col w:w="1629"/>
          </w:cols>
          <w:pgMar w:left="320" w:top="108"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repay all of its currently outstanding production financing loans by the first quarter of 2024.</w:t>
      </w:r>
    </w:p>
    <w:p>
      <w:pPr>
        <w:spacing w:after="0" w:line="181"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Productions and Investments in Acquired Content Rights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7" w:name="page18"/>
    <w:bookmarkEnd w:id="1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unamortized investments in productions and investments in acquired content rights consisted of the following at April 2, 2023, March 27, 2022, and December 25,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ind w:left="240"/>
              <w:spacing w:after="0"/>
              <w:rPr>
                <w:sz w:val="20"/>
                <w:szCs w:val="20"/>
                <w:color w:val="auto"/>
              </w:rPr>
            </w:pPr>
            <w:r>
              <w:rPr>
                <w:rFonts w:ascii="Arial" w:cs="Arial" w:eastAsia="Arial" w:hAnsi="Arial"/>
                <w:sz w:val="18"/>
                <w:szCs w:val="18"/>
                <w:b w:val="1"/>
                <w:bCs w:val="1"/>
                <w:color w:val="auto"/>
              </w:rPr>
              <w:t>April 2, 2023</w:t>
            </w: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27,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25, 2022</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4480" w:type="dxa"/>
            <w:vAlign w:val="bottom"/>
            <w:tcBorders>
              <w:top w:val="single" w:sz="8" w:color="CCEEFF"/>
            </w:tcBorders>
            <w:gridSpan w:val="6"/>
            <w:shd w:val="clear" w:color="auto" w:fill="CCEEFF"/>
          </w:tcPr>
          <w:p>
            <w:pPr>
              <w:spacing w:after="0" w:line="169" w:lineRule="exact"/>
              <w:rPr>
                <w:sz w:val="20"/>
                <w:szCs w:val="20"/>
                <w:color w:val="auto"/>
              </w:rPr>
            </w:pPr>
            <w:r>
              <w:rPr>
                <w:rFonts w:ascii="Arial" w:cs="Arial" w:eastAsia="Arial" w:hAnsi="Arial"/>
                <w:sz w:val="18"/>
                <w:szCs w:val="18"/>
                <w:color w:val="auto"/>
              </w:rPr>
              <w:t>Investment in Films and Television Programs:</w:t>
            </w:r>
          </w:p>
        </w:tc>
        <w:tc>
          <w:tcPr>
            <w:tcW w:w="36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gridSpan w:val="4"/>
          </w:tcPr>
          <w:p>
            <w:pPr>
              <w:spacing w:after="0" w:line="189" w:lineRule="exact"/>
              <w:rPr>
                <w:sz w:val="20"/>
                <w:szCs w:val="20"/>
                <w:color w:val="auto"/>
              </w:rPr>
            </w:pPr>
            <w:r>
              <w:rPr>
                <w:rFonts w:ascii="Arial" w:cs="Arial" w:eastAsia="Arial" w:hAnsi="Arial"/>
                <w:sz w:val="18"/>
                <w:szCs w:val="18"/>
                <w:color w:val="auto"/>
              </w:rPr>
              <w:t>Individual Monetization</w:t>
            </w:r>
          </w:p>
        </w:tc>
        <w:tc>
          <w:tcPr>
            <w:tcW w:w="11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Released, net of amortization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Completed and not released</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 production</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r>
      <w:tr>
        <w:trPr>
          <w:trHeight w:val="229"/>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Pre-production</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848.5</w:t>
            </w: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5"/>
          </w:tcPr>
          <w:p>
            <w:pPr>
              <w:spacing w:after="0" w:line="169" w:lineRule="exact"/>
              <w:rPr>
                <w:sz w:val="20"/>
                <w:szCs w:val="20"/>
                <w:color w:val="auto"/>
              </w:rPr>
            </w:pPr>
            <w:r>
              <w:rPr>
                <w:rFonts w:ascii="Arial" w:cs="Arial" w:eastAsia="Arial" w:hAnsi="Arial"/>
                <w:sz w:val="18"/>
                <w:szCs w:val="18"/>
                <w:color w:val="auto"/>
              </w:rPr>
              <w:t>Film/TV Group Monetization</w:t>
            </w: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Released, net of amortization</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In production</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169"/>
        </w:trPr>
        <w:tc>
          <w:tcPr>
            <w:tcW w:w="20" w:type="dxa"/>
            <w:vAlign w:val="bottom"/>
          </w:tcPr>
          <w:p>
            <w:pPr>
              <w:spacing w:after="0"/>
              <w:rPr>
                <w:sz w:val="14"/>
                <w:szCs w:val="14"/>
                <w:color w:val="auto"/>
              </w:rPr>
            </w:pPr>
          </w:p>
        </w:tc>
        <w:tc>
          <w:tcPr>
            <w:tcW w:w="4480" w:type="dxa"/>
            <w:vAlign w:val="bottom"/>
            <w:gridSpan w:val="6"/>
          </w:tcPr>
          <w:p>
            <w:pPr>
              <w:spacing w:after="0" w:line="169" w:lineRule="exact"/>
              <w:rPr>
                <w:sz w:val="20"/>
                <w:szCs w:val="20"/>
                <w:color w:val="auto"/>
              </w:rPr>
            </w:pPr>
            <w:r>
              <w:rPr>
                <w:rFonts w:ascii="Arial" w:cs="Arial" w:eastAsia="Arial" w:hAnsi="Arial"/>
                <w:sz w:val="18"/>
                <w:szCs w:val="18"/>
                <w:color w:val="auto"/>
              </w:rPr>
              <w:t>Investment in Other Programming</w:t>
            </w: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Released, net of amortization</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Completed and not released</w:t>
            </w:r>
          </w:p>
        </w:tc>
        <w:tc>
          <w:tcPr>
            <w:tcW w:w="3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 production</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Pre-production</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Total Program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recorded $122.5 million of program cost amortization related to released programming in the quarter ended April 2, 2023, consisting of the following:</w:t>
      </w:r>
    </w:p>
    <w:p>
      <w:pPr>
        <w:spacing w:after="0" w:line="5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Investment in</w:t>
            </w:r>
          </w:p>
        </w:tc>
        <w:tc>
          <w:tcPr>
            <w:tcW w:w="2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Investment in</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5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2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Content</w:t>
            </w:r>
          </w:p>
        </w:tc>
        <w:tc>
          <w:tcPr>
            <w:tcW w:w="340" w:type="dxa"/>
            <w:vAlign w:val="bottom"/>
          </w:tcPr>
          <w:p>
            <w:pPr>
              <w:spacing w:after="0"/>
              <w:rPr>
                <w:sz w:val="21"/>
                <w:szCs w:val="21"/>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Program cost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bl>
    <w:p>
      <w:pPr>
        <w:spacing w:after="0" w:line="252"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8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Our effective tax rate ("ETR") from continuing operations was (3.4)% for the quarter ended April 2, 2023 and 21.6% for the quarter ended March 27,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caused the year-to-date ETR to be significantly different from the prior year ETR:</w:t>
      </w:r>
    </w:p>
    <w:p>
      <w:pPr>
        <w:spacing w:after="0" w:line="185" w:lineRule="exact"/>
        <w:rPr>
          <w:sz w:val="20"/>
          <w:szCs w:val="20"/>
          <w:color w:val="auto"/>
        </w:rPr>
      </w:pPr>
    </w:p>
    <w:p>
      <w:pPr>
        <w:ind w:left="660" w:right="2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quarter ended April 2, 2023, the Company recorded a net discrete tax expense of $3.3 million, primarily associated with stock-based compensation coupled with a pre-tax loss for the quarter; and</w:t>
      </w:r>
    </w:p>
    <w:p>
      <w:pPr>
        <w:spacing w:after="0" w:line="129"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quarter ended March 27, 2022, the Company recorded a net discrete tax benefit of $2.3 million, primarily associated with the release of certain valuation allowances during the quarter.</w:t>
      </w:r>
    </w:p>
    <w:p>
      <w:pPr>
        <w:spacing w:after="0" w:line="11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is no longer subject to U.S. federal income tax examinations for years before 2012. With few exceptions, the Company is no longer subject to U.S. state or local and non-U.S. income tax examinations by tax authorities in its major jurisdictions for years before 2016. The Company is currently under income tax examination by the Internal Revenue Service and in several U.S. state and local and non-U.S.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 There have been transfers between levels within the fair value hierarchy.</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9" w:name="page20"/>
    <w:bookmarkEnd w:id="1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April 2, 2023, March 27, 2022 and December 25, 2022, the Company had the following assets and liabilities measured at fair value in its consolidated balance sheets (excluding assets for which the fair value is measured using net asset value per share):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7"/>
              </w:rPr>
              <w:t>Fair Value Measurements Using:</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2"/>
              </w:rPr>
              <w:t>Quoted</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Prices in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Active</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Significant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Markets</w:t>
            </w:r>
          </w:p>
        </w:tc>
        <w:tc>
          <w:tcPr>
            <w:tcW w:w="1440" w:type="dxa"/>
            <w:vAlign w:val="bottom"/>
            <w:gridSpan w:val="2"/>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for</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Other</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Identical</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Observable</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3"/>
              </w:rPr>
              <w:t>Assets</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Inputs</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(Level 1)</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2)</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CCEEFF"/>
            </w:tcBorders>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April 2, 2023</w:t>
            </w:r>
          </w:p>
        </w:tc>
        <w:tc>
          <w:tcPr>
            <w:tcW w:w="8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4580" w:type="dxa"/>
            <w:vAlign w:val="bottom"/>
            <w:tcBorders>
              <w:top w:val="single" w:sz="8" w:color="CCEEFF"/>
            </w:tcBorders>
            <w:gridSpan w:val="3"/>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March 27, 2022</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11.5</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Option agreement</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25, 2022</w:t>
            </w:r>
          </w:p>
        </w:tc>
        <w:tc>
          <w:tcPr>
            <w:tcW w:w="4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 include equity securities of one company quoted on an active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0" w:name="page21"/>
    <w:bookmarkEnd w:id="2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("Discovery"). The option agreement is included in other liabilities at April 2, 2023, March 27, 2022 and December 25, 2022, and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the quarter ended April 2, 2023.</w:t>
      </w:r>
    </w:p>
    <w:p>
      <w:pPr>
        <w:spacing w:after="0" w:line="15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Balance at end of first quarter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Hasbro uses foreign currency forward contracts and foreign exchange option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7)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certain production financing loans and other cross-border transactions, primarily for the remainder of 2023, and to a lesser extent, into 2024.</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At April 2, 2023, March 27, 2022 and December 25, 2022, the notional amounts and fair values of the Company's foreign currency forward contracts designated as cash flow hedging instruments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ind w:left="640"/>
              <w:spacing w:after="0"/>
              <w:rPr>
                <w:sz w:val="20"/>
                <w:szCs w:val="20"/>
                <w:color w:val="auto"/>
              </w:rPr>
            </w:pPr>
            <w:r>
              <w:rPr>
                <w:rFonts w:ascii="Arial" w:cs="Arial" w:eastAsia="Arial" w:hAnsi="Arial"/>
                <w:sz w:val="18"/>
                <w:szCs w:val="18"/>
                <w:b w:val="1"/>
                <w:bCs w:val="1"/>
                <w:color w:val="auto"/>
              </w:rPr>
              <w:t>April 2, 2023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ind w:left="560"/>
              <w:spacing w:after="0"/>
              <w:rPr>
                <w:sz w:val="20"/>
                <w:szCs w:val="20"/>
                <w:color w:val="auto"/>
              </w:rPr>
            </w:pPr>
            <w:r>
              <w:rPr>
                <w:rFonts w:ascii="Arial" w:cs="Arial" w:eastAsia="Arial" w:hAnsi="Arial"/>
                <w:sz w:val="18"/>
                <w:szCs w:val="18"/>
                <w:b w:val="1"/>
                <w:bCs w:val="1"/>
                <w:color w:val="auto"/>
              </w:rPr>
              <w:t>March 27, 2022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25, 2022</w:t>
            </w:r>
          </w:p>
        </w:tc>
      </w:tr>
      <w:tr>
        <w:trPr>
          <w:trHeight w:val="169"/>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900" w:type="dxa"/>
            <w:vAlign w:val="bottom"/>
            <w:tcBorders>
              <w:top w:val="single" w:sz="8" w:color="auto"/>
            </w:tcBorders>
          </w:tcPr>
          <w:p>
            <w:pPr>
              <w:jc w:val="center"/>
              <w:ind w:left="310"/>
              <w:spacing w:after="0" w:line="169" w:lineRule="exact"/>
              <w:rPr>
                <w:sz w:val="20"/>
                <w:szCs w:val="20"/>
                <w:color w:val="auto"/>
              </w:rPr>
            </w:pPr>
            <w:r>
              <w:rPr>
                <w:rFonts w:ascii="Arial" w:cs="Arial" w:eastAsia="Arial" w:hAnsi="Arial"/>
                <w:sz w:val="18"/>
                <w:szCs w:val="18"/>
                <w:b w:val="1"/>
                <w:bCs w:val="1"/>
                <w:color w:val="auto"/>
              </w:rPr>
              <w:t>Fair</w:t>
            </w: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900" w:type="dxa"/>
            <w:vAlign w:val="bottom"/>
            <w:tcBorders>
              <w:top w:val="single" w:sz="8" w:color="auto"/>
            </w:tcBorders>
          </w:tcPr>
          <w:p>
            <w:pPr>
              <w:jc w:val="center"/>
              <w:ind w:left="330"/>
              <w:spacing w:after="0" w:line="169" w:lineRule="exact"/>
              <w:rPr>
                <w:sz w:val="20"/>
                <w:szCs w:val="20"/>
                <w:color w:val="auto"/>
              </w:rPr>
            </w:pPr>
            <w:r>
              <w:rPr>
                <w:rFonts w:ascii="Arial" w:cs="Arial" w:eastAsia="Arial" w:hAnsi="Arial"/>
                <w:sz w:val="18"/>
                <w:szCs w:val="18"/>
                <w:b w:val="1"/>
                <w:bCs w:val="1"/>
                <w:color w:val="auto"/>
                <w:w w:val="96"/>
              </w:rPr>
              <w:t>Fair</w:t>
            </w: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3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Fair</w:t>
            </w:r>
          </w:p>
        </w:tc>
        <w:tc>
          <w:tcPr>
            <w:tcW w:w="6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Hedged transaction</w:t>
            </w: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87"/>
              </w:rPr>
              <w:t>Value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w w:val="91"/>
              </w:rPr>
              <w:t>Value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87"/>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purchases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financing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April 2, 2023, March 27, 2022 and December 25, 2022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April 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27,</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25,</w:t>
            </w:r>
          </w:p>
        </w:tc>
      </w:tr>
      <w:tr>
        <w:trPr>
          <w:trHeight w:val="239"/>
        </w:trPr>
        <w:tc>
          <w:tcPr>
            <w:tcW w:w="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194"/>
        </w:trPr>
        <w:tc>
          <w:tcPr>
            <w:tcW w:w="20" w:type="dxa"/>
            <w:vAlign w:val="bottom"/>
            <w:shd w:val="clear" w:color="auto" w:fill="CCEEFF"/>
          </w:tcPr>
          <w:p>
            <w:pPr>
              <w:spacing w:after="0"/>
              <w:rPr>
                <w:sz w:val="16"/>
                <w:szCs w:val="16"/>
                <w:color w:val="auto"/>
              </w:rPr>
            </w:pPr>
          </w:p>
        </w:tc>
        <w:tc>
          <w:tcPr>
            <w:tcW w:w="6380" w:type="dxa"/>
            <w:vAlign w:val="bottom"/>
            <w:gridSpan w:val="5"/>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Prepaid expenses and other current assets</w:t>
            </w: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Net unrealized gains</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Other assets</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Unrealized losses</w:t>
            </w:r>
          </w:p>
        </w:tc>
        <w:tc>
          <w:tcPr>
            <w:tcW w:w="1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09"/>
        </w:trPr>
        <w:tc>
          <w:tcPr>
            <w:tcW w:w="20" w:type="dxa"/>
            <w:vAlign w:val="bottom"/>
            <w:shd w:val="clear" w:color="auto" w:fill="CCEEFF"/>
          </w:tcPr>
          <w:p>
            <w:pPr>
              <w:spacing w:after="0"/>
              <w:rPr>
                <w:sz w:val="18"/>
                <w:szCs w:val="18"/>
                <w:color w:val="auto"/>
              </w:rPr>
            </w:pPr>
          </w:p>
        </w:tc>
        <w:tc>
          <w:tcPr>
            <w:tcW w:w="638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4980" w:type="dxa"/>
            <w:vAlign w:val="bottom"/>
            <w:tcBorders>
              <w:top w:val="single" w:sz="8" w:color="CCEEFF"/>
            </w:tcBorders>
            <w:gridSpan w:val="2"/>
          </w:tcPr>
          <w:p>
            <w:pPr>
              <w:spacing w:after="0"/>
              <w:rPr>
                <w:sz w:val="19"/>
                <w:szCs w:val="19"/>
                <w:color w:val="auto"/>
              </w:rPr>
            </w:pPr>
          </w:p>
        </w:tc>
        <w:tc>
          <w:tcPr>
            <w:tcW w:w="1100" w:type="dxa"/>
            <w:vAlign w:val="bottom"/>
            <w:tcBorders>
              <w:top w:val="single" w:sz="8" w:color="CCEEFF"/>
            </w:tcBorders>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Net unrealized losses</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Other liabilities</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Unrealized losses</w:t>
            </w:r>
          </w:p>
        </w:tc>
        <w:tc>
          <w:tcPr>
            <w:tcW w:w="1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Net gains (losses) on cash flow hedging activities have been reclassified from other comprehensive earnings (loss) to net earnings for the quarters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 2023 and March 27, 2022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April 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27,</w:t>
            </w:r>
          </w:p>
        </w:tc>
        <w:tc>
          <w:tcPr>
            <w:tcW w:w="380" w:type="dxa"/>
            <w:vAlign w:val="bottom"/>
          </w:tcPr>
          <w:p>
            <w:pPr>
              <w:spacing w:after="0"/>
              <w:rPr>
                <w:sz w:val="14"/>
                <w:szCs w:val="14"/>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50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88"/>
              </w:rPr>
              <w:t>Statements of Operations Classification</w:t>
            </w:r>
          </w:p>
        </w:tc>
        <w:tc>
          <w:tcPr>
            <w:tcW w:w="50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5"/>
              </w:rPr>
              <w:t>2.5</w:t>
            </w:r>
          </w:p>
        </w:tc>
        <w:tc>
          <w:tcPr>
            <w:tcW w:w="12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(0.4)</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w:t>
            </w: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realized (losses) gains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Undesignated Hedges</w:t>
      </w:r>
    </w:p>
    <w:p>
      <w:pPr>
        <w:spacing w:after="0" w:line="19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April 2, 2023, March 27, 2022 and December 25, 2022 the total notional amounts of the Company's undesignated derivative instruments were $723.3 million, $665.0 million and $765.6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April 2, 2023, March 27, 2022 and December 25, 2022, the fair values of the Company's undesignated derivative financial instruments were recorded in the consolidated balance sheets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April 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27,</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25,</w:t>
            </w:r>
          </w:p>
        </w:tc>
      </w:tr>
      <w:tr>
        <w:trPr>
          <w:trHeight w:val="239"/>
        </w:trPr>
        <w:tc>
          <w:tcPr>
            <w:tcW w:w="2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194"/>
        </w:trPr>
        <w:tc>
          <w:tcPr>
            <w:tcW w:w="20" w:type="dxa"/>
            <w:vAlign w:val="bottom"/>
            <w:shd w:val="clear" w:color="auto" w:fill="CCEEFF"/>
          </w:tcPr>
          <w:p>
            <w:pPr>
              <w:spacing w:after="0"/>
              <w:rPr>
                <w:sz w:val="16"/>
                <w:szCs w:val="16"/>
                <w:color w:val="auto"/>
              </w:rPr>
            </w:pPr>
          </w:p>
        </w:tc>
        <w:tc>
          <w:tcPr>
            <w:tcW w:w="6380" w:type="dxa"/>
            <w:vAlign w:val="bottom"/>
            <w:gridSpan w:val="4"/>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Prepaid expenses and other current assets</w:t>
            </w: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unrealized gains</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3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Unrealized losses</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unrealized gains (losses), net</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recorded net gains (losses) of $4.4 million and $(2.6) million on these instruments to other (income) expense, net for the quarters ended April 2, 2023 and March 27, 2022, respectively, relating to the change in fair value of such derivatives, substantially offsetting gains and losses from the change in fair value of intercompany loans to which the contracts relate.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Company's derivative financial instruments (see notes 5 and 10).</w:t>
      </w:r>
    </w:p>
    <w:p>
      <w:pPr>
        <w:spacing w:after="0" w:line="18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occupies offices and uses certain equipment under various operating lease arrangements. The Company has no material finance leases. The Company's leases have remaining lease terms of 1 to 15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rent expense under such arrangements and similar arrangements that do not qualify as leases under ASU 2016-02, net of sublease income amounted to $23.5 million and $22.3 million for the quarters ended April 2, 2023 and March 27, 2022, respectively, and was not material to the Company's financial statements. Expenses related to short-term leases (expected terms less than 12 months) or variable lease payments was not material in the quarters ended April 2, 2023 or March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800735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3" w:name="page24"/>
    <w:bookmarkEnd w:id="2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Company’s leases for the quarters ended April 2, 2023 and March 27, 2022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Quarter Ended</w:t>
            </w:r>
          </w:p>
        </w:tc>
      </w:tr>
      <w:tr>
        <w:trPr>
          <w:trHeight w:val="169"/>
        </w:trPr>
        <w:tc>
          <w:tcPr>
            <w:tcW w:w="7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April 2,</w:t>
            </w:r>
          </w:p>
        </w:tc>
        <w:tc>
          <w:tcPr>
            <w:tcW w:w="260" w:type="dxa"/>
            <w:vAlign w:val="bottom"/>
          </w:tcPr>
          <w:p>
            <w:pPr>
              <w:spacing w:after="0"/>
              <w:rPr>
                <w:sz w:val="14"/>
                <w:szCs w:val="14"/>
                <w:color w:val="auto"/>
              </w:rPr>
            </w:pPr>
          </w:p>
        </w:tc>
        <w:tc>
          <w:tcPr>
            <w:tcW w:w="138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March 27,</w:t>
            </w:r>
          </w:p>
        </w:tc>
      </w:tr>
      <w:tr>
        <w:trPr>
          <w:trHeight w:val="239"/>
        </w:trPr>
        <w:tc>
          <w:tcPr>
            <w:tcW w:w="78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84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13.4</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Operating leases net of lease modifications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9.1</w:t>
            </w:r>
          </w:p>
        </w:tc>
      </w:tr>
      <w:tr>
        <w:trPr>
          <w:trHeight w:val="270"/>
        </w:trPr>
        <w:tc>
          <w:tcPr>
            <w:tcW w:w="7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7.3 years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years</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bl>
    <w:p>
      <w:pPr>
        <w:spacing w:after="0" w:line="33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is a reconciliation of future undiscounted cash flows to the operating liabilities, and the related right of use assets, included in our consolidated balance sheets as of April 2,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90"/>
              <w:spacing w:after="0" w:line="189" w:lineRule="exact"/>
              <w:rPr>
                <w:sz w:val="20"/>
                <w:szCs w:val="20"/>
                <w:color w:val="auto"/>
              </w:rPr>
            </w:pPr>
            <w:r>
              <w:rPr>
                <w:rFonts w:ascii="Arial" w:cs="Arial" w:eastAsia="Arial" w:hAnsi="Arial"/>
                <w:sz w:val="18"/>
                <w:szCs w:val="18"/>
                <w:b w:val="1"/>
                <w:bCs w:val="1"/>
                <w:color w:val="auto"/>
              </w:rPr>
              <w:t>April 2,</w:t>
            </w:r>
          </w:p>
        </w:tc>
      </w:tr>
      <w:tr>
        <w:trPr>
          <w:trHeight w:val="239"/>
        </w:trPr>
        <w:tc>
          <w:tcPr>
            <w:tcW w:w="94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three months ended April 2, 2023)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operating lease payments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30"/>
        </w:trPr>
        <w:tc>
          <w:tcPr>
            <w:tcW w:w="9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current portion of operating lease liabilities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48"/>
        </w:trPr>
        <w:tc>
          <w:tcPr>
            <w:tcW w:w="94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operating lease liability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4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Operating lease right-of-use assets, net </w:t>
            </w:r>
            <w:r>
              <w:rPr>
                <w:rFonts w:ascii="Arial" w:cs="Arial" w:eastAsia="Arial" w:hAnsi="Arial"/>
                <w:sz w:val="23"/>
                <w:szCs w:val="23"/>
                <w:color w:val="auto"/>
                <w:vertAlign w:val="superscript"/>
              </w:rPr>
              <w:t>(3)</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174.5</w:t>
            </w:r>
          </w:p>
        </w:tc>
      </w:tr>
      <w:tr>
        <w:trPr>
          <w:trHeight w:val="20"/>
        </w:trPr>
        <w:tc>
          <w:tcPr>
            <w:tcW w:w="9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Included in Accrued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Included in Other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Included in Property, plant, and equipment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0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Hasbro is a global play and entertainment company with a broad portfolio of brands and entertainment content spanning toys, games, licensed products ranging from traditional to digital, as well as film and television entertainment. The Company's three principal reportable segments are (i) Consumer Products, (ii) Wizards of the Coast and Digital Gaming, and (iii) Entertainment.</w:t>
      </w:r>
    </w:p>
    <w:p>
      <w:pPr>
        <w:spacing w:after="0" w:line="14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and Digital Gaming business engages in the promotion of the Company's brands through the development of trading card, role-playing and digital game experiences based on Hasbro and Wizards of the Coast games. The Entertainment segment engages in the development, acquisition, production, distribution and sale of world-class entertainment content including film, scripted and unscripted television, family programming, digital content and live entertainment.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of the Company's segments are the same as those referenced in note 1.</w:t>
      </w:r>
    </w:p>
    <w:p>
      <w:pPr>
        <w:spacing w:after="0" w:line="19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Results shown for the quarter ended April 2, 2023 are not necessarily representative of those which may be expected for the full year 2023, nor were those of the comparable 2022 periods representative of those actually experienced for the full year 2022. Similarly, such results are not necessarily those which would be achieved were each segment an unaffiliated business enterprise.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segment and a reconciliation to reported amounts for the quarters ended April 2, 2023 and March 27,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Quarter Ended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6"/>
          </w:tcPr>
          <w:p>
            <w:pPr>
              <w:ind w:left="660"/>
              <w:spacing w:after="0"/>
              <w:rPr>
                <w:sz w:val="20"/>
                <w:szCs w:val="20"/>
                <w:color w:val="auto"/>
              </w:rPr>
            </w:pPr>
            <w:r>
              <w:rPr>
                <w:rFonts w:ascii="Arial" w:cs="Arial" w:eastAsia="Arial" w:hAnsi="Arial"/>
                <w:sz w:val="18"/>
                <w:szCs w:val="18"/>
                <w:b w:val="1"/>
                <w:bCs w:val="1"/>
                <w:color w:val="auto"/>
              </w:rPr>
              <w:t>April 2, 2023</w:t>
            </w:r>
          </w:p>
        </w:tc>
        <w:tc>
          <w:tcPr>
            <w:tcW w:w="120" w:type="dxa"/>
            <w:vAlign w:val="bottom"/>
          </w:tcPr>
          <w:p>
            <w:pPr>
              <w:spacing w:after="0"/>
              <w:rPr>
                <w:sz w:val="19"/>
                <w:szCs w:val="19"/>
                <w:color w:val="auto"/>
              </w:rPr>
            </w:pPr>
          </w:p>
        </w:tc>
        <w:tc>
          <w:tcPr>
            <w:tcW w:w="264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March 27, 2022</w:t>
            </w:r>
          </w:p>
        </w:tc>
      </w:tr>
      <w:tr>
        <w:trPr>
          <w:trHeight w:val="183"/>
        </w:trPr>
        <w:tc>
          <w:tcPr>
            <w:tcW w:w="20" w:type="dxa"/>
            <w:vAlign w:val="bottom"/>
          </w:tcPr>
          <w:p>
            <w:pPr>
              <w:spacing w:after="0"/>
              <w:rPr>
                <w:sz w:val="15"/>
                <w:szCs w:val="15"/>
                <w:color w:val="auto"/>
              </w:rPr>
            </w:pPr>
          </w:p>
        </w:tc>
        <w:tc>
          <w:tcPr>
            <w:tcW w:w="562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External</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24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(a)</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(135.6)</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39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8"/>
          </w:tcPr>
          <w:p>
            <w:pPr>
              <w:jc w:val="right"/>
              <w:ind w:right="1040"/>
              <w:spacing w:after="0"/>
              <w:rPr>
                <w:sz w:val="20"/>
                <w:szCs w:val="20"/>
                <w:color w:val="auto"/>
              </w:rPr>
            </w:pPr>
            <w:r>
              <w:rPr>
                <w:rFonts w:ascii="Arial" w:cs="Arial" w:eastAsia="Arial" w:hAnsi="Arial"/>
                <w:sz w:val="18"/>
                <w:szCs w:val="18"/>
                <w:b w:val="1"/>
                <w:bCs w:val="1"/>
                <w:color w:val="auto"/>
              </w:rPr>
              <w:t>Quarter Ended</w:t>
            </w:r>
          </w:p>
        </w:tc>
      </w:tr>
      <w:tr>
        <w:trPr>
          <w:trHeight w:val="178"/>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b w:val="1"/>
                <w:bCs w:val="1"/>
                <w:color w:val="auto"/>
              </w:rPr>
              <w:t>April 2,</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290"/>
              <w:spacing w:after="0" w:line="177" w:lineRule="exact"/>
              <w:rPr>
                <w:sz w:val="20"/>
                <w:szCs w:val="20"/>
                <w:color w:val="auto"/>
              </w:rPr>
            </w:pPr>
            <w:r>
              <w:rPr>
                <w:rFonts w:ascii="Arial" w:cs="Arial" w:eastAsia="Arial" w:hAnsi="Arial"/>
                <w:sz w:val="18"/>
                <w:szCs w:val="18"/>
                <w:b w:val="1"/>
                <w:bCs w:val="1"/>
                <w:color w:val="auto"/>
                <w:w w:val="91"/>
              </w:rPr>
              <w:t>March 27,</w:t>
            </w:r>
          </w:p>
        </w:tc>
        <w:tc>
          <w:tcPr>
            <w:tcW w:w="4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6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Operating profit (loss)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90"/>
              <w:spacing w:after="0" w:line="194" w:lineRule="exact"/>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Consumer Products </w:t>
            </w:r>
            <w:r>
              <w:rPr>
                <w:rFonts w:ascii="Arial" w:cs="Arial" w:eastAsia="Arial" w:hAnsi="Arial"/>
                <w:sz w:val="12"/>
                <w:szCs w:val="12"/>
                <w:color w:val="auto"/>
              </w:rPr>
              <w:t>(a)</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106.4</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Entertainment </w:t>
            </w:r>
            <w:r>
              <w:rPr>
                <w:rFonts w:ascii="Arial" w:cs="Arial" w:eastAsia="Arial" w:hAnsi="Arial"/>
                <w:sz w:val="12"/>
                <w:szCs w:val="12"/>
                <w:color w:val="auto"/>
              </w:rPr>
              <w:t>(a)</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(a)</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1"/>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April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27,</w:t>
            </w:r>
          </w:p>
        </w:tc>
        <w:tc>
          <w:tcPr>
            <w:tcW w:w="18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25,</w:t>
            </w:r>
          </w:p>
        </w:tc>
      </w:tr>
      <w:tr>
        <w:trPr>
          <w:trHeight w:val="194"/>
        </w:trPr>
        <w:tc>
          <w:tcPr>
            <w:tcW w:w="20" w:type="dxa"/>
            <w:vAlign w:val="bottom"/>
          </w:tcPr>
          <w:p>
            <w:pPr>
              <w:spacing w:after="0"/>
              <w:rPr>
                <w:sz w:val="16"/>
                <w:szCs w:val="16"/>
                <w:color w:val="auto"/>
              </w:rPr>
            </w:pPr>
          </w:p>
        </w:tc>
        <w:tc>
          <w:tcPr>
            <w:tcW w:w="64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6"/>
                <w:szCs w:val="16"/>
                <w:color w:val="auto"/>
              </w:rPr>
            </w:pPr>
          </w:p>
        </w:tc>
        <w:tc>
          <w:tcPr>
            <w:tcW w:w="1240" w:type="dxa"/>
            <w:vAlign w:val="bottom"/>
          </w:tcPr>
          <w:p>
            <w:pPr>
              <w:jc w:val="right"/>
              <w:ind w:right="490"/>
              <w:spacing w:after="0" w:line="194"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490"/>
              <w:spacing w:after="0" w:line="194"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490"/>
              <w:spacing w:after="0" w:line="194" w:lineRule="exact"/>
              <w:rPr>
                <w:sz w:val="20"/>
                <w:szCs w:val="20"/>
                <w:color w:val="auto"/>
              </w:rPr>
            </w:pPr>
            <w:r>
              <w:rPr>
                <w:rFonts w:ascii="Arial" w:cs="Arial" w:eastAsia="Arial" w:hAnsi="Arial"/>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5,533.3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4,817.9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5,757.7</w:t>
            </w: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280" w:type="dxa"/>
            <w:vAlign w:val="bottom"/>
          </w:tcPr>
          <w:p>
            <w:pPr>
              <w:spacing w:after="0"/>
              <w:rPr>
                <w:sz w:val="19"/>
                <w:szCs w:val="19"/>
                <w:color w:val="auto"/>
              </w:rPr>
            </w:pPr>
          </w:p>
        </w:tc>
        <w:tc>
          <w:tcPr>
            <w:tcW w:w="1240" w:type="dxa"/>
            <w:vAlign w:val="bottom"/>
          </w:tcPr>
          <w:p>
            <w:pPr>
              <w:jc w:val="center"/>
              <w:ind w:left="450"/>
              <w:spacing w:after="0"/>
              <w:rPr>
                <w:sz w:val="20"/>
                <w:szCs w:val="20"/>
                <w:color w:val="auto"/>
              </w:rPr>
            </w:pPr>
            <w:r>
              <w:rPr>
                <w:rFonts w:ascii="Arial" w:cs="Arial" w:eastAsia="Arial" w:hAnsi="Arial"/>
                <w:sz w:val="18"/>
                <w:szCs w:val="18"/>
                <w:color w:val="auto"/>
                <w:w w:val="89"/>
              </w:rPr>
              <w:t>3,256.8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center"/>
              <w:ind w:left="510"/>
              <w:spacing w:after="0"/>
              <w:rPr>
                <w:sz w:val="20"/>
                <w:szCs w:val="20"/>
                <w:color w:val="auto"/>
              </w:rPr>
            </w:pPr>
            <w:r>
              <w:rPr>
                <w:rFonts w:ascii="Arial" w:cs="Arial" w:eastAsia="Arial" w:hAnsi="Arial"/>
                <w:sz w:val="18"/>
                <w:szCs w:val="18"/>
                <w:color w:val="auto"/>
                <w:w w:val="89"/>
              </w:rPr>
              <w:t>1,877.7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570"/>
              <w:spacing w:after="0"/>
              <w:rPr>
                <w:sz w:val="20"/>
                <w:szCs w:val="20"/>
                <w:color w:val="auto"/>
              </w:rPr>
            </w:pPr>
            <w:r>
              <w:rPr>
                <w:rFonts w:ascii="Arial" w:cs="Arial" w:eastAsia="Arial" w:hAnsi="Arial"/>
                <w:sz w:val="18"/>
                <w:szCs w:val="18"/>
                <w:color w:val="auto"/>
                <w:w w:val="89"/>
              </w:rPr>
              <w:t>2,968.7</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Entertainment </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6,272.7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6,214.4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6,273.3</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(a)</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1"/>
              </w:rPr>
              <w:t>(6,139.1)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1"/>
              </w:rPr>
              <w:t>(3,391.3)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1"/>
              </w:rPr>
              <w:t>(5,703.8)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8,923.7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9"/>
              </w:rPr>
              <w:t>9,518.7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9"/>
              </w:rPr>
              <w:t>9,295.9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0" w:firstLine="8"/>
        <w:spacing w:after="0" w:line="269" w:lineRule="auto"/>
        <w:tabs>
          <w:tab w:leader="none" w:pos="204"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Beginning in 2022, the Company has allocated certain of the intangible amortization costs related to the assets acquired in the eOne Acquisition, between the Consumer Products and Entertainment segments. Corporate and Other also includes the elimination of inter-company balance sheet amounts.</w:t>
      </w:r>
    </w:p>
    <w:p>
      <w:pPr>
        <w:spacing w:after="0" w:line="150" w:lineRule="exact"/>
        <w:rPr>
          <w:rFonts w:ascii="Arial" w:cs="Arial" w:eastAsia="Arial" w:hAnsi="Arial"/>
          <w:sz w:val="14"/>
          <w:szCs w:val="14"/>
          <w:i w:val="1"/>
          <w:iCs w:val="1"/>
          <w:color w:val="auto"/>
        </w:rPr>
      </w:pPr>
    </w:p>
    <w:p>
      <w:pPr>
        <w:ind w:left="220" w:hanging="212"/>
        <w:spacing w:after="0"/>
        <w:tabs>
          <w:tab w:leader="none" w:pos="2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revenues from transactions with other operating segments that are included in the operating profit (loss) of the segment.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consolidated Consumer Products segment net revenues by major geographic region for the quarters ended April 2,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27,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Quarter Ended</w:t>
            </w:r>
          </w:p>
        </w:tc>
      </w:tr>
      <w:tr>
        <w:trPr>
          <w:trHeight w:val="169"/>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180"/>
              <w:spacing w:after="0" w:line="169" w:lineRule="exact"/>
              <w:rPr>
                <w:sz w:val="20"/>
                <w:szCs w:val="20"/>
                <w:color w:val="auto"/>
              </w:rPr>
            </w:pPr>
            <w:r>
              <w:rPr>
                <w:rFonts w:ascii="Arial" w:cs="Arial" w:eastAsia="Arial" w:hAnsi="Arial"/>
                <w:sz w:val="18"/>
                <w:szCs w:val="18"/>
                <w:b w:val="1"/>
                <w:bCs w:val="1"/>
                <w:color w:val="auto"/>
              </w:rPr>
              <w:t>April 2,</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27,</w:t>
            </w:r>
          </w:p>
        </w:tc>
      </w:tr>
      <w:tr>
        <w:trPr>
          <w:trHeight w:val="239"/>
        </w:trPr>
        <w:tc>
          <w:tcPr>
            <w:tcW w:w="8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7"/>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represents consolidated Wizards of the Coast and Digital Gaming segment net revenues by category for the quarters ended April 2, 2023 and March 27,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178"/>
        </w:trPr>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180"/>
              <w:spacing w:after="0" w:line="177" w:lineRule="exact"/>
              <w:rPr>
                <w:sz w:val="20"/>
                <w:szCs w:val="20"/>
                <w:color w:val="auto"/>
              </w:rPr>
            </w:pPr>
            <w:r>
              <w:rPr>
                <w:rFonts w:ascii="Arial" w:cs="Arial" w:eastAsia="Arial" w:hAnsi="Arial"/>
                <w:sz w:val="18"/>
                <w:szCs w:val="18"/>
                <w:b w:val="1"/>
                <w:bCs w:val="1"/>
                <w:color w:val="auto"/>
              </w:rPr>
              <w:t>April 2,</w:t>
            </w:r>
          </w:p>
        </w:tc>
        <w:tc>
          <w:tcPr>
            <w:tcW w:w="240" w:type="dxa"/>
            <w:vAlign w:val="bottom"/>
          </w:tcPr>
          <w:p>
            <w:pPr>
              <w:spacing w:after="0"/>
              <w:rPr>
                <w:sz w:val="15"/>
                <w:szCs w:val="15"/>
                <w:color w:val="auto"/>
              </w:rPr>
            </w:pPr>
          </w:p>
        </w:tc>
        <w:tc>
          <w:tcPr>
            <w:tcW w:w="128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March 27,</w:t>
            </w:r>
          </w:p>
        </w:tc>
      </w:tr>
      <w:tr>
        <w:trPr>
          <w:trHeight w:val="234"/>
        </w:trPr>
        <w:tc>
          <w:tcPr>
            <w:tcW w:w="80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Tabletop Gaming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 and Licensed Gaming</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consolidated Entertainment segment net revenues by category for the quarters ended April 2, 2023 and March 27,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line="169" w:lineRule="exact"/>
              <w:rPr>
                <w:sz w:val="20"/>
                <w:szCs w:val="20"/>
                <w:color w:val="auto"/>
              </w:rPr>
            </w:pPr>
            <w:r>
              <w:rPr>
                <w:rFonts w:ascii="Arial" w:cs="Arial" w:eastAsia="Arial" w:hAnsi="Arial"/>
                <w:sz w:val="18"/>
                <w:szCs w:val="18"/>
                <w:b w:val="1"/>
                <w:bCs w:val="1"/>
                <w:color w:val="auto"/>
              </w:rPr>
              <w:t>April 2,</w:t>
            </w:r>
          </w:p>
        </w:tc>
        <w:tc>
          <w:tcPr>
            <w:tcW w:w="24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27,</w:t>
            </w:r>
          </w:p>
        </w:tc>
      </w:tr>
      <w:tr>
        <w:trPr>
          <w:trHeight w:val="239"/>
        </w:trPr>
        <w:tc>
          <w:tcPr>
            <w:tcW w:w="80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Effective for the first quarter of 2023, the Company realigned its brand portfolios to correspond with the Blueprint 2.0 strategy. Net Revenues by Brand Portfolio below have been restated to present net revenues and operating profit under the realigned structure. See note 1 for more information on the Company's brand portfolio realignment.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consolidated net revenues by brand portfolio for the quarters ended April 2, 2023 and March 27,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169"/>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line="169" w:lineRule="exact"/>
              <w:rPr>
                <w:sz w:val="20"/>
                <w:szCs w:val="20"/>
                <w:color w:val="auto"/>
              </w:rPr>
            </w:pPr>
            <w:r>
              <w:rPr>
                <w:rFonts w:ascii="Arial" w:cs="Arial" w:eastAsia="Arial" w:hAnsi="Arial"/>
                <w:sz w:val="18"/>
                <w:szCs w:val="18"/>
                <w:b w:val="1"/>
                <w:bCs w:val="1"/>
                <w:color w:val="auto"/>
              </w:rPr>
              <w:t>April 2,</w:t>
            </w:r>
          </w:p>
        </w:tc>
        <w:tc>
          <w:tcPr>
            <w:tcW w:w="240" w:type="dxa"/>
            <w:vAlign w:val="bottom"/>
          </w:tcPr>
          <w:p>
            <w:pPr>
              <w:spacing w:after="0"/>
              <w:rPr>
                <w:sz w:val="14"/>
                <w:szCs w:val="14"/>
                <w:color w:val="auto"/>
              </w:rPr>
            </w:pPr>
          </w:p>
        </w:tc>
        <w:tc>
          <w:tcPr>
            <w:tcW w:w="12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27,</w:t>
            </w:r>
          </w:p>
        </w:tc>
      </w:tr>
      <w:tr>
        <w:trPr>
          <w:trHeight w:val="202"/>
        </w:trPr>
        <w:tc>
          <w:tcPr>
            <w:tcW w:w="20" w:type="dxa"/>
            <w:vAlign w:val="bottom"/>
          </w:tcPr>
          <w:p>
            <w:pPr>
              <w:spacing w:after="0"/>
              <w:rPr>
                <w:sz w:val="17"/>
                <w:szCs w:val="17"/>
                <w:color w:val="auto"/>
              </w:rPr>
            </w:pPr>
          </w:p>
        </w:tc>
        <w:tc>
          <w:tcPr>
            <w:tcW w:w="80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280" w:type="dxa"/>
            <w:vAlign w:val="bottom"/>
          </w:tcPr>
          <w:p>
            <w:pPr>
              <w:spacing w:after="0"/>
              <w:rPr>
                <w:sz w:val="17"/>
                <w:szCs w:val="17"/>
                <w:color w:val="auto"/>
              </w:rPr>
            </w:pPr>
          </w:p>
        </w:tc>
        <w:tc>
          <w:tcPr>
            <w:tcW w:w="124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Brands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Partner Brands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206.5</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Portfolio Brands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Non-Hasbro Branded Film &amp; TV</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Net revenues from Hasbro's Total Gaming category, including all gaming revenue, most notably DUNGEONS &amp; DRAGONS, MAGIC: THE GATHERING and Hasbro Gaming, totaled $386.5 million and $378.8 million for the quarters ended April 2, 2023 and March 27, 2022, respectively, of which MAGIC: THE GATHERING contributed $229.1 million and $197.2 million, respectively.</w:t>
      </w:r>
    </w:p>
    <w:p>
      <w:pPr>
        <w:spacing w:after="0" w:line="139"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2018 and 2020, the Company took certain restructuring actions including headcount reduction aimed at right-sizing the Company’s cost-structure and integration actions related to the acquisition of eOne. As of April 2, 2023, the Company had a remaining balance of $8.2 million in severance and other employee expenses related to these programs, after making payments of $0.9 million during the first three months of 2023.</w:t>
      </w:r>
    </w:p>
    <w:p>
      <w:pPr>
        <w:spacing w:after="0" w:line="5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2022, in support of Blueprint 2.0, Hasbro announced an Operational Excellence program under which the Company took certain restructuring actions, including global workforce reductions, resulting in severance and other employee charges of $94.1 million recorded in Selling, Distribution and Administration within the Corporate and Other segment.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The detail of activity related to the Company's Operational Excellence program as of April 2, 2023 is as follows: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38"/>
        </w:trPr>
        <w:tc>
          <w:tcPr>
            <w:tcW w:w="9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23"/>
        </w:trPr>
        <w:tc>
          <w:tcPr>
            <w:tcW w:w="9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amounts to be paid as of December 25, 2022</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84.9</w:t>
            </w:r>
          </w:p>
        </w:tc>
        <w:tc>
          <w:tcPr>
            <w:tcW w:w="220" w:type="dxa"/>
            <w:vAlign w:val="bottom"/>
          </w:tcPr>
          <w:p>
            <w:pPr>
              <w:spacing w:after="0"/>
              <w:rPr>
                <w:sz w:val="19"/>
                <w:szCs w:val="19"/>
                <w:color w:val="auto"/>
              </w:rPr>
            </w:pPr>
          </w:p>
        </w:tc>
      </w:tr>
      <w:tr>
        <w:trPr>
          <w:trHeight w:val="230"/>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made in the first three months of 2023</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3"/>
              </w:rPr>
              <w:t>(16.2)</w:t>
            </w:r>
          </w:p>
        </w:tc>
        <w:tc>
          <w:tcPr>
            <w:tcW w:w="220" w:type="dxa"/>
            <w:vAlign w:val="bottom"/>
          </w:tcPr>
          <w:p>
            <w:pPr>
              <w:spacing w:after="0"/>
              <w:rPr>
                <w:sz w:val="19"/>
                <w:szCs w:val="19"/>
                <w:color w:val="auto"/>
              </w:rPr>
            </w:pP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amounts to be paid as of April 2, 2023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68.7</w:t>
            </w:r>
          </w:p>
        </w:tc>
        <w:tc>
          <w:tcPr>
            <w:tcW w:w="220" w:type="dxa"/>
            <w:vAlign w:val="bottom"/>
          </w:tcPr>
          <w:p>
            <w:pPr>
              <w:spacing w:after="0"/>
              <w:rPr>
                <w:sz w:val="21"/>
                <w:szCs w:val="21"/>
                <w:color w:val="auto"/>
              </w:rPr>
            </w:pP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03"/>
        </w:trPr>
        <w:tc>
          <w:tcPr>
            <w:tcW w:w="9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OBJECTIVE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objective within the following discussion is to provide an analysis of the Company’s Results of Operations, Financial Condition, and Cash Flows from management's perspective, which should be read in conjunction with the Company’s consolidated financial statements and notes thereto, included in Part I, Item 1 of this Form 10-Q.</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otherwise specifically indicated, all dollar or share amounts within tables herein are expressed in millions of dollars or shares, except for per share amounts.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08"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Hasbro, Inc. (“Hasbro”) is a global Branded Entertainment leader whose mission is to entertain and connect generations of fans through the wonder of storytelling and exhilaration of play. Hasbro delivers engaging brand experiences for global audiences across gaming, consumer products and entertainment, with a portfolio of iconic brands including MAGIC: THE GATHERING, DUNGEONS &amp; DRAGONS, Hasbro Gaming, NERF, TRANSFORMERS, PLAY-DOH and PEPPA PIG, as well as premier partner brands.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Hasbro is guided by our purpose to create joy and community for all people around the world, one game, one toy, one story at a time.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more than a decade, we have been consistently recognized for our corporate citizenship, including being named one of the 100 Best Corporate Citizens by 3BL Media, one of the World’s Most Ethical Companies by Ethisphere Institute and one of the 50 Most Community-Minded Companies in the U.S. by the Civic 50.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Leadership</w:t>
      </w:r>
    </w:p>
    <w:p>
      <w:pPr>
        <w:spacing w:after="0" w:line="117" w:lineRule="exact"/>
        <w:rPr>
          <w:sz w:val="20"/>
          <w:szCs w:val="20"/>
          <w:color w:val="auto"/>
        </w:rPr>
      </w:pPr>
    </w:p>
    <w:p>
      <w:pPr>
        <w:ind w:left="340" w:right="20"/>
        <w:spacing w:after="0" w:line="286" w:lineRule="auto"/>
        <w:rPr>
          <w:sz w:val="20"/>
          <w:szCs w:val="20"/>
          <w:color w:val="auto"/>
        </w:rPr>
      </w:pPr>
      <w:r>
        <w:rPr>
          <w:rFonts w:ascii="Arial" w:cs="Arial" w:eastAsia="Arial" w:hAnsi="Arial"/>
          <w:sz w:val="17"/>
          <w:szCs w:val="17"/>
          <w:color w:val="auto"/>
        </w:rPr>
        <w:t>On April 12, 2023, the Company announced the appointment of Gina Goetter as Chief Financial Officer, effective May 18, 2023, following the Company’s Annual Meeting of Shareholders. Ms. Goetter joins Hasbro from Harley Davidson, Inc., where she served as Chief Financial Officer. Prior to her time at Harley Davidson, Ms. Goetter served in senior leadership roles at Tyson Foods, Inc. and General Mills, Inc.</w:t>
      </w:r>
    </w:p>
    <w:p>
      <w:pPr>
        <w:spacing w:after="0" w:line="57"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On April 12, 2023, the Company announced the appointment of Tim Kilpin as President, Toy, Licensing &amp; Entertainment, effective April 24, 2023. Mr. Kilpin joins Hasbro from PlayMonster Group, LLC, where he served as Executive Chairman and Chief Executive Officer. Previously, Mr. Kilpin held senior leadership positions within the toy and entertainment industry at companies that include Activision Blizzard, Inc., Mattel, Inc. and The Walt Disney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Review</w:t>
      </w:r>
    </w:p>
    <w:p>
      <w:pPr>
        <w:spacing w:after="0" w:line="117" w:lineRule="exact"/>
        <w:rPr>
          <w:sz w:val="20"/>
          <w:szCs w:val="20"/>
          <w:color w:val="auto"/>
        </w:rPr>
      </w:pPr>
    </w:p>
    <w:p>
      <w:pPr>
        <w:ind w:left="340" w:right="300"/>
        <w:spacing w:after="0" w:line="272" w:lineRule="auto"/>
        <w:rPr>
          <w:sz w:val="20"/>
          <w:szCs w:val="20"/>
          <w:color w:val="auto"/>
        </w:rPr>
      </w:pPr>
      <w:r>
        <w:rPr>
          <w:rFonts w:ascii="Arial" w:cs="Arial" w:eastAsia="Arial" w:hAnsi="Arial"/>
          <w:sz w:val="17"/>
          <w:szCs w:val="17"/>
          <w:color w:val="auto"/>
        </w:rPr>
        <w:t>On October 4, 2022, following a several months long strategic review of our business led by our CEO, we announced a go-forward strategic plan guided by our new Blueprint 2.0, a consumer-centric framework for bringing compelling and expansive brand experiences to audiences around the world. Our Blueprint 2.0 strategy focuses on what has driven our business for the past one hundred years and will serve as our foundation going forward: Play. During our review we identified opportunities to focus and scale our business, enhance operational excellence, including through specialized organizational programs and supply chain transformation, to drive growth and profit and enhance shareholder value. We are increasing strategic investment in our most valuable and profitable franchises across toys, games, entertainment and licensing, and exiting certain non-core aspects of the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Hasbro Transformation Office</w:t>
      </w:r>
    </w:p>
    <w:p>
      <w:pPr>
        <w:spacing w:after="0" w:line="117" w:lineRule="exact"/>
        <w:rPr>
          <w:sz w:val="20"/>
          <w:szCs w:val="20"/>
          <w:color w:val="auto"/>
        </w:rPr>
      </w:pPr>
    </w:p>
    <w:p>
      <w:pPr>
        <w:ind w:left="340" w:right="160"/>
        <w:spacing w:after="0" w:line="275" w:lineRule="auto"/>
        <w:rPr>
          <w:sz w:val="20"/>
          <w:szCs w:val="20"/>
          <w:color w:val="auto"/>
        </w:rPr>
      </w:pPr>
      <w:r>
        <w:rPr>
          <w:rFonts w:ascii="Arial" w:cs="Arial" w:eastAsia="Arial" w:hAnsi="Arial"/>
          <w:sz w:val="17"/>
          <w:szCs w:val="17"/>
          <w:color w:val="auto"/>
        </w:rPr>
        <w:t>Under our new strategic plan, we launched the Hasbro Transformation Office (HTO), a team of leaders dedicated to running a disciplined, purpose-built company that is simpler, more efficient and redesigned to drive long-term sustainable growth in markets in which we compete. Our HTO aligns and delivers on our Operational Excellence program, an enterprise-wide cost-saving initiative intended to improve our business financially, operationally and culturally from our current state and designed to deliver $250 million to $300 million in run-rate cost savings by the end of 2025. During the first quarter of 2023, we realized an additional $35 million of run-rate cost savings.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TV and Film Business</w:t>
      </w:r>
    </w:p>
    <w:p>
      <w:pPr>
        <w:spacing w:after="0" w:line="117" w:lineRule="exact"/>
        <w:rPr>
          <w:sz w:val="20"/>
          <w:szCs w:val="20"/>
          <w:color w:val="auto"/>
        </w:rPr>
      </w:pPr>
    </w:p>
    <w:p>
      <w:pPr>
        <w:ind w:left="340"/>
        <w:spacing w:after="0" w:line="301" w:lineRule="auto"/>
        <w:rPr>
          <w:sz w:val="20"/>
          <w:szCs w:val="20"/>
          <w:color w:val="auto"/>
        </w:rPr>
      </w:pPr>
      <w:r>
        <w:rPr>
          <w:rFonts w:ascii="Arial" w:cs="Arial" w:eastAsia="Arial" w:hAnsi="Arial"/>
          <w:sz w:val="16"/>
          <w:szCs w:val="16"/>
          <w:color w:val="auto"/>
        </w:rPr>
        <w:t>On November 17, 2022, we announced an authorization by Hasbro's Board of Directors to initiate a marketing process to explore a sale of parts of our eOne TV and film business that do not directly support the Company’s Branded Entertainment strategy. In the event a transaction were to occur, Hasbro is expected to maintain the capability to develop and produce animation, digital shorts, scripted TV and theatrical films for audiences related to core Hasbro IP. The family brands business, including the brands PEPPA PIG and PJ MASKS, is not expected to be part of any sale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28" w:name="page29"/>
    <w:bookmarkEnd w:id="28"/>
    <w:p>
      <w:pPr>
        <w:ind w:left="340" w:right="20"/>
        <w:spacing w:after="0" w:line="277" w:lineRule="auto"/>
        <w:rPr>
          <w:sz w:val="20"/>
          <w:szCs w:val="20"/>
          <w:color w:val="auto"/>
        </w:rPr>
      </w:pPr>
      <w:r>
        <w:rPr>
          <w:rFonts w:ascii="Arial" w:cs="Arial" w:eastAsia="Arial" w:hAnsi="Arial"/>
          <w:sz w:val="18"/>
          <w:szCs w:val="18"/>
          <w:color w:val="auto"/>
        </w:rPr>
        <w:t>involving parts of the eOne film and television business. The sale process was ongoing as of the close of the first quarter of 2023 however, there can be no assurance that the process will result in a sale.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Workforce Reduction</w:t>
      </w:r>
    </w:p>
    <w:p>
      <w:pPr>
        <w:spacing w:after="0" w:line="117" w:lineRule="exact"/>
        <w:rPr>
          <w:sz w:val="20"/>
          <w:szCs w:val="20"/>
          <w:color w:val="auto"/>
        </w:rPr>
      </w:pPr>
    </w:p>
    <w:p>
      <w:pPr>
        <w:jc w:val="both"/>
        <w:ind w:left="340" w:right="40"/>
        <w:spacing w:after="0" w:line="263" w:lineRule="auto"/>
        <w:rPr>
          <w:sz w:val="20"/>
          <w:szCs w:val="20"/>
          <w:color w:val="auto"/>
        </w:rPr>
      </w:pPr>
      <w:r>
        <w:rPr>
          <w:rFonts w:ascii="Arial" w:cs="Arial" w:eastAsia="Arial" w:hAnsi="Arial"/>
          <w:sz w:val="18"/>
          <w:szCs w:val="18"/>
          <w:color w:val="auto"/>
        </w:rPr>
        <w:t>In alignment with the objectives of our Operational Excellence program, on January 26, 2023, we announced the undertaking of certain organizational changes which will result in the elimination of approximately 1,000 positions from our global workforce in 2023, or approximately 15% of global full-time employees.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Brand Portfolio Realignment</w:t>
      </w:r>
    </w:p>
    <w:p>
      <w:pPr>
        <w:spacing w:after="0" w:line="117"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Effective for the first quarter 2023, we realigned our brand portfolios to correspond with the evolution of our Blueprint 2.0 strategy. We are focusing on fewer, bigger, more profitable brands that showcase our leadership in preschool toys, action figures and accessories, games, arts &amp; crafts, and outdoor action brands.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new product categories beginning in the first quarter of 2023 are as follows:</w:t>
      </w:r>
    </w:p>
    <w:p>
      <w:pPr>
        <w:spacing w:after="0" w:line="117" w:lineRule="exact"/>
        <w:rPr>
          <w:sz w:val="20"/>
          <w:szCs w:val="20"/>
          <w:color w:val="auto"/>
        </w:rPr>
      </w:pPr>
    </w:p>
    <w:p>
      <w:pPr>
        <w:ind w:left="660" w:right="260" w:hanging="328"/>
        <w:spacing w:after="0" w:line="277" w:lineRule="auto"/>
        <w:tabs>
          <w:tab w:leader="none" w:pos="65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Franchise Brands</w:t>
      </w:r>
      <w:r>
        <w:rPr>
          <w:rFonts w:ascii="Arial" w:cs="Arial" w:eastAsia="Arial" w:hAnsi="Arial"/>
          <w:sz w:val="18"/>
          <w:szCs w:val="18"/>
          <w:color w:val="auto"/>
        </w:rPr>
        <w:t xml:space="preserve"> - A refreshed group of our most profitable brands that includes DUNGEONS &amp; DRAGONS, Hasbro Gaming, MAGIC: THE GATHERING, NERF, PEPPA PIG, PLAY-DOH, and TRANSFORMERS.</w:t>
      </w:r>
    </w:p>
    <w:p>
      <w:pPr>
        <w:spacing w:after="0" w:line="62" w:lineRule="exact"/>
        <w:rPr>
          <w:rFonts w:ascii="Arial" w:cs="Arial" w:eastAsia="Arial" w:hAnsi="Arial"/>
          <w:sz w:val="18"/>
          <w:szCs w:val="18"/>
          <w:color w:val="auto"/>
        </w:rPr>
      </w:pPr>
    </w:p>
    <w:p>
      <w:pPr>
        <w:ind w:left="660" w:right="20" w:hanging="328"/>
        <w:spacing w:after="0" w:line="263" w:lineRule="auto"/>
        <w:tabs>
          <w:tab w:leader="none" w:pos="65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Partner Brands</w:t>
      </w:r>
      <w:r>
        <w:rPr>
          <w:rFonts w:ascii="Arial" w:cs="Arial" w:eastAsia="Arial" w:hAnsi="Arial"/>
          <w:sz w:val="18"/>
          <w:szCs w:val="18"/>
          <w:color w:val="auto"/>
        </w:rPr>
        <w:t xml:space="preserve"> - The Partner Brands category includes those brands we license from other parties such as Disney's STAR WARS and MARVEL as well as other partners, for which we develop toy and game products, with a focus on those key Partner Brands that give us the largest growth potential and where we can lead and innovate in the category.</w:t>
      </w:r>
    </w:p>
    <w:p>
      <w:pPr>
        <w:spacing w:after="0" w:line="75" w:lineRule="exact"/>
        <w:rPr>
          <w:rFonts w:ascii="Arial" w:cs="Arial" w:eastAsia="Arial" w:hAnsi="Arial"/>
          <w:sz w:val="18"/>
          <w:szCs w:val="18"/>
          <w:color w:val="auto"/>
        </w:rPr>
      </w:pPr>
    </w:p>
    <w:p>
      <w:pPr>
        <w:ind w:left="660" w:right="140" w:hanging="328"/>
        <w:spacing w:after="0" w:line="277" w:lineRule="auto"/>
        <w:tabs>
          <w:tab w:leader="none" w:pos="65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Portfolio Brands</w:t>
      </w:r>
      <w:r>
        <w:rPr>
          <w:rFonts w:ascii="Arial" w:cs="Arial" w:eastAsia="Arial" w:hAnsi="Arial"/>
          <w:sz w:val="18"/>
          <w:szCs w:val="18"/>
          <w:color w:val="auto"/>
        </w:rPr>
        <w:t xml:space="preserve"> - Our Portfolio Brands category includes those brands we own or control which we feel have upside in revenue and profitability that have not yet grown to the significance of a franchise brand.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Non-Hasbro Branded Film &amp; TV</w:t>
      </w:r>
      <w:r>
        <w:rPr>
          <w:rFonts w:ascii="Arial" w:cs="Arial" w:eastAsia="Arial" w:hAnsi="Arial"/>
          <w:sz w:val="18"/>
          <w:szCs w:val="18"/>
          <w:color w:val="auto"/>
        </w:rPr>
        <w:t xml:space="preserve"> - The Non-Hasbro Branded Film &amp; TV category includes non-Hasbro-branded film, TV and other entertainment related revenues. All Hasbro-branded content is included in the portfolios noted above.</w:t>
      </w:r>
    </w:p>
    <w:p>
      <w:pPr>
        <w:spacing w:after="0" w:line="6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each of the periods presented in this Form 10-Q there were certain charges incurred which impacted operating segment results in the Company’s Consumer Products, Entertainment and Corporate and Other segments. These charges are discussed below in Results of Operations - Consolidated.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2023 highlights:</w:t>
      </w:r>
    </w:p>
    <w:p>
      <w:pPr>
        <w:spacing w:after="0" w:line="117" w:lineRule="exact"/>
        <w:rPr>
          <w:sz w:val="20"/>
          <w:szCs w:val="20"/>
          <w:color w:val="auto"/>
        </w:rPr>
      </w:pPr>
    </w:p>
    <w:p>
      <w:pPr>
        <w:ind w:left="500" w:right="700" w:hanging="492"/>
        <w:spacing w:after="0" w:line="342" w:lineRule="auto"/>
        <w:tabs>
          <w:tab w:leader="none" w:pos="4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First quarter net revenues of $1.0 billion decreased 14% compared to the first quarter of 2022 and included an unfavorable foreign currency translation of $15.8 million. Absent the unfavorable impact of foreign currency exchange, first quarter net revenues decreased 13%.</w:t>
      </w:r>
    </w:p>
    <w:p>
      <w:pPr>
        <w:spacing w:after="0" w:line="15" w:lineRule="exact"/>
        <w:rPr>
          <w:rFonts w:ascii="Arial" w:cs="Arial" w:eastAsia="Arial" w:hAnsi="Arial"/>
          <w:sz w:val="16"/>
          <w:szCs w:val="16"/>
          <w:color w:val="auto"/>
        </w:rPr>
      </w:pPr>
    </w:p>
    <w:p>
      <w:pPr>
        <w:ind w:left="1300" w:right="640" w:hanging="482"/>
        <w:spacing w:after="0" w:line="342"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Consumer Products segment net revenues declined 23% to $520.4 million. Wizards of the Coast and Digital Gaming segment net revenues increased 12% to $295.2 million; and Entertainment segment net revenues declined 19% to $185.4 million.</w:t>
      </w:r>
    </w:p>
    <w:p>
      <w:pPr>
        <w:spacing w:after="0" w:line="15" w:lineRule="exact"/>
        <w:rPr>
          <w:rFonts w:ascii="Arial" w:cs="Arial" w:eastAsia="Arial" w:hAnsi="Arial"/>
          <w:sz w:val="16"/>
          <w:szCs w:val="16"/>
          <w:color w:val="auto"/>
        </w:rPr>
      </w:pPr>
    </w:p>
    <w:p>
      <w:pPr>
        <w:ind w:left="1300" w:right="320" w:hanging="482"/>
        <w:spacing w:after="0" w:line="277" w:lineRule="auto"/>
        <w:tabs>
          <w:tab w:leader="none" w:pos="12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Net revenues from Franchise Brands declined 6%; Partner Brands net revenues declined 36%; Portfolio Brands net revenues declined 18%; and Other Entertainment net revenues declined 16%.</w:t>
      </w:r>
    </w:p>
    <w:p>
      <w:pPr>
        <w:spacing w:after="0" w:line="62" w:lineRule="exact"/>
        <w:rPr>
          <w:rFonts w:ascii="Arial" w:cs="Arial" w:eastAsia="Arial" w:hAnsi="Arial"/>
          <w:sz w:val="18"/>
          <w:szCs w:val="18"/>
          <w:color w:val="auto"/>
        </w:rPr>
      </w:pPr>
    </w:p>
    <w:p>
      <w:pPr>
        <w:ind w:left="500" w:right="220" w:hanging="492"/>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profit was $17.9 million, or 1.8% of net revenue in the first quarter of 2023 compared to operating profit of $120.0 million, or 10.3% of net revenue, in the first quarter of 2022.</w:t>
      </w:r>
    </w:p>
    <w:p>
      <w:pPr>
        <w:spacing w:after="0" w:line="62" w:lineRule="exact"/>
        <w:rPr>
          <w:rFonts w:ascii="Arial" w:cs="Arial" w:eastAsia="Arial" w:hAnsi="Arial"/>
          <w:sz w:val="18"/>
          <w:szCs w:val="18"/>
          <w:color w:val="auto"/>
        </w:rPr>
      </w:pPr>
    </w:p>
    <w:p>
      <w:pPr>
        <w:ind w:left="1300" w:right="160" w:hanging="482"/>
        <w:spacing w:after="0" w:line="259" w:lineRule="auto"/>
        <w:tabs>
          <w:tab w:leader="none" w:pos="12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Operating results in the Consumer Products segment decreased greater than 100% to an operating loss of $46.0 million; Wizards of the Coast and Digital Gaming segment operating profit decreased 28% to $76.8 million; Entertainment segment operating results decreased greater than 100% to an operating loss of $8.7 million; and Corporate and Other operating losses improved 42% to an operating loss of $4.2 million.</w:t>
      </w:r>
    </w:p>
    <w:p>
      <w:pPr>
        <w:spacing w:after="0" w:line="78" w:lineRule="exact"/>
        <w:rPr>
          <w:rFonts w:ascii="Arial" w:cs="Arial" w:eastAsia="Arial" w:hAnsi="Arial"/>
          <w:sz w:val="18"/>
          <w:szCs w:val="18"/>
          <w:color w:val="auto"/>
        </w:rPr>
      </w:pPr>
    </w:p>
    <w:p>
      <w:pPr>
        <w:ind w:left="1300" w:right="160" w:hanging="482"/>
        <w:spacing w:after="0" w:line="308" w:lineRule="auto"/>
        <w:tabs>
          <w:tab w:leader="none" w:pos="1295" w:val="left"/>
        </w:tabs>
        <w:numPr>
          <w:ilvl w:val="1"/>
          <w:numId w:val="26"/>
        </w:numPr>
        <w:rPr>
          <w:rFonts w:ascii="Arial" w:cs="Arial" w:eastAsia="Arial" w:hAnsi="Arial"/>
          <w:sz w:val="17"/>
          <w:szCs w:val="17"/>
          <w:color w:val="auto"/>
        </w:rPr>
      </w:pPr>
      <w:r>
        <w:rPr>
          <w:rFonts w:ascii="Arial" w:cs="Arial" w:eastAsia="Arial" w:hAnsi="Arial"/>
          <w:sz w:val="17"/>
          <w:szCs w:val="17"/>
          <w:color w:val="auto"/>
        </w:rPr>
        <w:t>Certain charges impacting operating segment performance for the first quarter of 2023 and 2022, in the Company’s Consumer Products, Entertainment and Corporate and Other segments, are discussed below in Results of Operations - Consolidated.</w:t>
      </w:r>
    </w:p>
    <w:p>
      <w:pPr>
        <w:spacing w:after="0" w:line="38" w:lineRule="exact"/>
        <w:rPr>
          <w:rFonts w:ascii="Arial" w:cs="Arial" w:eastAsia="Arial" w:hAnsi="Arial"/>
          <w:sz w:val="17"/>
          <w:szCs w:val="17"/>
          <w:color w:val="auto"/>
        </w:rPr>
      </w:pPr>
    </w:p>
    <w:p>
      <w:pPr>
        <w:ind w:left="500" w:right="80" w:hanging="492"/>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net loss attributable to Hasbro, Inc. of $22.1 million, or $(0.16) per share, in the first quarter of 2023 compared to net earnings of $61.2 million, or $0.44 per diluted share, in the first quarter of 2022.</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SUMMARY OF FINANCIAL PERFORMANCE</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44"/>
        </w:trPr>
        <w:tc>
          <w:tcPr>
            <w:tcW w:w="9740" w:type="dxa"/>
            <w:vAlign w:val="bottom"/>
            <w:gridSpan w:val="5"/>
          </w:tcPr>
          <w:p>
            <w:pPr>
              <w:spacing w:after="0"/>
              <w:rPr>
                <w:sz w:val="20"/>
                <w:szCs w:val="20"/>
                <w:color w:val="auto"/>
              </w:rPr>
            </w:pPr>
            <w:r>
              <w:rPr>
                <w:rFonts w:ascii="Arial" w:cs="Arial" w:eastAsia="Arial" w:hAnsi="Arial"/>
                <w:sz w:val="18"/>
                <w:szCs w:val="18"/>
                <w:color w:val="auto"/>
              </w:rPr>
              <w:t>A summary of the results of operations is illustrated below for the quarters ended April 2, 2023 and March 27, 2022.</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37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37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 2023</w:t>
            </w:r>
          </w:p>
        </w:tc>
        <w:tc>
          <w:tcPr>
            <w:tcW w:w="1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March 27, 2022</w:t>
            </w:r>
          </w:p>
        </w:tc>
      </w:tr>
      <w:tr>
        <w:trPr>
          <w:trHeight w:val="223"/>
        </w:trPr>
        <w:tc>
          <w:tcPr>
            <w:tcW w:w="8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earnings before income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Net (loss) earnings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Net (loss) earnings attributable to Hasbro, Inc.</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CONSOLIDATED</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(loss) earnings and diluted (loss) earnings per share attributable to Hasbro, Inc. for the quarters ended April 2, 2023 and March 27, 2022 include certain charges as described below.</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2023</w:t>
      </w:r>
    </w:p>
    <w:p>
      <w:pPr>
        <w:spacing w:after="0" w:line="121" w:lineRule="exact"/>
        <w:rPr>
          <w:sz w:val="20"/>
          <w:szCs w:val="20"/>
          <w:color w:val="auto"/>
        </w:rPr>
      </w:pPr>
    </w:p>
    <w:p>
      <w:pPr>
        <w:ind w:left="660" w:right="2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charges of $13.3 million, or $0.10 per diluted share, of intangible amortization costs related to the intangible assets acquired in the eOne Acquisition. These expenses are allocated between the Consumer Products and Entertainment segments, to match the revenue generated from such intangible assets.</w:t>
      </w:r>
    </w:p>
    <w:p>
      <w:pPr>
        <w:spacing w:after="0" w:line="75"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charges of $8.1 million, or $0.06 per diluted share, of Operational Excellence program related consultant and transformation office expenses included within Selling, Distribution and Administration within the Corporate and Other segment.</w:t>
      </w:r>
    </w:p>
    <w:p>
      <w:pPr>
        <w:spacing w:after="0" w:line="62" w:lineRule="exact"/>
        <w:rPr>
          <w:rFonts w:ascii="Arial" w:cs="Arial" w:eastAsia="Arial" w:hAnsi="Arial"/>
          <w:sz w:val="18"/>
          <w:szCs w:val="18"/>
          <w:color w:val="auto"/>
        </w:rPr>
      </w:pPr>
    </w:p>
    <w:p>
      <w:pPr>
        <w:ind w:left="660" w:right="78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Net charges of $1.7 million, or $0.01 per diluted share, of expense associated with retention awards granted in connection with the eOne Acquisition. These expenses are included within Selling, Distribution and Administration within the Corporate and Other segment.</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2022</w:t>
      </w:r>
    </w:p>
    <w:p>
      <w:pPr>
        <w:spacing w:after="0" w:line="121" w:lineRule="exact"/>
        <w:rPr>
          <w:sz w:val="20"/>
          <w:szCs w:val="20"/>
          <w:color w:val="auto"/>
        </w:rPr>
      </w:pPr>
    </w:p>
    <w:p>
      <w:pPr>
        <w:ind w:left="660" w:right="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charges of $15.9 million, or $0.11 per diluted share of intangible amortization costs related to the intangible assets acquired in the eOne acquisition. These expenses are allocated between the Consumer Products and Entertainment segments, to match the revenue generated from such intangible assets.</w:t>
      </w:r>
    </w:p>
    <w:p>
      <w:pPr>
        <w:spacing w:after="0" w:line="75" w:lineRule="exact"/>
        <w:rPr>
          <w:rFonts w:ascii="Arial" w:cs="Arial" w:eastAsia="Arial" w:hAnsi="Arial"/>
          <w:sz w:val="18"/>
          <w:szCs w:val="18"/>
          <w:color w:val="auto"/>
        </w:rPr>
      </w:pPr>
    </w:p>
    <w:p>
      <w:pPr>
        <w:ind w:left="660" w:right="140" w:hanging="328"/>
        <w:spacing w:after="0" w:line="308"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Net charges of $2.3 million, $0.02 per diluted share of expense associated with retention awards granted in connection with the eOne acquisition. These expenses are included within Selling, Distribution and Administration within the Corporate and Other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quarters ended April 2, 2023 and March 27, 2022 were 14-week and 13-week periods, respectively.</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Consolidated net revenues for the first quarter of 2023 declined 14% to $1,001.0 million from $1,163.1 million for the first quarter of 2022 and included an unfavorable $15.8 million impact from foreign currency translation as a result of weakening currencies, primarily in Europe.</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Operating profit for the first quarter of 2023 was $17.9 million, or 1.8% of net revenues, compared to operating profit of $120.0 million, or 10.3% of net revenues, for the first quarter of 2022. In addition to the charges described above, operating results in the first quarter of 2023 reflect lower revenue volumes, primarily within the Consumer Products segment and to a lesser extent, within the Entertainment segment, higher sales allowances and closeout sales to sell through inventory, higher product development costs due to increased investments within the Wizards of the Coast business, higher advertising costs associated with the release of the </w:t>
      </w:r>
      <w:r>
        <w:rPr>
          <w:rFonts w:ascii="Arial" w:cs="Arial" w:eastAsia="Arial" w:hAnsi="Arial"/>
          <w:sz w:val="17"/>
          <w:szCs w:val="17"/>
          <w:i w:val="1"/>
          <w:iCs w:val="1"/>
          <w:color w:val="auto"/>
        </w:rPr>
        <w:t>Dungeons &amp; Dragons: Honor Among Thieves</w:t>
      </w:r>
      <w:r>
        <w:rPr>
          <w:rFonts w:ascii="Arial" w:cs="Arial" w:eastAsia="Arial" w:hAnsi="Arial"/>
          <w:sz w:val="17"/>
          <w:szCs w:val="17"/>
          <w:color w:val="auto"/>
        </w:rPr>
        <w:t xml:space="preserve"> motion picture and higher marketing and sales expenses. These impacts to operating results were partially offset by lower royalty expenses as result of the decline of Partner Brand sales, during the first quarter of 2023 due in part to the Company's strategic decision to exit certain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presents net revenues by product category for the quarters ended April 2, 2023 and March 27,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43"/>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 2023</w:t>
            </w:r>
          </w:p>
        </w:tc>
        <w:tc>
          <w:tcPr>
            <w:tcW w:w="14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27, 2022</w:t>
            </w: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Brands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338"/>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Non-Hasbro Branded Film &amp; TV</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FRANCHISE BRANDS: </w:t>
      </w:r>
      <w:r>
        <w:rPr>
          <w:rFonts w:ascii="Arial" w:cs="Arial" w:eastAsia="Arial" w:hAnsi="Arial"/>
          <w:sz w:val="18"/>
          <w:szCs w:val="18"/>
          <w:color w:val="auto"/>
        </w:rPr>
        <w:t>Net revenues in the Franchise Brands portfolio decreased 6% in the first quarter of 2023 compared to the first quarter of 2022.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Drivers of the net revenue decrease include lower net revenues from NERF products, lower net revenues from certain Hasbro Gaming brands, most notably MONOPOLY, and to a lesser extent, lower net revenues from PLAY-DOH and PEPPA PIG products as retailers focused on reducing inventory. These net revenue decreases were partially offset by higher net revenues from MAGIC: THE GATHERING which grew 16% driven by the first quarter 2023 set release of </w:t>
      </w:r>
      <w:r>
        <w:rPr>
          <w:rFonts w:ascii="Arial" w:cs="Arial" w:eastAsia="Arial" w:hAnsi="Arial"/>
          <w:sz w:val="18"/>
          <w:szCs w:val="18"/>
          <w:i w:val="1"/>
          <w:iCs w:val="1"/>
          <w:color w:val="auto"/>
        </w:rPr>
        <w:t>Phyrexia: All Will Be One</w:t>
      </w:r>
      <w:r>
        <w:rPr>
          <w:rFonts w:ascii="Arial" w:cs="Arial" w:eastAsia="Arial" w:hAnsi="Arial"/>
          <w:sz w:val="18"/>
          <w:szCs w:val="18"/>
          <w:color w:val="auto"/>
        </w:rPr>
        <w:t>, as well as from sustained demand for previously released sets, and to a lesser extent, higher net revenues from DUNGEONS &amp; DRAGONS and TRANSFORMERS products.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PARTNER BRANDS: </w:t>
      </w:r>
      <w:r>
        <w:rPr>
          <w:rFonts w:ascii="Arial" w:cs="Arial" w:eastAsia="Arial" w:hAnsi="Arial"/>
          <w:sz w:val="17"/>
          <w:szCs w:val="17"/>
          <w:color w:val="auto"/>
        </w:rPr>
        <w:t>Net revenues from the Partner Brands portfolio decreased 36% in the first quarter of 2023 compared to the first quarter of</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2022. Within the Partner Brands portfolio, there are a number of brands which are reliant on related entertainment, including television and movie releases. As such, net revenues from partner brands fluctuate depending on entertainment popularity, release dates and related product line offerings. Historically these entertainment-based brands experience higher revenues during years in which new content is released in theaters, for broadcast, and on streaming platforms.</w:t>
      </w:r>
    </w:p>
    <w:p>
      <w:pPr>
        <w:spacing w:after="0" w:line="8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During the first quarter of 2023, Partner Brands net revenue decreases were driven by lower sales of the Company's products for DISNEY FROZEN and DISNEY PRINCESS due to the expiration of the related license agreements in December 2022, lower net revenues from the Company's products for MARVEL compared to the first quarter of 2022, which benefited from a robust slate of entertainment releases without comparable releases in the first quarter of 2023, and to a lesser extent, lower net revenues from the Company's products for STAR WARS and BEYBLADE.</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PORTFOLIO BRANDS: </w:t>
      </w:r>
      <w:r>
        <w:rPr>
          <w:rFonts w:ascii="Arial" w:cs="Arial" w:eastAsia="Arial" w:hAnsi="Arial"/>
          <w:sz w:val="18"/>
          <w:szCs w:val="18"/>
          <w:color w:val="auto"/>
        </w:rPr>
        <w:t>Portfolio Brands net revenues decreased 18% in the first quarter of 2023 compared to the first quarter of 2022. Lower 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PJ MASKS and BABY ALIVE products as well as lower net revenues from certain other Portfolio Brands products were partially offset by higher net revenue from GI JOE products.</w:t>
      </w:r>
    </w:p>
    <w:p>
      <w:pPr>
        <w:spacing w:after="0" w:line="7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NON-HASBRO BRANDED FILM &amp; TV</w:t>
      </w:r>
      <w:r>
        <w:rPr>
          <w:rFonts w:ascii="Arial" w:cs="Arial" w:eastAsia="Arial" w:hAnsi="Arial"/>
          <w:sz w:val="17"/>
          <w:szCs w:val="17"/>
          <w:color w:val="auto"/>
        </w:rPr>
        <w:t>: Net revenues from Non-Hasbro Branded Film &amp; TV decreased 16% in the first quarter of 2023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first quarter of 2022 driven by lower net revenues from film production deliveries reflecting fewer new entertainment releases in 2023 compared to 2022. In addition, lower net revenues from unscripted programming, due to the timing of deliveries, contributed to the decrease in the first quarter of 2023 compared to the first quarter of 2022. These decreases were partially offset by higher net revenues from scripted programming deliveries that include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Rookie </w:t>
      </w:r>
      <w:r>
        <w:rPr>
          <w:rFonts w:ascii="Arial" w:cs="Arial" w:eastAsia="Arial" w:hAnsi="Arial"/>
          <w:sz w:val="17"/>
          <w:szCs w:val="17"/>
          <w:color w:val="auto"/>
        </w:rPr>
        <w:t>season five,</w:t>
      </w:r>
      <w:r>
        <w:rPr>
          <w:rFonts w:ascii="Arial" w:cs="Arial" w:eastAsia="Arial" w:hAnsi="Arial"/>
          <w:sz w:val="17"/>
          <w:szCs w:val="17"/>
          <w:i w:val="1"/>
          <w:iCs w:val="1"/>
          <w:color w:val="auto"/>
        </w:rPr>
        <w:t xml:space="preserve"> The Rookie: Feds, </w:t>
      </w:r>
      <w:r>
        <w:rPr>
          <w:rFonts w:ascii="Arial" w:cs="Arial" w:eastAsia="Arial" w:hAnsi="Arial"/>
          <w:sz w:val="17"/>
          <w:szCs w:val="17"/>
          <w:color w:val="auto"/>
        </w:rPr>
        <w:t>and</w:t>
      </w:r>
      <w:r>
        <w:rPr>
          <w:rFonts w:ascii="Arial" w:cs="Arial" w:eastAsia="Arial" w:hAnsi="Arial"/>
          <w:sz w:val="17"/>
          <w:szCs w:val="17"/>
          <w:i w:val="1"/>
          <w:iCs w:val="1"/>
          <w:color w:val="auto"/>
        </w:rPr>
        <w:t xml:space="preserve"> A Gentleman in Moscow.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net external revenues and operating profit (loss) for the Company's principal segments for the quarters ended April 2, 2023 and March 27,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43"/>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 2023</w:t>
            </w:r>
          </w:p>
        </w:tc>
        <w:tc>
          <w:tcPr>
            <w:tcW w:w="14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27, 2022</w:t>
            </w: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7"/>
              </w:rPr>
              <w:t>Net revenues</w:t>
            </w:r>
          </w:p>
        </w:tc>
        <w:tc>
          <w:tcPr>
            <w:tcW w:w="53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Wizards of the Coast and Digital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16"/>
        </w:trPr>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Arial" w:cs="Arial" w:eastAsia="Arial" w:hAnsi="Arial"/>
                <w:sz w:val="18"/>
                <w:szCs w:val="18"/>
                <w:color w:val="auto"/>
              </w:rPr>
              <w:t>Operating Profit (Loss)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Wizards of the Coast and Digital Gaming</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30"/>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Corporate and Other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 Segment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Consumer Products segment net revenues by major geographic region for the quarters ended April 2, 2023 and March 27,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 2023</w:t>
            </w:r>
          </w:p>
        </w:tc>
        <w:tc>
          <w:tcPr>
            <w:tcW w:w="1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March 27, 2022</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Consumer Products segment net revenues declined 23% to $520.4 million for the first quarter of 2023 compared to $672.8 million for the first quarter of 2022 and included the impact of an unfavorable $8.4 million currency translation, most notably from the Company's European markets, reflecting efforts to reduce retail inventory levels. Absent the impact of foreign currency exchange, Consumer Products segment net revenues declined $144.1 million or 21% during the first quarter of 2023.</w:t>
      </w:r>
    </w:p>
    <w:p>
      <w:pPr>
        <w:spacing w:after="0" w:line="7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Drivers of the net revenue decrease include lower sales of NERF and PLAY-DOH products, lower sales of the Company's products for DISNEY PRINCESS and DISNEY FROZEN, following the expiration of associated license agreements in December 2022, and lower sales of the Company's products for MARVEL and STAR WARS compared to the first quarter of 2022, which benefited from a variety of entertainment releases without a comparable slate in the first quarter of 2023. To a lesser extent, lower net revenues from BEYBLADE and certain Hasbro Gaming tabletop products contributed to the decrease. These net revenue decreases were partially offset by higher sales of TRANSFORMERS, GI JOE and DUNGEON &amp; DRAGONS products, higher sales of the Company's products for GHOSTBUSTERS as well as the introduction of the Company's products for INDIANA JONES ahead of the film </w:t>
      </w:r>
      <w:r>
        <w:rPr>
          <w:rFonts w:ascii="Arial" w:cs="Arial" w:eastAsia="Arial" w:hAnsi="Arial"/>
          <w:sz w:val="17"/>
          <w:szCs w:val="17"/>
          <w:i w:val="1"/>
          <w:iCs w:val="1"/>
          <w:color w:val="auto"/>
        </w:rPr>
        <w:t>Indiana Jones and the Dial of Destiny</w:t>
      </w:r>
      <w:r>
        <w:rPr>
          <w:rFonts w:ascii="Arial" w:cs="Arial" w:eastAsia="Arial" w:hAnsi="Arial"/>
          <w:sz w:val="17"/>
          <w:szCs w:val="17"/>
          <w:color w:val="auto"/>
        </w:rPr>
        <w:t>, expected in June 2023. Overall segment net revenue declines were primarily attributable to North America and to a lesser extent, the Company's European markets, partially offset by higher net revenues from the Company's Asia Pacific and Latin American markets during the first quarter of 2023.</w:t>
      </w:r>
    </w:p>
    <w:p>
      <w:pPr>
        <w:spacing w:after="0" w:line="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Consumer Products segment operating loss for the first quarter of 2023 was $46.0 million or 8.8% of segment net revenues, compared to segment operating profit of $8.6 million or 1.3% of segment net revenues, for the first quarter of 2022. The decrease in operating results in the first quarter of 2023 was driven by lower net revenues, including higher levels of closeout sales and sales allowances combined with increased obsolescence charges associated with inventory management initiatives implemented primarily in North America and Europe. These negative impacts were partially offset by savings realized from the Company's Operational Excellence program, lower royalty expenses reflecting the mix of products sold, lower advertising and promotion expense and lower freight costs during the first quarter of 2023, due to the trending improvements in global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ind w:right="1360"/>
        <w:spacing w:after="0" w:line="375" w:lineRule="auto"/>
        <w:rPr>
          <w:sz w:val="20"/>
          <w:szCs w:val="20"/>
          <w:color w:val="auto"/>
        </w:rPr>
      </w:pPr>
      <w:r>
        <w:rPr>
          <w:rFonts w:ascii="Arial" w:cs="Arial" w:eastAsia="Arial" w:hAnsi="Arial"/>
          <w:sz w:val="18"/>
          <w:szCs w:val="18"/>
          <w:color w:val="auto"/>
        </w:rPr>
        <w:t xml:space="preserve">chain and distribution, as well as overall improvements to managed expenses in the Company's Asia Pacific and Latin American regions. </w:t>
      </w:r>
      <w:r>
        <w:rPr>
          <w:rFonts w:ascii="Arial" w:cs="Arial" w:eastAsia="Arial" w:hAnsi="Arial"/>
          <w:sz w:val="18"/>
          <w:szCs w:val="18"/>
          <w:i w:val="1"/>
          <w:iCs w:val="1"/>
          <w:color w:val="auto"/>
        </w:rPr>
        <w:t>Wizards of the Coast and Digital Gaming Segment</w:t>
      </w:r>
    </w:p>
    <w:p>
      <w:pPr>
        <w:spacing w:after="0" w:line="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presents Wizards of the Coast and Digital Gaming segment net revenues by category for the quarters ended April 2, 2023 and March 27,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 2023</w:t>
            </w:r>
          </w:p>
        </w:tc>
        <w:tc>
          <w:tcPr>
            <w:tcW w:w="1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March 27, 2022</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Tabletop Gaming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 and Licensed Gaming</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Wizards of the Coast and Digital Gaming segment net revenues increased 12% in the first quarter of 2023 to $295.2 million from $262.8 million in the first quarter of 2022 and included the impact of an unfavorable $3.1 million foreign currency translation. Absent the impact of foreign currency exchange, Wizards of the Coast and Digital Gaming segment net revenues increased $35.5 million or 14% during the first quarter of 2023.</w:t>
      </w:r>
    </w:p>
    <w:p>
      <w:pPr>
        <w:spacing w:after="0" w:line="5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The net revenue increase in the Wizards of the Coast and Digital Gaming segment during the first quarter of 2023 was attributable to higher net revenues from Wizards of the Coast tabletop gaming products, most notably, MAGIC: THE GATHERING, driven by the number and timing of set releases compared to the first quarter of 2022. In addition, higher digital gaming net revenues contributed to the increase, primarily reflecting the addition of net revenues from D&amp;D Beyond, acquired during the second quarter of 2022. These increases were partially offset by lower net revenues from </w:t>
      </w:r>
      <w:r>
        <w:rPr>
          <w:rFonts w:ascii="Arial" w:cs="Arial" w:eastAsia="Arial" w:hAnsi="Arial"/>
          <w:sz w:val="18"/>
          <w:szCs w:val="18"/>
          <w:i w:val="1"/>
          <w:iCs w:val="1"/>
          <w:color w:val="auto"/>
        </w:rPr>
        <w:t>Dungeons &amp;</w:t>
      </w:r>
      <w:r>
        <w:rPr>
          <w:rFonts w:ascii="Arial" w:cs="Arial" w:eastAsia="Arial" w:hAnsi="Arial"/>
          <w:sz w:val="18"/>
          <w:szCs w:val="18"/>
          <w:color w:val="auto"/>
        </w:rPr>
        <w:t xml:space="preserve"> </w:t>
      </w:r>
      <w:r>
        <w:rPr>
          <w:rFonts w:ascii="Arial" w:cs="Arial" w:eastAsia="Arial" w:hAnsi="Arial"/>
          <w:sz w:val="18"/>
          <w:szCs w:val="18"/>
          <w:i w:val="1"/>
          <w:iCs w:val="1"/>
          <w:color w:val="auto"/>
        </w:rPr>
        <w:t>Dragons: Dark Alliance</w:t>
      </w:r>
      <w:r>
        <w:rPr>
          <w:rFonts w:ascii="Arial" w:cs="Arial" w:eastAsia="Arial" w:hAnsi="Arial"/>
          <w:sz w:val="18"/>
          <w:szCs w:val="18"/>
          <w:color w:val="auto"/>
        </w:rPr>
        <w:t>, launched during the first half of 2021, and lower licensing net revenues from certain of the Company's licensed digital gaming</w:t>
      </w:r>
      <w:r>
        <w:rPr>
          <w:rFonts w:ascii="Arial" w:cs="Arial" w:eastAsia="Arial" w:hAnsi="Arial"/>
          <w:sz w:val="18"/>
          <w:szCs w:val="18"/>
          <w:i w:val="1"/>
          <w:iCs w:val="1"/>
          <w:color w:val="auto"/>
        </w:rPr>
        <w:t xml:space="preserve"> </w:t>
      </w:r>
      <w:r>
        <w:rPr>
          <w:rFonts w:ascii="Arial" w:cs="Arial" w:eastAsia="Arial" w:hAnsi="Arial"/>
          <w:sz w:val="18"/>
          <w:szCs w:val="18"/>
          <w:color w:val="auto"/>
        </w:rPr>
        <w:t>brands.</w:t>
      </w:r>
    </w:p>
    <w:p>
      <w:pPr>
        <w:spacing w:after="0" w:line="8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Wizards of the Coast and Digital Gaming segment operating profit was $76.8 million, or 26.0% of segment net revenues for the first quarter of 2023, compared to operating profit of $106.4 million, or 40.5% of segment net revenues, for the first quarter of 2022. The operating profit decrease during the first quarter of 2023 was driven by higher product development costs, higher administrative expenses and higher advertising expense as we continue to invest in Wizards of the Coast and Digital Gaming initiatives, including in talent, to support long-term growth within the segment. In addition, higher product costs and intangible asset amortization expense related to the acquisition of D&amp;D Beyond contributed to the operating profit decrease during the first quarter of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Entertainment segment net revenues by category for the quarters ended April 2, 2023 and March 27,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 2023</w:t>
            </w:r>
          </w:p>
        </w:tc>
        <w:tc>
          <w:tcPr>
            <w:tcW w:w="1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March 27, 2022</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w:t>
            </w: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Entertainment segment net revenues declined 19% to $185.4 million for the first quarter of 2023, compared to $227.5 million for the first quarter of 2022 and included the impact of an unfavorable $4.3 million foreign currency translation. Absent the impact of foreign currency exchange, Entertainment segment net revenues declined $37.6 million or 17% during the first quarter of 2023.</w:t>
      </w:r>
    </w:p>
    <w:p>
      <w:pPr>
        <w:spacing w:after="0" w:line="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net revenue decrease during the first quarter of 2023 was primarily the result of lower unscripted television net revenues due to the timing of deliveries compared to the first quarter of 2022, and lower film production net revenues reflecting fewer film deliveries in the first quarter of 2023 compared to the first quarter of 2022 which included films such as </w:t>
      </w:r>
      <w:r>
        <w:rPr>
          <w:rFonts w:ascii="Arial" w:cs="Arial" w:eastAsia="Arial" w:hAnsi="Arial"/>
          <w:sz w:val="17"/>
          <w:szCs w:val="17"/>
          <w:i w:val="1"/>
          <w:iCs w:val="1"/>
          <w:color w:val="auto"/>
        </w:rPr>
        <w:t>Deep Water</w:t>
      </w:r>
      <w:r>
        <w:rPr>
          <w:rFonts w:ascii="Arial" w:cs="Arial" w:eastAsia="Arial" w:hAnsi="Arial"/>
          <w:sz w:val="17"/>
          <w:szCs w:val="17"/>
          <w:color w:val="auto"/>
        </w:rPr>
        <w:t xml:space="preserve"> and </w:t>
      </w:r>
      <w:r>
        <w:rPr>
          <w:rFonts w:ascii="Arial" w:cs="Arial" w:eastAsia="Arial" w:hAnsi="Arial"/>
          <w:sz w:val="17"/>
          <w:szCs w:val="17"/>
          <w:i w:val="1"/>
          <w:iCs w:val="1"/>
          <w:color w:val="auto"/>
        </w:rPr>
        <w:t>Clifford the Big Red Dog</w:t>
      </w:r>
      <w:r>
        <w:rPr>
          <w:rFonts w:ascii="Arial" w:cs="Arial" w:eastAsia="Arial" w:hAnsi="Arial"/>
          <w:sz w:val="17"/>
          <w:szCs w:val="17"/>
          <w:color w:val="auto"/>
        </w:rPr>
        <w:t xml:space="preserve">. These net revenue declines were partially offset by higher scripted net revenues from deliveries that include, </w:t>
      </w:r>
      <w:r>
        <w:rPr>
          <w:rFonts w:ascii="Arial" w:cs="Arial" w:eastAsia="Arial" w:hAnsi="Arial"/>
          <w:sz w:val="17"/>
          <w:szCs w:val="17"/>
          <w:i w:val="1"/>
          <w:iCs w:val="1"/>
          <w:color w:val="auto"/>
        </w:rPr>
        <w:t>The Rookie</w:t>
      </w:r>
      <w:r>
        <w:rPr>
          <w:rFonts w:ascii="Arial" w:cs="Arial" w:eastAsia="Arial" w:hAnsi="Arial"/>
          <w:sz w:val="17"/>
          <w:szCs w:val="17"/>
          <w:color w:val="auto"/>
        </w:rPr>
        <w:t xml:space="preserve"> season five; </w:t>
      </w:r>
      <w:r>
        <w:rPr>
          <w:rFonts w:ascii="Arial" w:cs="Arial" w:eastAsia="Arial" w:hAnsi="Arial"/>
          <w:sz w:val="17"/>
          <w:szCs w:val="17"/>
          <w:i w:val="1"/>
          <w:iCs w:val="1"/>
          <w:color w:val="auto"/>
        </w:rPr>
        <w:t>The Rookie: Feds;</w:t>
      </w:r>
      <w:r>
        <w:rPr>
          <w:rFonts w:ascii="Arial" w:cs="Arial" w:eastAsia="Arial" w:hAnsi="Arial"/>
          <w:sz w:val="17"/>
          <w:szCs w:val="17"/>
          <w:color w:val="auto"/>
        </w:rPr>
        <w:t xml:space="preserve"> and </w:t>
      </w:r>
      <w:r>
        <w:rPr>
          <w:rFonts w:ascii="Arial" w:cs="Arial" w:eastAsia="Arial" w:hAnsi="Arial"/>
          <w:sz w:val="17"/>
          <w:szCs w:val="17"/>
          <w:i w:val="1"/>
          <w:iCs w:val="1"/>
          <w:color w:val="auto"/>
        </w:rPr>
        <w:t>A Gentleman in Moscow.</w:t>
      </w:r>
      <w:r>
        <w:rPr>
          <w:rFonts w:ascii="Arial" w:cs="Arial" w:eastAsia="Arial" w:hAnsi="Arial"/>
          <w:sz w:val="17"/>
          <w:szCs w:val="17"/>
          <w:color w:val="auto"/>
        </w:rPr>
        <w:t xml:space="preserve"> In addition, lower entertainment content sales within the Family Brands category contributed to the decline in the first quarter of 2023, due to the renewal of certain multi-year content deals in the first quarter of 2022, with no comparable activity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right="220"/>
        <w:spacing w:after="0" w:line="277" w:lineRule="auto"/>
        <w:rPr>
          <w:sz w:val="20"/>
          <w:szCs w:val="20"/>
          <w:color w:val="auto"/>
        </w:rPr>
      </w:pPr>
      <w:r>
        <w:rPr>
          <w:rFonts w:ascii="Arial" w:cs="Arial" w:eastAsia="Arial" w:hAnsi="Arial"/>
          <w:sz w:val="18"/>
          <w:szCs w:val="18"/>
          <w:color w:val="auto"/>
        </w:rPr>
        <w:t>Entertainment segment operating losses were $8.7 million, or 4.7% of segment net revenues for the first quarter of 2023, compared to operating profit of $12.2 million, or 5.4% of segment net revenues for the first quarter of 2022.</w:t>
      </w:r>
    </w:p>
    <w:p>
      <w:pPr>
        <w:spacing w:after="0" w:line="6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 xml:space="preserve">The decrease in Entertainment segment operating results during the first quarter of 2023 primarily reflects lower net revenues, driven by the timing and volume of programming delivered, and higher advertising expense, driven by support for the theatrical release of </w:t>
      </w:r>
      <w:r>
        <w:rPr>
          <w:rFonts w:ascii="Arial" w:cs="Arial" w:eastAsia="Arial" w:hAnsi="Arial"/>
          <w:sz w:val="18"/>
          <w:szCs w:val="18"/>
          <w:i w:val="1"/>
          <w:iCs w:val="1"/>
          <w:color w:val="auto"/>
        </w:rPr>
        <w:t>Dungeons &amp; Dragons: Honor Among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Thieves </w:t>
      </w:r>
      <w:r>
        <w:rPr>
          <w:rFonts w:ascii="Arial" w:cs="Arial" w:eastAsia="Arial" w:hAnsi="Arial"/>
          <w:sz w:val="18"/>
          <w:szCs w:val="18"/>
          <w:color w:val="auto"/>
        </w:rPr>
        <w:t>in March 2023. These impacts to operating results were partially offset by lower royalty expense due to the decrease in entertainment deliveries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first quarter of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 Segment</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Corporate and Other segment operating losses were $4.2 million for the first quarter of 2023 compared to operating losses of $7.2 million for the first quarter of 2022. The improvement in operating results in the first quarter of 2023 was primarily the result of lower administrative expenses, partially offset by Operational Excellence program related consultant fees and transformation office expenses associated with Company's cost-savings initiatives described above, as well as higher marketing and sales expenses within the segment.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costs and expenses, stated as percentages of net revenues, are illustrated below for the quarters ended April 2, 2023 and March 27,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7800" w:type="dxa"/>
            <w:vAlign w:val="bottom"/>
          </w:tcPr>
          <w:p>
            <w:pPr>
              <w:spacing w:after="0"/>
              <w:rPr>
                <w:sz w:val="19"/>
                <w:szCs w:val="19"/>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b w:val="1"/>
                <w:bCs w:val="1"/>
                <w:color w:val="auto"/>
              </w:rPr>
              <w:t>April 2, 2023</w:t>
            </w:r>
          </w:p>
        </w:tc>
        <w:tc>
          <w:tcPr>
            <w:tcW w:w="164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27, 2022</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40" w:type="dxa"/>
            <w:vAlign w:val="bottom"/>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40" w:type="dxa"/>
            <w:vAlign w:val="bottom"/>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64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26.4 %</w:t>
            </w:r>
          </w:p>
        </w:tc>
      </w:tr>
    </w:tbl>
    <w:p>
      <w:pPr>
        <w:spacing w:after="0" w:line="29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Cost of sales for the first quarter of 2023 was $285.3 million, or 28.5% of net revenues, compared to $333.1 million, or 28.6% of net revenues, for the first quarter of 2022. The cost of sales decrease in dollars was driven primarily by lower sales volumes and cost savings realized from the Company's Operational Excellence Program, partially offset by the impact of higher closeout sales and higher sales allowances during the first quarter of 2023 compared to the first quarter of 2022. Cost of sales remained consistent as a percent of net revenues.</w:t>
      </w:r>
    </w:p>
    <w:p>
      <w:pPr>
        <w:spacing w:after="0" w:line="6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Program cost amortization decreased to $122.5 million, or 12.2% of net revenues, for the first quarter of 2023 from $138.5 million, or 11.9% of net revenues, for the first quarter of 2022. Program costs are capitalized as incurred and amortized primarily using the individual-film-forecast method which matches costs to the related recognized revenue. The decrease in dollars during the first quarter of 2023 was driven by lower sales within the Entertainment segment, due primarily to the timing of deliveries compared to the first quarter of 2022. As a percent of net revenues, the increase in program cost amortization during the first quarter of 2023 was driven by the mix of entertainment content delivered.</w:t>
      </w:r>
    </w:p>
    <w:p>
      <w:pPr>
        <w:spacing w:after="0" w:line="6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Royalty expense for the first quarter of 2023 decreased to $69.0 million, or 6.9% of net revenues, compared to $90.1 million, or 7.7% of net revenues, for the first quarter of 2022. Fluctuations in royalty expense are generally related to the volume of content releases and deliveries and entertainment-driven products sold. The decrease in royalty expense during the first quarter of 2023 reflects lower sales of Partner Brands products, the exit of certain licenses and the lower number and mix of film and television deliveries compared to the first quarter of 2022.</w:t>
      </w:r>
    </w:p>
    <w:p>
      <w:pPr>
        <w:spacing w:after="0" w:line="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Product development expense for the first quarter of 2023 was $83.3 million, or 8.3% of net revenues, compared to $69.6 million, or 6.0% of net revenues, for the first quarter of 2022. The increase was driven by higher investments and costs to support the Company's Wizards of the Coast tabletop and digital gaming initiatives.</w:t>
      </w:r>
    </w:p>
    <w:p>
      <w:pPr>
        <w:spacing w:after="0" w:line="7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Advertising expense for the first quarter of 2023 was $82.8 million, or 8.3% of net revenues, compared to $77.6 million, or 6.7% of net revenues, for the first quarter of 2022. Advertising spend is generally impacted by revenue mix and the number and type of entertainment releases delivered. The advertising expense increase during the first quarter of 2023 was driven by advertising costs within the Entertainment and Wizards of the Coast and Digital Gaming segments, in support of the theatrical release of </w:t>
      </w:r>
      <w:r>
        <w:rPr>
          <w:rFonts w:ascii="Arial" w:cs="Arial" w:eastAsia="Arial" w:hAnsi="Arial"/>
          <w:sz w:val="16"/>
          <w:szCs w:val="16"/>
          <w:i w:val="1"/>
          <w:iCs w:val="1"/>
          <w:color w:val="auto"/>
        </w:rPr>
        <w:t>Dungeons &amp; Dragons: Honor Among Thieves</w:t>
      </w:r>
      <w:r>
        <w:rPr>
          <w:rFonts w:ascii="Arial" w:cs="Arial" w:eastAsia="Arial" w:hAnsi="Arial"/>
          <w:sz w:val="16"/>
          <w:szCs w:val="16"/>
          <w:color w:val="auto"/>
        </w:rPr>
        <w:t xml:space="preserve"> and advertising costs associated with D&amp;D Beyond, acquired during the second quarter of 2022, as well as higher advertising expense in support of certain other Wizards of the Coast and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4" w:name="page35"/>
    <w:bookmarkEnd w:id="34"/>
    <w:p>
      <w:pPr>
        <w:ind w:right="360"/>
        <w:spacing w:after="0" w:line="277" w:lineRule="auto"/>
        <w:rPr>
          <w:sz w:val="20"/>
          <w:szCs w:val="20"/>
          <w:color w:val="auto"/>
        </w:rPr>
      </w:pPr>
      <w:r>
        <w:rPr>
          <w:rFonts w:ascii="Arial" w:cs="Arial" w:eastAsia="Arial" w:hAnsi="Arial"/>
          <w:sz w:val="18"/>
          <w:szCs w:val="18"/>
          <w:color w:val="auto"/>
        </w:rPr>
        <w:t>Gaming initiatives. These increases were partially offset by lower advertising expenses within the Consumer Products segment, primarily due to lower revenues and mix of sales during the first quarter of 2023.</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Amortization of intangible assets decreased to $23.1 million, or 2.3% of net revenues, for the first quarter of 2023, compared to $27.1 million, or 2.3% of net revenues, for the first quarter of 2022. The decrease in 2023 reflects lower expense due to the partial impairment of the Company's definite-lived Power Rangers intangible assets during the fourth quarter of 2022, partially offset by additional expense associated with assets acquired through the D&amp;D Beyond Acquisition during the second quarter of 2022.</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distribution and administration expenses increased to $317.1 million, or 31.7% of net revenues for the first quarter of 2023, from $307.1 million, or 26.4% of net revenues, for the first quarter of 2022. The increase in selling, distribution and administration expenses primarily reflects consultant and transformation office charges totaling $10.6 million associated with the Company's Operational Excellence program. In addition to these charges, higher personnel costs and higher marketing and sales costs within the Wizards of the Coast and Digital Gaming segment contributed to the increase. These increases were partially offset by lower compensation expense combined with lower shipping costs compared to the first quarter of 2022 where costs were higher due to global supply chain disruptions.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 (INCOME)</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Interest expense for the first quarter of 2023 totaled $46.3 million compared to $41.6 million in the first quarter of 2022. The increase in interest expense during the first quarter of 2023 reflects higher interest expense related to borrowings from the Company's production financing credit facilities.</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income was $6.0 million for the first quarter of 2023 compared to $2.1 million in the first quarter of 2022. Higher interest income in 2022 primarily reflects higher average interest rates in 2023 compared to 2022.</w:t>
      </w:r>
    </w:p>
    <w:p>
      <w:pPr>
        <w:spacing w:after="0" w:line="6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Other (income), net was $(1.4) million for the first quarter of 2023 compared to other expense, net of $0.3 million in the first quarter of 2022. The increase in 2023 was driven primarily by the revaluation of certain contingent consideration liability balances and higher earnings from the Company's joint venture with Discovery, partially offset by higher foreign exchange losses during the first quarter of 2023 compared to the first quarter of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Income tax expense totaled $0.7 million on pre-tax loss of $21.0 million in the first quarter of 2023, compared to income tax expense of $17.3 million on pre-tax income of $80.2 million in the first quarter of 2022. Both periods were impacted by discrete tax events including the accrual of potential interest and penalties on uncertain tax positions. During the first quarter of 2023, unfavorable discrete tax adjustments were a net expense of $3.3 million, compared to a net benefit of $2.3 million in the first quarter of 2022. The unfavorable discrete tax adjustments for the first quarter of 2023 are primarily associated with stock-based compensation. The favorable discrete tax adjustments for the first quarter of 2022 were primarily associated with the release of certain valuation allowances in the quarter. Absent discrete items, the tax rates for the first quarter of 2023 and 2022 were 12.2% and 24.4%, respectively. The decrease in the base rate of 12.2% for the first quarter of 2023 is primarily due to the mix of jurisdictions in which the Company earned its profits and lower overall earnings in the first quarter of 2023.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Seasonality and Shipments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Within the retail sector, the Company’s revenue pattern from toys and games and licensed consumer products continues to indicate the second half of the year to be more significant to its overall business for the full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spacing w:after="0" w:line="7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Quick response inventory management practices being used by retailers, along with growth in ecommerce result in the increasing trend of order placement for immediate delivery and fewer orders being placed well in advance of shipment. Retailers prefer timing their orders for fulfillment by suppliers closer to the time of purchase by consumers. To the extent that retailers do not sell as much of their year-end inventory purchases during the holiday selling season as they anticipate, their demand for additional product earlier in the following fiscal year could be curtailed, thus negatively impacting the Company’s future revenues. In 2022, the Company's inventory levels and retailer order patterns reflected the impact of global 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5" w:name="page36"/>
    <w:bookmarkEnd w:id="35"/>
    <w:p>
      <w:pPr>
        <w:spacing w:after="0" w:line="271" w:lineRule="auto"/>
        <w:rPr>
          <w:sz w:val="20"/>
          <w:szCs w:val="20"/>
          <w:color w:val="auto"/>
        </w:rPr>
      </w:pPr>
      <w:r>
        <w:rPr>
          <w:rFonts w:ascii="Arial" w:cs="Arial" w:eastAsia="Arial" w:hAnsi="Arial"/>
          <w:sz w:val="17"/>
          <w:szCs w:val="17"/>
          <w:color w:val="auto"/>
        </w:rPr>
        <w:t>demand as it began to outpace the capacity of the global supply chain infrastructure. Supply chain constraints, including overcrowding of cargo ports and shipping container and truck transportation shortages led to higher costs for ocean, air and over the road freight and delays in the availability of products, due to extended inventory transit times. These and other disruptions continued to some extent through the third quarter of 2022. During the first half of 2022, the Company accelerated certain inventory purchases, to ensure sufficient finished goods and raw material availability ahead of expected periods of high consumer demand. However, during the second half of 2022, the effects of supply chain disruptions began to subside, most notably the U.S, and Europe, leading to higher inventory levels heading into fiscal 2023, as compared to prior years. The Company is continuing to closely manage its inventory levels through closeout sales and by monitoring consumer purchase patterns, to ensure adequate supply of new product while clearing excess supply to mitigate the risk of inventory obsolescence.</w:t>
      </w:r>
    </w:p>
    <w:p>
      <w:pPr>
        <w:spacing w:after="0" w:line="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Unlike the Company's retail sales patterns, revenue patterns from the Company's entertainment businesses fluctuate based on the timing and popularity of television, film, streaming and digital content releases. Release dates are determined by factors including the timing of holiday periods, geographical release dates and competition in the market.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Russian Sanctions</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a result of the military conflict in Ukraine, which has led to sanctions and other penalties being levied by the United States, European Union and other countries against Russia, the Company paused all shipments and new content distribution into Russia. The impact to the Company’s operating results includes a loss of both revenue and operating profit. As of December 25, 2022, the Company had exhausted all locally held inventories, recovered all receivables and released all reserves in Russia. Any longstanding disruptions may magnify the impact of other risks described in this Quarterly Report on Form 10-Q and in the Company's Annual Report on Form 10-K for the year ended December 25, 2022.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 Updates</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of April 2, 2023, there were no recently adopted accounting standards that had a material effect on the Company’s financial statements. The Company's significant accounting policies are summarized in note 1 to the consolidated financial statements included in the Company's Annual Report on Form 10-K for the year ended December 25,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April 2, 2023, there were no recently issued accounting pronouncements that are expected to have a material impact on the Company's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Company has historically generated a significant amount of cash from operations. In the first three months of 2023 and 2022, the Company primarily funded its operations and liquidity needs through cash on hand and from cash flows from operations, and when needed, used borrowings under its available lines of credit. In addition, the Company’s Entertainment operating segment used production financing to fund certain of its television and film productions which are typically arranged on an individual production basis by using either the Company's revolving film and television production credit facility or through special purpose production subsidiaries. For more information on the Company's production financing facilities, including expected future repayments, see note 7 to the consolidated financial statements included in Part I, Item 1. </w:t>
      </w:r>
      <w:r>
        <w:rPr>
          <w:rFonts w:ascii="Arial" w:cs="Arial" w:eastAsia="Arial" w:hAnsi="Arial"/>
          <w:sz w:val="16"/>
          <w:szCs w:val="16"/>
          <w:i w:val="1"/>
          <w:iCs w:val="1"/>
          <w:color w:val="auto"/>
        </w:rPr>
        <w:t>Financial Statements</w:t>
      </w:r>
      <w:r>
        <w:rPr>
          <w:rFonts w:ascii="Arial" w:cs="Arial" w:eastAsia="Arial" w:hAnsi="Arial"/>
          <w:sz w:val="16"/>
          <w:szCs w:val="16"/>
          <w:color w:val="auto"/>
        </w:rPr>
        <w:t>, of this Form 10-Q.</w:t>
      </w:r>
    </w:p>
    <w:p>
      <w:pPr>
        <w:spacing w:after="0" w:line="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remainder of 2023, the Company expects to continue to fund its working capital needs primarily through available cash, cash flows from operations and from production financing facilities and, if needed, by issuing commercial paper or borrowing under its revolving credit agreement. In the event that the Company is not able to issue commercial paper, the Company intends to utilize its available lines of credit. The Company believes that the funds available to it, including cash expected to be generated from operations, funds available through its commercial paper program or its available lines of credit and production financing, are adequate to meet its working capital needs for the remainder of 2023, including the repayment of the current portion of long-term debt of $109.0 million, as shown on the consolidated balance sheets which represents the current portion of required quarterly principal amortization payments for our term loan facilities and other production financing facilities, each as described below.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or the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April 2, 2023, the Company's cash and cash equivalents totaled $386.2 million, of which $13.4 million is restricted under the Company’s production financing facilities. Prior to 2017, deferred income taxes had not been provided on the majority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6" w:name="page37"/>
    <w:bookmarkEnd w:id="36"/>
    <w:p>
      <w:pPr>
        <w:ind w:right="80"/>
        <w:spacing w:after="0" w:line="288" w:lineRule="auto"/>
        <w:rPr>
          <w:sz w:val="20"/>
          <w:szCs w:val="20"/>
          <w:color w:val="auto"/>
        </w:rPr>
      </w:pPr>
      <w:r>
        <w:rPr>
          <w:rFonts w:ascii="Arial" w:cs="Arial" w:eastAsia="Arial" w:hAnsi="Arial"/>
          <w:sz w:val="16"/>
          <w:szCs w:val="16"/>
          <w:color w:val="auto"/>
        </w:rPr>
        <w:t xml:space="preserve">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 maintained sufficient sources of cash in the United States to fund cash requirements without the need to repatriate any funds. The Tax Cuts and Jobs Act of 2017 ("the Tax Act") provided significant changes to the U.S. tax system including the elimination of the ability to defer U.S. income tax on unrepatriated earnings by imposing a one-time mandatory deemed repatriation tax on undistributed foreign earnings. As of April 2, 2023, the Company had a total liability of $137.7 million related to this tax, $34.4 million is reflected in current liabilities while the remaining long-term payable related to the Tax Act of $103.3 million is presented within other liabilities, non-current on the consolidated balance sheets included in Part I, Item 1.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of this Form 10-Q. As permitted by the Tax Act, the Company will pay the transition tax in annual interest-free installments through 2025. As a result, in the future, the related earnings in foreign jurisdictions will be made available with greater investment flexibility. The majority of the Company’s cash and cash equivalents held outside of the United States as of April 2, 2023 are denominated in the U.S. dollar.</w:t>
      </w:r>
    </w:p>
    <w:p>
      <w:pPr>
        <w:spacing w:after="0" w:line="12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Because of the seasonality in the Company's cash flow, management believes that on an interim basis, rather than discussing only its cash flows, a better understanding of its liquidity and capital resources can be obtained through a discussion of the various balance sheet categories.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134"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The table below outlines key financial information (in millions of dollars) pertaining to our consolidated balance sheets including the period-over-period changes.</w:t>
      </w:r>
    </w:p>
    <w:tbl>
      <w:tblPr>
        <w:tblLayout w:type="fixed"/>
        <w:tblInd w:w="0" w:type="dxa"/>
        <w:tblCellMar>
          <w:top w:w="0" w:type="dxa"/>
          <w:left w:w="0" w:type="dxa"/>
          <w:bottom w:w="0" w:type="dxa"/>
          <w:right w:w="0" w:type="dxa"/>
        </w:tblCellMar>
      </w:tblPr>
      <w:tr>
        <w:trPr>
          <w:trHeight w:val="224"/>
        </w:trPr>
        <w:tc>
          <w:tcPr>
            <w:tcW w:w="63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April 2, 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March 27, 2022</w:t>
            </w:r>
          </w:p>
        </w:tc>
        <w:tc>
          <w:tcPr>
            <w:tcW w:w="10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of $13.4 and $38.8)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931.7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1,783.1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28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Accounts receivable decreased 26% to $685.2 million as of April 2, 2023, compared to $931.7 million as of March 27, 2022. The decrease in accounts receivable was driven by lower sales during the first three months of 2023. Days sales outstanding decreased from 73 days at March 27, 2022 to 67 days at April 2, 2023.</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Inventories increased 11% to $713.4 million as of April 2, 2023, compared to $644.3 million as of March 27, 2022. The increase in during the first quarter of 2023 was driven primarily by higher inventory balances within the Wizards of the Coast and Digital Gaming segment, most notably in anticipation of several upcoming MAGIC: THE GATHERING set releases, due to release schedule timing differences compared to the first quarter of 2022 and to a lesser extent, DUNGEONS &amp; DRAGONS product as well as TRANSFORMERS product ahead of the </w:t>
      </w:r>
      <w:r>
        <w:rPr>
          <w:rFonts w:ascii="Arial" w:cs="Arial" w:eastAsia="Arial" w:hAnsi="Arial"/>
          <w:sz w:val="18"/>
          <w:szCs w:val="18"/>
          <w:i w:val="1"/>
          <w:iCs w:val="1"/>
          <w:color w:val="auto"/>
        </w:rPr>
        <w:t>Transformers: Rise of the Beasts</w:t>
      </w:r>
      <w:r>
        <w:rPr>
          <w:rFonts w:ascii="Arial" w:cs="Arial" w:eastAsia="Arial" w:hAnsi="Arial"/>
          <w:sz w:val="18"/>
          <w:szCs w:val="18"/>
          <w:color w:val="auto"/>
        </w:rPr>
        <w:t xml:space="preserve"> film expected in June 2023.</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Prepaid expenses and other current assets increased 21% to $754.4 million as of April 2, 2023 from $621.4 million as of March 27, 2022. The increase was driven by higher accrued royalty and licensing balances, primarily attributable to the Company's Entertainment business, as well as the reclassification of certain accrued income balances from long-term to current and higher indirect tax receivable balances for certain tax jurisdictions. These increases were partially offset by lower accrued tax credit balances related to film and television production costs, due to decreased productions and timing of tax credit claims.</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assets increased 25% to $1,604.3 million as of April 2, 2023 from $1,284.9 million as of March 27, 2022. The increase was primarily driven by higher capitalized film and television production balances due to increased investments in productions compared to the first quarter of 2022, increased investments in film and television development as well as higher deferred tax balances and higher non-current receivable balances within the Entertainment segment. These increases were partially offset by a lower balance for the Company's investment in Discovery Family Channel due to distributions received during 2022.</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Accounts payable and accrued liabilities decreased 7% to $1,653.9 million as of April 2, 2023 from $1,783.1 million as of March 27, 2022 driven by lower accounts payable balances associated with the Company's global cost savings initiatives and the timing of payments, lower accrued royalty balances as a result of partner brand product sales declines,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ind w:right="260"/>
        <w:spacing w:after="0" w:line="263" w:lineRule="auto"/>
        <w:rPr>
          <w:sz w:val="20"/>
          <w:szCs w:val="20"/>
          <w:color w:val="auto"/>
        </w:rPr>
      </w:pPr>
      <w:r>
        <w:rPr>
          <w:rFonts w:ascii="Arial" w:cs="Arial" w:eastAsia="Arial" w:hAnsi="Arial"/>
          <w:sz w:val="18"/>
          <w:szCs w:val="18"/>
          <w:color w:val="auto"/>
        </w:rPr>
        <w:t>expiration of certain partner brand licensing agreements, lower accrued freight balances as a result of improved supply chain conditions compared to the first quarter of 2022 as well as lower accrued advertising and lower incentive bonus accrual balances. These decreases were partially offset by higher severance accrual balances related to the Company's cost savings initiatives mentioned above.</w:t>
      </w:r>
    </w:p>
    <w:p>
      <w:pPr>
        <w:spacing w:after="0" w:line="15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Other liabilities decreased 8% to $585.2 million as of April 2, 2023 from $633.6 million as of March 27, 2022. The decrease was primarily driven by a lower transition tax liability balance reflecting the reclassification of the 2022 installment payment due April 2023 and lower long-term pension liability balances. These decreases were partially offset by an increase to the liability for uncertain tax positions and a higher long-term lease liability balance.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changes in the Consolidated Statement of Cash Flows, expressed in millions of dollars, for the three-month periods ended April 2, 2023 and March 27,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2, 2023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92"/>
              </w:rPr>
              <w:t>March 27, 2022</w:t>
            </w:r>
          </w:p>
        </w:tc>
      </w:tr>
      <w:tr>
        <w:trPr>
          <w:trHeight w:val="21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(utilized for):</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90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860"/>
              <w:spacing w:after="0"/>
              <w:rPr>
                <w:sz w:val="20"/>
                <w:szCs w:val="20"/>
                <w:color w:val="auto"/>
              </w:rPr>
            </w:pPr>
            <w:r>
              <w:rPr>
                <w:rFonts w:ascii="Arial" w:cs="Arial" w:eastAsia="Arial" w:hAnsi="Arial"/>
                <w:sz w:val="18"/>
                <w:szCs w:val="18"/>
                <w:color w:val="auto"/>
              </w:rPr>
              <w:t>134.7</w:t>
            </w:r>
          </w:p>
        </w:tc>
      </w:tr>
      <w:tr>
        <w:trPr>
          <w:trHeight w:val="229"/>
        </w:trPr>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3"/>
              </w:rPr>
              <w:t>(23.9)</w:t>
            </w:r>
          </w:p>
        </w:tc>
      </w:tr>
      <w:tr>
        <w:trPr>
          <w:trHeight w:val="230"/>
        </w:trPr>
        <w:tc>
          <w:tcPr>
            <w:tcW w:w="790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w w:val="93"/>
              </w:rPr>
              <w:t>(77.5)</w:t>
            </w:r>
          </w:p>
        </w:tc>
      </w:tr>
    </w:tbl>
    <w:p>
      <w:pPr>
        <w:spacing w:after="0" w:line="24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cash provided by operating activities in the first three months of 2023 was $88.8 million compared to $134.7 million in the first three months of 2022. The $45.9 million decrease in net cash provided by operating activities was primarily attributable to lower earnings during the first quarter of 2023.</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utilized for investing activities was $55.6 million in the first three months of 2023 compared to net cash utilized for investing activities of $23.9 million in the first three months of 2022. Additions to property, plant and equipment were $53.2 million in the first three months of 2023 compared to $29.2 million in the first three months of 2022, reflecting increased investments in the Company's digital gaming initiatives within the Wizards of the Coast and Digital Gaming segment.</w:t>
      </w:r>
    </w:p>
    <w:p>
      <w:pPr>
        <w:spacing w:after="0" w:line="1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cash utilized for financing activities was $156.6 million in the first three months of 2023 compared to $77.5 million in the first three months of 2022. Financing activities in the first three months of 2023 include a $30.0 million principal amortization payment toward the Five-Year Tranche loan described below, as well as drawdowns of $42.8 million and repayments of $54.8 million related to production financing loans. Financing activities in the first quarter of 2022 include payments totaling $57.5 million related to the $1.0 billion in term loans consisting of $50.0 million principal and a quarterly principal amortization payment of $7.5 million toward the Five-Year Tranche loan, in addition to drawdowns of $112.2 million and repayments of $84.0 million, related to production financing loans.</w:t>
      </w:r>
    </w:p>
    <w:p>
      <w:pPr>
        <w:spacing w:after="0" w:line="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Dividends paid in the first three months of 2023 totaled $96.7 million, compared to $94.5 million in the first three months of 2022 reflecting a higher dividend rate during the first three months of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commits to inventory production, advertising and marketing expenditures in support of its consumer products business, prior to the peak fourth quarter retail selling season. Accounts receivable increase during the third and fourth quarter as customers increase their purchases to meet expected consumer demand in the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In the Company's entertainment business, cash expenditures for productions are often made well in advance of sale and delivery of the content produced whereas trading card and digital gaming revenues have shorter collection periods, but product development expense often occurs years prior to release and revenue generation. During the first three months of 2023 and 2022, the Company primarily used cash from operations and, to a lesser extent, borrowings under available lines of credit, in particular production financing vehicles, to fund its working capital.</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ind w:right="140"/>
        <w:spacing w:after="0" w:line="255" w:lineRule="auto"/>
        <w:rPr>
          <w:sz w:val="20"/>
          <w:szCs w:val="20"/>
          <w:color w:val="auto"/>
        </w:rPr>
      </w:pPr>
      <w:r>
        <w:rPr>
          <w:rFonts w:ascii="Arial" w:cs="Arial" w:eastAsia="Arial" w:hAnsi="Arial"/>
          <w:sz w:val="18"/>
          <w:szCs w:val="18"/>
          <w:color w:val="auto"/>
        </w:rPr>
        <w:t>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April 2, 2023, the Company had no outstanding borrowings related to the Program.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second amended and restated revolving credit agreement with Bank of America, N.A., as administrative agent, swing line lender and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letter of credit issuer and lender and certain other financial institutions, as lenders thereto (the "Amended Revolving Credit Agreement"), which provides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with commitments having a maximum aggregate principal amount of $1.5 billion. The Amended Revolving Credit Agreement also provides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potential additional incremental commitment increase of up to $500.0 million subject to agreement of the lenders. The Amended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contains certain financial covenants setting forth leverage and coverage requirements, and certain other limitations typical of an investment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grade facility, including with respect to liens, mergers and incurrence of indebtedness. The Amended Revolving Credit Agreement extends through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20, 2024. The Company was in compliance with all covenants as of April 2, 2023. The Company had no borrowings outstanding under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committed revolving credit facility as of April 2, 2023. However, letters of credit outstanding under this facility as of April 2, 2023 were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 million. Amounts available and unused under the committed line, at April 2, 2023 were approximately $1.5 billion, inclusive of borrowings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commercial paper program. The Company also has other uncommitted lines from various banks, of which approximately $12.2 million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utilized at April 2, 2023. Of the amount utilized under, or supported by, the uncommitted lines, approximately $9.4 million and $2.8 million represent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and outstanding short-term borrowings, respectively.</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As of April 2, 2023, the Company has fully repaid the Three-Year Tranche $400.0 million principal term loan, and of the Five-Year Tranche $600.0 million principal balance, the Company has repaid a total of $320.0 million in the following increments: $22.5 million in 2020; $180.0 million in 2021; $87.5 million in 2022; and, $30.0 million during the first three months of 2023. The Company is subject to certain financial covenants contained in this agreement and as of April 2, 2023, the Company was in compliance with these covenants. The terms of the Term Loan Facilities are described in note 7 to the consolidated financial statements included in Part I of this Form 10-Q.</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During November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During the third quarter of 2021 </w:t>
      </w:r>
      <w:r>
        <w:rPr>
          <w:rFonts w:ascii="Arial" w:cs="Arial" w:eastAsia="Arial" w:hAnsi="Arial"/>
          <w:sz w:val="18"/>
          <w:szCs w:val="18"/>
          <w:color w:val="212529"/>
        </w:rPr>
        <w:t>the Company repaid in full, its 2022 Notes in the aggregate principal amount of $300.0 million, including</w:t>
      </w:r>
      <w:r>
        <w:rPr>
          <w:rFonts w:ascii="Arial" w:cs="Arial" w:eastAsia="Arial" w:hAnsi="Arial"/>
          <w:sz w:val="18"/>
          <w:szCs w:val="18"/>
          <w:color w:val="auto"/>
        </w:rPr>
        <w:t xml:space="preserve"> early redemption premiums and accrued interest of $10.8 million. The terms of the Notes are described in note 7 to the consolidated financial statements in Part I of this Form 10-Q.</w:t>
      </w:r>
    </w:p>
    <w:p>
      <w:pPr>
        <w:spacing w:after="0" w:line="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uses production financing facilities to fund its film and television productions which are arranged on an individual production basis by either special purpose production subsidiaries, each secured by the assets and future revenues of such production subsidiaries, which are non-recourse to the Company's assets, or through a senior revolving credit facility obtained in November 2021, dedicated to production financing.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The Company expects to utilize the revolving production financing facility for the majority of its future production financing needs. During the first three months of 2023, the Company had total drawdowns of $42.8 million and repayments of $54.8 million towards these production financing facilities. As of April 2, 2023, the Company had outstanding production financing borrowings related to these facilities of $183.5 million, $49.0 million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9" w:name="page40"/>
    <w:bookmarkEnd w:id="39"/>
    <w:p>
      <w:pPr>
        <w:ind w:right="840"/>
        <w:spacing w:after="0" w:line="277" w:lineRule="auto"/>
        <w:rPr>
          <w:sz w:val="20"/>
          <w:szCs w:val="20"/>
          <w:color w:val="auto"/>
        </w:rPr>
      </w:pPr>
      <w:r>
        <w:rPr>
          <w:rFonts w:ascii="Arial" w:cs="Arial" w:eastAsia="Arial" w:hAnsi="Arial"/>
          <w:sz w:val="18"/>
          <w:szCs w:val="18"/>
          <w:color w:val="auto"/>
        </w:rPr>
        <w:t>which are recorded within the current portion of long-term debt and $134.5 million are recorded within short-term borrowings in the Company's consolidated balance sheets, included in Part I of this Form 10-Q.</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principal amounts of long-term debt as of April 2, 2023 of $3.8 billion, due at varying times from 2024 through 2044. Of the total principal amount of long-term debt, $109.0 million is current at April 2, 2023 of which $60.0 million is related to principal amortization of the 5-year term loans due December 2024 and $49.0 million represents the Company's outstanding production financing facilities at April 2, 2023. In addition to the early repayment of the 2022 Notes described above, during the first quarter of 2021, the Company repaid in full, its 3.15% Notes in the aggregate principal amount of $300.0 million due in May 2021, including accrued interest. See note 7 to the Company’s consolidated financial statements in Part I of this Form 10-Q for additional information on long-term debt and long-term debt interest repayment, respectively.</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also had letters of credit and other similar instruments of approximately $13.4 million and purchase commitments of approximately $331.7 million outstanding at April 2, 2023.</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contractual obligations and commercial commitments, as detailed in the Company's 2022 Form 10-K, did not materially change outside of certain payments made in the normal course of business and as otherwise set forth in this report.</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has a long history of returning cash to its shareholders through quarterly dividends and share repurchases. Hasbro's next quarterly dividend of $0.70 per share is payable on May 15, 2023 to shareholders of record as of May 1, 2023. In addition to the dividend, the Company periodically returns cash to shareholders through its share repurchase program. As part of this initiative, since 2005 the Company's Board of Directors (the "Board") adopted numerous share repurchase authorizations with a cumulative authorized repurchase amount of $4.3 billion. The most recent authorization was approved in May 2018 for $500 million. At April 2, 2023, $241.6 million remained available under these share repurchase authorizations. There were no share repurchases made during the first quarter of 2023. The Company has no obligation to repurchase shares under the authorization, and the timing, actual number, and value of the shares that are repurchased, if any, will depend on a number of factors, including the price of the Company’s stock and the Company's generation of, and uses for, cash.</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20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film and television production costs, recoverability of goodwill and intangible assets and income taxes. Additionally, the Company identified the valuation of the Company’s equity method investment in Discovery Family Channel as a significant accounting estimate. These critical accounting policies are the same as those detailed in the Company's 2022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American and Asia Pacific countries.</w:t>
      </w:r>
    </w:p>
    <w:p>
      <w:pPr>
        <w:spacing w:after="0" w:line="16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0" w:name="page41"/>
    <w:bookmarkEnd w:id="40"/>
    <w:p>
      <w:pPr>
        <w:ind w:right="40"/>
        <w:spacing w:after="0" w:line="257" w:lineRule="auto"/>
        <w:rPr>
          <w:sz w:val="20"/>
          <w:szCs w:val="20"/>
          <w:color w:val="auto"/>
        </w:rPr>
      </w:pPr>
      <w:r>
        <w:rPr>
          <w:rFonts w:ascii="Arial" w:cs="Arial" w:eastAsia="Arial" w:hAnsi="Arial"/>
          <w:sz w:val="18"/>
          <w:szCs w:val="18"/>
          <w:color w:val="auto"/>
        </w:rPr>
        <w:t>The Company reflects derivatives at their fair value as an asset or liability on the consolidated balance sheets. The Company does not speculate in foreign currency exchange contracts. At April 2, 2023, these contracts had net unrealized losses of $2.0 million, of which $3.1 million of unrealized gains are recorded in prepaid expenses and other current assets, $0.1 million of unrealized gains are recorded in other assets and $5.2 million of unrealized losses are recorded in accrued liabilities. Included in accumulated other comprehensive loss at April 2, 2023 are deferred losses, net of tax, of $4.0 million, related to these derivatives.</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At April 2, 2023, the Company had fixed-rate long-term debt of $3.8 billion. In May 2014, the Company issued an aggregate $600.0 million of long-term debt which consisted of $300.0 million of 3.15% Notes, subsequently repaid in 2021, and $300.0 million of 5.10% Notes due 2044. Prior to the May 2014 debt issuance, the Company entered into forward-starting interest rate swap agreements with a total notional value of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April 2, 2023 are deferred losses, net of tax, of $14.7 million related to these derivatives.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business operations for the periods presented have been impacted by inflationary pressures however, due to mitigating actions taken by the Company, such as price increases implemented during 2022, the impact of general price inflation on our financial position and results of operations has been reduced. The Company continues to monitor the impact of inflation to its business operations on an ongoing basis and may need to adjust prices further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information required by this item is included in Part I, Item 2. "Management's Discussion and Analysis of Financial Condition and Results of Operations" and is incorporated herein by reference.</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April 2, 2023. Based on the evaluation of these disclosure controls and procedures, the Chief Executive Officer and Chief Financial Officer concluded that the Company's disclosure controls and procedures were effective.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58"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April 2, 2023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1" w:name="page42"/>
    <w:bookmarkEnd w:id="41"/>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party to certain legal proceedings, none of which it believes to be material to its business or financial condition.</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212529"/>
        </w:rPr>
        <w:t>In connection with information set forth in this Quarterly Report on Form 10-Q, the risk factors discussed under Item 1A. Risk Factors, in Part I of our 2022 Form 10-K and in our subsequent filings, including in this filing, should be considered. The risks set forth in our 2022 Form 10-K and in our subsequent filings, including in this filing, could materially and adversely affect our business, financial condition, and results of operations. There are no material changes from the risk factors as previously disclosed in our 2022 10-K, in any of our subsequently filed reports or as otherwise set forth in this Quarterly Report, except as set forth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entertainment business could be adversely affected by strikes or other union job actions.</w:t>
      </w:r>
    </w:p>
    <w:p>
      <w:pPr>
        <w:spacing w:after="0" w:line="6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Any strike by, or lockout of, one or more of the unions that provide personnel essential to the production of films or television programs, such as the strike by the writers’ union in May 2023, could delay or halt our ongoing production activities. Halts or delays, depending on the length of time, could cause a delay or interruption in our release of new films and television programs, which could impact our entertainment business.</w:t>
      </w:r>
    </w:p>
    <w:p>
      <w:pPr>
        <w:spacing w:after="0" w:line="1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May 2018, the Company announced that its Board of Directors authorized the repurchase of an additional $500 million of common stock, its most recent share repurchase authorization.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spacing w:after="0" w:line="5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were no repurchases of the Company’s Common Stock during the quarters ended April 2, 2023 and March 27, 2022. At April 2, 2023, Hasbro had $241.6 million remaining available under its share repurchase authorization.</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42" w:name="page43"/>
    <w:bookmarkEnd w:id="42"/>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79">
        <w:r>
          <w:rPr>
            <w:rFonts w:ascii="Arial" w:cs="Arial" w:eastAsia="Arial" w:hAnsi="Arial"/>
            <w:sz w:val="16"/>
            <w:szCs w:val="16"/>
            <w:u w:val="single" w:color="auto"/>
            <w:color w:val="0000FF"/>
          </w:rPr>
          <w:t>Restated Articles of Incorporation of the Company. (Incorporated by reference to Exhibit 3.1 to the Company's Quarterly Report on Form</w:t>
        </w:r>
      </w:hyperlink>
    </w:p>
    <w:p>
      <w:pPr>
        <w:spacing w:after="0" w:line="8" w:lineRule="exact"/>
        <w:rPr>
          <w:sz w:val="20"/>
          <w:szCs w:val="20"/>
          <w:color w:val="auto"/>
        </w:rPr>
      </w:pPr>
    </w:p>
    <w:p>
      <w:pPr>
        <w:ind w:left="980"/>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10-Q for the period ended July 2, 2000, File No. 1-6682.)</w:t>
        </w:r>
      </w:hyperlink>
    </w:p>
    <w:p>
      <w:pPr>
        <w:spacing w:after="0" w:line="74" w:lineRule="exact"/>
        <w:rPr>
          <w:sz w:val="20"/>
          <w:szCs w:val="20"/>
          <w:color w:val="auto"/>
        </w:rPr>
      </w:pPr>
    </w:p>
    <w:p>
      <w:pPr>
        <w:ind w:left="980" w:right="10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80">
        <w:r>
          <w:rPr>
            <w:rFonts w:ascii="Arial" w:cs="Arial" w:eastAsia="Arial" w:hAnsi="Arial"/>
            <w:sz w:val="18"/>
            <w:szCs w:val="18"/>
            <w:u w:val="single" w:color="auto"/>
            <w:color w:val="0000FF"/>
          </w:rPr>
          <w:t>Amendment to Articles of Incorporation, dated June 28, 2000. (Incorporated by reference to Exhibit 3.4 to the Company's Quarterly Report</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FF"/>
          </w:rPr>
          <w:t>on Form 10-Q for the period ended July 2, 2000, File No. 1-6682.)</w:t>
        </w:r>
      </w:hyperlink>
    </w:p>
    <w:p>
      <w:pPr>
        <w:spacing w:after="0" w:line="67" w:lineRule="exact"/>
        <w:rPr>
          <w:sz w:val="20"/>
          <w:szCs w:val="20"/>
          <w:color w:val="auto"/>
        </w:rPr>
      </w:pPr>
    </w:p>
    <w:p>
      <w:pPr>
        <w:ind w:left="980" w:right="10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3.3 </w:t>
      </w:r>
      <w:hyperlink r:id="rId81">
        <w:r>
          <w:rPr>
            <w:rFonts w:ascii="Arial" w:cs="Arial" w:eastAsia="Arial" w:hAnsi="Arial"/>
            <w:sz w:val="18"/>
            <w:szCs w:val="18"/>
            <w:u w:val="single" w:color="auto"/>
            <w:color w:val="0000FF"/>
          </w:rPr>
          <w:t>Amendment to Articles of Incorporation, dated May 19, 2003. (Incorporated by reference to Exhibit 3.3 to the Company's Quarterly Report</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on Form 10-Q for the period ended June 29, 2003, File No. 1-6682.)</w:t>
        </w:r>
      </w:hyperlink>
    </w:p>
    <w:p>
      <w:pPr>
        <w:spacing w:after="0" w:line="67"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3.4 </w:t>
      </w:r>
      <w:hyperlink r:id="rId82">
        <w:r>
          <w:rPr>
            <w:rFonts w:ascii="Arial" w:cs="Arial" w:eastAsia="Arial" w:hAnsi="Arial"/>
            <w:sz w:val="16"/>
            <w:szCs w:val="16"/>
            <w:u w:val="single" w:color="auto"/>
            <w:color w:val="0000FF"/>
          </w:rPr>
          <w:t>Second Amended and Restated Bylaws of the Company (Incorporated by reference to Exhibit 3.1 to the Company’s Current Report on Form</w:t>
        </w:r>
      </w:hyperlink>
    </w:p>
    <w:p>
      <w:pPr>
        <w:spacing w:after="0" w:line="8" w:lineRule="exact"/>
        <w:rPr>
          <w:sz w:val="20"/>
          <w:szCs w:val="20"/>
          <w:color w:val="auto"/>
        </w:rPr>
      </w:pPr>
    </w:p>
    <w:p>
      <w:pPr>
        <w:ind w:left="980"/>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8-K dated September 30, 2022, File No. 1-6682).</w:t>
        </w:r>
      </w:hyperlink>
    </w:p>
    <w:p>
      <w:pPr>
        <w:spacing w:after="0" w:line="74" w:lineRule="exact"/>
        <w:rPr>
          <w:sz w:val="20"/>
          <w:szCs w:val="20"/>
          <w:color w:val="auto"/>
        </w:rPr>
      </w:pPr>
    </w:p>
    <w:p>
      <w:pPr>
        <w:ind w:left="980" w:hanging="314"/>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3.5 </w:t>
      </w:r>
      <w:hyperlink r:id="rId83">
        <w:r>
          <w:rPr>
            <w:rFonts w:ascii="Arial" w:cs="Arial" w:eastAsia="Arial" w:hAnsi="Arial"/>
            <w:sz w:val="17"/>
            <w:szCs w:val="17"/>
            <w:u w:val="single" w:color="auto"/>
            <w:color w:val="0000FF"/>
          </w:rPr>
          <w:t>Certificate of Designations of Series C Junior Participating Preference Stock of Hasbro, Inc. dated June 29, 1999. (Incorporated by reference</w:t>
        </w:r>
      </w:hyperlink>
      <w:r>
        <w:rPr>
          <w:rFonts w:ascii="Arial" w:cs="Arial" w:eastAsia="Arial" w:hAnsi="Arial"/>
          <w:sz w:val="17"/>
          <w:szCs w:val="17"/>
          <w:color w:val="auto"/>
        </w:rPr>
        <w:t xml:space="preserve"> </w:t>
      </w:r>
      <w:hyperlink r:id="rId83">
        <w:r>
          <w:rPr>
            <w:rFonts w:ascii="Arial" w:cs="Arial" w:eastAsia="Arial" w:hAnsi="Arial"/>
            <w:sz w:val="17"/>
            <w:szCs w:val="17"/>
            <w:u w:val="single" w:color="auto"/>
            <w:color w:val="0000FF"/>
          </w:rPr>
          <w:t>to Exhibit 3.2 to the Company's Quarterly Report on Form 10-Q for the period ended July 2, 2000, File No. 1-6682.)</w:t>
        </w:r>
      </w:hyperlink>
    </w:p>
    <w:p>
      <w:pPr>
        <w:spacing w:after="0" w:line="52" w:lineRule="exact"/>
        <w:rPr>
          <w:sz w:val="20"/>
          <w:szCs w:val="20"/>
          <w:color w:val="auto"/>
        </w:rPr>
      </w:pPr>
    </w:p>
    <w:p>
      <w:pPr>
        <w:ind w:left="980" w:right="66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3.6 </w:t>
      </w:r>
      <w:hyperlink r:id="rId84">
        <w:r>
          <w:rPr>
            <w:rFonts w:ascii="Arial" w:cs="Arial" w:eastAsia="Arial" w:hAnsi="Arial"/>
            <w:sz w:val="18"/>
            <w:szCs w:val="18"/>
            <w:u w:val="single" w:color="auto"/>
            <w:color w:val="0000FF"/>
          </w:rPr>
          <w:t>Certificate of Vote(s) authorizing a decrease of class or series of any class of shares. (Incorporated by reference to Exhibit 3.3 to the</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FF"/>
          </w:rPr>
          <w:t>Company's Quarterly Report on Form 10-Q for the period ended July 2, 2000, File No 1-6682.)</w:t>
        </w:r>
      </w:hyperlink>
    </w:p>
    <w:p>
      <w:pPr>
        <w:spacing w:after="0" w:line="67" w:lineRule="exact"/>
        <w:rPr>
          <w:sz w:val="20"/>
          <w:szCs w:val="20"/>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85">
        <w:r>
          <w:rPr>
            <w:rFonts w:ascii="Arial" w:cs="Arial" w:eastAsia="Arial" w:hAnsi="Arial"/>
            <w:sz w:val="18"/>
            <w:szCs w:val="18"/>
            <w:u w:val="single" w:color="auto"/>
            <w:color w:val="0000FF"/>
          </w:rPr>
          <w:t>Indenture, dated as of July 17, 1998, by and between the Company and The Bank of New York Mellon Trust Company, N.A. as successor</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Trustee to Citibank, N.A. as Trustee. (Incorporated by reference to Exhibit 4.1 to the Company's Current Report on Form 8-K dated July 14,</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1998, File No. 1-6682.)</w:t>
        </w:r>
      </w:hyperlink>
    </w:p>
    <w:p>
      <w:pPr>
        <w:spacing w:after="0" w:line="68" w:lineRule="exact"/>
        <w:rPr>
          <w:rFonts w:ascii="Arial" w:cs="Arial" w:eastAsia="Arial" w:hAnsi="Arial"/>
          <w:sz w:val="18"/>
          <w:szCs w:val="18"/>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86">
        <w:r>
          <w:rPr>
            <w:rFonts w:ascii="Arial" w:cs="Arial" w:eastAsia="Arial" w:hAnsi="Arial"/>
            <w:sz w:val="18"/>
            <w:szCs w:val="18"/>
            <w:u w:val="single" w:color="auto"/>
            <w:color w:val="0000FF"/>
          </w:rPr>
          <w:t>Indenture, dated as of March 15, 2000, by and between the Company and The Bank of New York Mellon Trust Company, N.A. as successor</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Trustee to the Bank of Nova Scotia Trust Company of New York. (Incorporated by reference to Exhibit 4(b)(i) to the Company's Annual</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Report on Form 10-K for the fiscal year ended December 26, 1999, File No. 1-6682.)</w:t>
        </w:r>
      </w:hyperlink>
    </w:p>
    <w:p>
      <w:pPr>
        <w:spacing w:after="0" w:line="68" w:lineRule="exact"/>
        <w:rPr>
          <w:rFonts w:ascii="Arial" w:cs="Arial" w:eastAsia="Arial" w:hAnsi="Arial"/>
          <w:sz w:val="18"/>
          <w:szCs w:val="18"/>
          <w:color w:val="auto"/>
        </w:rPr>
      </w:pPr>
    </w:p>
    <w:p>
      <w:pPr>
        <w:ind w:left="980" w:right="1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87">
        <w:r>
          <w:rPr>
            <w:rFonts w:ascii="Arial" w:cs="Arial" w:eastAsia="Arial" w:hAnsi="Arial"/>
            <w:sz w:val="18"/>
            <w:szCs w:val="18"/>
            <w:u w:val="single" w:color="auto"/>
            <w:color w:val="0000FF"/>
          </w:rPr>
          <w:t>First Supplemental Indenture, dated as of September 17, 2007, between the Company and The Bank of New York Mellon Trust Company,</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FF"/>
          </w:rPr>
          <w:t>N.A. as successor Trustee to the Bank of Nova Scotia Trust Company of New York. (Incorporated by reference to Exhibit 4.1 to the</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Company's Current Report on Form 8-K filed September 17, 2007, File No. 1-6682.)</w:t>
        </w:r>
      </w:hyperlink>
    </w:p>
    <w:p>
      <w:pPr>
        <w:spacing w:after="0" w:line="68" w:lineRule="exact"/>
        <w:rPr>
          <w:rFonts w:ascii="Arial" w:cs="Arial" w:eastAsia="Arial" w:hAnsi="Arial"/>
          <w:sz w:val="18"/>
          <w:szCs w:val="18"/>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88">
        <w:r>
          <w:rPr>
            <w:rFonts w:ascii="Arial" w:cs="Arial" w:eastAsia="Arial" w:hAnsi="Arial"/>
            <w:sz w:val="18"/>
            <w:szCs w:val="18"/>
            <w:u w:val="single" w:color="auto"/>
            <w:color w:val="0000FF"/>
          </w:rPr>
          <w:t>Second Supplemental Indenture, dated as of May 13, 2009, between the Company and The Bank of New York Mellon Trust Company, N.A.</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Current Report on Form 8-K filed May 13, 2009, File No. 1-6682.)</w:t>
        </w:r>
      </w:hyperlink>
    </w:p>
    <w:p>
      <w:pPr>
        <w:spacing w:after="0" w:line="68" w:lineRule="exact"/>
        <w:rPr>
          <w:rFonts w:ascii="Arial" w:cs="Arial" w:eastAsia="Arial" w:hAnsi="Arial"/>
          <w:sz w:val="18"/>
          <w:szCs w:val="18"/>
          <w:color w:val="auto"/>
        </w:rPr>
      </w:pPr>
    </w:p>
    <w:p>
      <w:pPr>
        <w:ind w:left="980" w:right="2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89">
        <w:r>
          <w:rPr>
            <w:rFonts w:ascii="Arial" w:cs="Arial" w:eastAsia="Arial" w:hAnsi="Arial"/>
            <w:sz w:val="18"/>
            <w:szCs w:val="18"/>
            <w:u w:val="single" w:color="auto"/>
            <w:color w:val="0000FF"/>
          </w:rPr>
          <w:t>Third Supplemental Indenture, dated as of March 11, 2010, between the Company and The Bank of New York Mellon Trust Company, N.A.</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Current Report on Form 8-K filed March 11, 2010, File No. 1-6682.)</w:t>
        </w:r>
      </w:hyperlink>
    </w:p>
    <w:p>
      <w:pPr>
        <w:spacing w:after="0" w:line="68" w:lineRule="exact"/>
        <w:rPr>
          <w:rFonts w:ascii="Arial" w:cs="Arial" w:eastAsia="Arial" w:hAnsi="Arial"/>
          <w:sz w:val="18"/>
          <w:szCs w:val="18"/>
          <w:color w:val="auto"/>
        </w:rPr>
      </w:pPr>
    </w:p>
    <w:p>
      <w:pPr>
        <w:jc w:val="both"/>
        <w:ind w:left="980" w:right="2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90">
        <w:r>
          <w:rPr>
            <w:rFonts w:ascii="Arial" w:cs="Arial" w:eastAsia="Arial" w:hAnsi="Arial"/>
            <w:sz w:val="18"/>
            <w:szCs w:val="18"/>
            <w:u w:val="single" w:color="auto"/>
            <w:color w:val="0000FF"/>
          </w:rPr>
          <w:t>Fourth Supplemental Indenture, dated May 13, 2014, between the Company and The Bank of New York Mellon Trust Company, N.A. as</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Current Report on Form 8-K filed May 13, 2014, file No. 1-6682.)</w:t>
        </w:r>
      </w:hyperlink>
    </w:p>
    <w:p>
      <w:pPr>
        <w:spacing w:after="0" w:line="68" w:lineRule="exact"/>
        <w:rPr>
          <w:rFonts w:ascii="Arial" w:cs="Arial" w:eastAsia="Arial" w:hAnsi="Arial"/>
          <w:sz w:val="18"/>
          <w:szCs w:val="18"/>
          <w:color w:val="auto"/>
        </w:rPr>
      </w:pPr>
    </w:p>
    <w:p>
      <w:pPr>
        <w:jc w:val="both"/>
        <w:ind w:left="980" w:right="16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91">
        <w:r>
          <w:rPr>
            <w:rFonts w:ascii="Arial" w:cs="Arial" w:eastAsia="Arial" w:hAnsi="Arial"/>
            <w:sz w:val="18"/>
            <w:szCs w:val="18"/>
            <w:u w:val="single" w:color="auto"/>
            <w:color w:val="0000FF"/>
          </w:rPr>
          <w:t>Fifth Supplemental Indenture, dated September 13, 2017, between the Company and The Bank of New York Mellon Trust Company, N.A.</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Current Report on Form 8-K filed September 13, 2017, file No. 1-6682.)</w:t>
        </w:r>
      </w:hyperlink>
    </w:p>
    <w:p>
      <w:pPr>
        <w:spacing w:after="0" w:line="68" w:lineRule="exact"/>
        <w:rPr>
          <w:rFonts w:ascii="Arial" w:cs="Arial" w:eastAsia="Arial" w:hAnsi="Arial"/>
          <w:sz w:val="18"/>
          <w:szCs w:val="18"/>
          <w:color w:val="auto"/>
        </w:rPr>
      </w:pPr>
    </w:p>
    <w:p>
      <w:pPr>
        <w:ind w:left="980" w:right="16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92">
        <w:r>
          <w:rPr>
            <w:rFonts w:ascii="Arial" w:cs="Arial" w:eastAsia="Arial" w:hAnsi="Arial"/>
            <w:sz w:val="18"/>
            <w:szCs w:val="18"/>
            <w:u w:val="single" w:color="auto"/>
            <w:color w:val="0000FF"/>
          </w:rPr>
          <w:t>Sixth Supplemental Indenture dated as of November 19, 2019, among the Company and The Bank of New York Mellon Trust Company,</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N.A. and U.S. Bank, National Association, supplementing the Indenture dated as of March 15, 2000. (Incorporated by reference to Exhibit</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1.2 to the Company’s Current Report on Form 8-K filed November 19, 2019, File No. 1-6682.)</w:t>
        </w:r>
      </w:hyperlink>
    </w:p>
    <w:p>
      <w:pPr>
        <w:spacing w:after="0" w:line="68" w:lineRule="exact"/>
        <w:rPr>
          <w:rFonts w:ascii="Arial" w:cs="Arial" w:eastAsia="Arial" w:hAnsi="Arial"/>
          <w:sz w:val="18"/>
          <w:szCs w:val="18"/>
          <w:color w:val="auto"/>
        </w:rPr>
      </w:pPr>
    </w:p>
    <w:p>
      <w:pPr>
        <w:ind w:left="980" w:right="540" w:hanging="529"/>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93">
        <w:r>
          <w:rPr>
            <w:rFonts w:ascii="Arial" w:cs="Arial" w:eastAsia="Arial" w:hAnsi="Arial"/>
            <w:sz w:val="18"/>
            <w:szCs w:val="18"/>
            <w:u w:val="single" w:color="auto"/>
            <w:color w:val="0000FF"/>
          </w:rPr>
          <w:t>Transitional Advisory Services Agreement between the Company and Deborah Thomas (Incorporated by reference to the Company’s</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Current Report on Form 8-K filed with the SEC on March 14, 2023, File No. 1-6682.)</w:t>
        </w:r>
      </w:hyperlink>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0000FF"/>
        </w:rPr>
        <w:t>Letter Agreement with Gina Goetter, dated April 3, 2023.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0000FF"/>
        </w:rPr>
        <w:t>Letter Agreement with Tim Kilpin, dated March 29, 2023.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0000FF"/>
        </w:rPr>
        <w:t>Form of 2023 Stock Option Agreement under the Hasbro, Inc. Restated 2003 Stock Incentive Performance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0000FF"/>
        </w:rPr>
        <w:t>Form of 2023 Restricted Stock Unit Award under the Hasbro, Inc. Restated 2003 Stock Incentive Performance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0000FF"/>
        </w:rPr>
        <w:t>Form of 2023 Contingent Stock Performance Award under the Hasbro, Inc. Restated 2003 Stock Incentive Performance Plan.</w:t>
      </w:r>
    </w:p>
    <w:p>
      <w:pPr>
        <w:spacing w:after="0" w:line="77" w:lineRule="exact"/>
        <w:rPr>
          <w:sz w:val="20"/>
          <w:szCs w:val="20"/>
          <w:color w:val="auto"/>
        </w:rPr>
      </w:pPr>
    </w:p>
    <w:p>
      <w:pPr>
        <w:ind w:left="580" w:firstLine="405"/>
        <w:spacing w:after="0" w:line="246" w:lineRule="auto"/>
        <w:rPr>
          <w:rFonts w:ascii="Arial" w:cs="Arial" w:eastAsia="Arial" w:hAnsi="Arial"/>
          <w:sz w:val="18"/>
          <w:szCs w:val="18"/>
          <w:color w:val="000000"/>
        </w:rPr>
      </w:pPr>
      <w:hyperlink r:id="rId95">
        <w:r>
          <w:rPr>
            <w:rFonts w:ascii="Arial" w:cs="Arial" w:eastAsia="Arial" w:hAnsi="Arial"/>
            <w:sz w:val="18"/>
            <w:szCs w:val="18"/>
            <w:u w:val="single" w:color="auto"/>
            <w:color w:val="0000FF"/>
          </w:rPr>
          <w:t>First Amendment to Credit Agreement, dated April 12, 2023 (Incorporated by reference to Exhibit 10.1 to the Company’s Current Report on</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 xml:space="preserve">10.7 </w:t>
      </w:r>
      <w:hyperlink r:id="rId95">
        <w:r>
          <w:rPr>
            <w:rFonts w:ascii="Arial" w:cs="Arial" w:eastAsia="Arial" w:hAnsi="Arial"/>
            <w:sz w:val="18"/>
            <w:szCs w:val="18"/>
            <w:u w:val="single" w:color="auto"/>
            <w:color w:val="0000FF"/>
          </w:rPr>
          <w:t>Form 8-K filed with the SEC on April 14, 2023, File No. 1-6682)</w:t>
        </w:r>
      </w:hyperlink>
    </w:p>
    <w:p>
      <w:pPr>
        <w:spacing w:after="0" w:line="48" w:lineRule="exact"/>
        <w:rPr>
          <w:sz w:val="20"/>
          <w:szCs w:val="20"/>
          <w:color w:val="auto"/>
        </w:rPr>
      </w:pPr>
    </w:p>
    <w:p>
      <w:pPr>
        <w:ind w:left="580" w:right="420" w:firstLine="405"/>
        <w:spacing w:after="0" w:line="246" w:lineRule="auto"/>
        <w:rPr>
          <w:rFonts w:ascii="Arial" w:cs="Arial" w:eastAsia="Arial" w:hAnsi="Arial"/>
          <w:sz w:val="18"/>
          <w:szCs w:val="18"/>
          <w:color w:val="000000"/>
        </w:rPr>
      </w:pPr>
      <w:hyperlink r:id="rId96">
        <w:r>
          <w:rPr>
            <w:rFonts w:ascii="Arial" w:cs="Arial" w:eastAsia="Arial" w:hAnsi="Arial"/>
            <w:sz w:val="18"/>
            <w:szCs w:val="18"/>
            <w:u w:val="single" w:color="auto"/>
            <w:color w:val="0000FF"/>
          </w:rPr>
          <w:t>First Amendment to Term Loan Agreement, dated April 12, 2023 (Incorporated by reference to Exhibit 10.2 to the Company’s Current</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 xml:space="preserve">10.8 </w:t>
      </w:r>
      <w:hyperlink r:id="rId96">
        <w:r>
          <w:rPr>
            <w:rFonts w:ascii="Arial" w:cs="Arial" w:eastAsia="Arial" w:hAnsi="Arial"/>
            <w:sz w:val="18"/>
            <w:szCs w:val="18"/>
            <w:u w:val="single" w:color="auto"/>
            <w:color w:val="0000FF"/>
          </w:rPr>
          <w:t>Report on Form 8-K filed with the SEC on April 14, 2023, File No. 1-6682)</w:t>
        </w:r>
      </w:hyperlink>
    </w:p>
    <w:p>
      <w:pPr>
        <w:spacing w:after="0" w:line="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the Chief Executive Officer Pursuant to Rule 13a-14(a) under the Securities Exchange Act of 1934.</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the Chief Financial Officer Pursuant to Rule 13a-14(a) under the Securities Exchange Act of 1934.</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of the Chief Executive Officer Pursuant to Rule 13a-14(b) under the Securities Exchange Act of 1934.</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0000FF"/>
        </w:rPr>
        <w:t>Certification of the Chief Financial Officer Pursuant to Rule 13a-14(b) under the Securities Exchange Act of 1934.</w:t>
      </w:r>
    </w:p>
    <w:p>
      <w:pPr>
        <w:spacing w:after="0" w:line="77" w:lineRule="exact"/>
        <w:rPr>
          <w:sz w:val="20"/>
          <w:szCs w:val="20"/>
          <w:color w:val="auto"/>
        </w:rPr>
      </w:pPr>
    </w:p>
    <w:p>
      <w:pPr>
        <w:ind w:left="980" w:right="40" w:hanging="640"/>
        <w:spacing w:after="0" w:line="235" w:lineRule="auto"/>
        <w:rPr>
          <w:sz w:val="20"/>
          <w:szCs w:val="20"/>
          <w:color w:val="auto"/>
        </w:rPr>
      </w:pPr>
      <w:r>
        <w:rPr>
          <w:rFonts w:ascii="Arial" w:cs="Arial" w:eastAsia="Arial" w:hAnsi="Arial"/>
          <w:sz w:val="18"/>
          <w:szCs w:val="18"/>
          <w:color w:val="auto"/>
        </w:rPr>
        <w:t>101.INS XBRL Instance Document - the instance document does not appear in the Interactive Data File because its XBRL tags are embedded within the Inline XBRL Document.</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101.SCH XBRL Taxonomy Extension Schema Document</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101.LAB XBRL Taxonomy Extension Labels Linkbase Document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Furnished herewith</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Indicates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30" w:right="47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color w:val="auto"/>
        </w:rPr>
        <w:t>SIGNATURES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8688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6"/>
          <w:szCs w:val="16"/>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8688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Deborah Thomas</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w:t>
      </w:r>
    </w:p>
    <w:p>
      <w:pPr>
        <w:ind w:left="6740"/>
        <w:spacing w:after="0" w:line="203" w:lineRule="auto"/>
        <w:rPr>
          <w:sz w:val="20"/>
          <w:szCs w:val="20"/>
          <w:color w:val="auto"/>
        </w:rPr>
      </w:pPr>
      <w:r>
        <w:rPr>
          <w:rFonts w:ascii="Arial" w:cs="Arial" w:eastAsia="Arial" w:hAnsi="Arial"/>
          <w:sz w:val="18"/>
          <w:szCs w:val="18"/>
          <w:color w:val="auto"/>
        </w:rPr>
        <w:t>Chief Financial Officer</w:t>
      </w:r>
    </w:p>
    <w:p>
      <w:pPr>
        <w:ind w:left="6740"/>
        <w:spacing w:after="0" w:line="219" w:lineRule="auto"/>
        <w:rPr>
          <w:sz w:val="20"/>
          <w:szCs w:val="20"/>
          <w:color w:val="auto"/>
        </w:rPr>
      </w:pPr>
      <w:r>
        <w:rPr>
          <w:rFonts w:ascii="Arial" w:cs="Arial" w:eastAsia="Arial" w:hAnsi="Arial"/>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00"/>
          </w:cols>
          <w:pgMar w:left="320" w:top="949" w:right="37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490855</wp:posOffset>
            </wp:positionH>
            <wp:positionV relativeFrom="page">
              <wp:posOffset>397510</wp:posOffset>
            </wp:positionV>
            <wp:extent cx="960120" cy="1028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96012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April 3, 2023</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Gina Goetter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Dear Gina,</w:t>
      </w:r>
    </w:p>
    <w:p>
      <w:pPr>
        <w:spacing w:after="0" w:line="214" w:lineRule="exact"/>
        <w:rPr>
          <w:sz w:val="20"/>
          <w:szCs w:val="20"/>
          <w:color w:val="auto"/>
        </w:rPr>
      </w:pPr>
    </w:p>
    <w:p>
      <w:pPr>
        <w:jc w:val="both"/>
        <w:ind w:right="120"/>
        <w:spacing w:after="0" w:line="221" w:lineRule="auto"/>
        <w:rPr>
          <w:sz w:val="20"/>
          <w:szCs w:val="20"/>
          <w:color w:val="auto"/>
        </w:rPr>
      </w:pPr>
      <w:r>
        <w:rPr>
          <w:rFonts w:ascii="Arial" w:cs="Arial" w:eastAsia="Arial" w:hAnsi="Arial"/>
          <w:sz w:val="19"/>
          <w:szCs w:val="19"/>
          <w:color w:val="auto"/>
        </w:rPr>
        <w:t xml:space="preserve">I am pleased to offer you the position of Chief Financial Officer, at Hasbro, Inc. (“Hasbro” or the “Company”). In this position, you have the opportunity to make a significant contribution to our future success and we look forward to your first day, </w:t>
      </w:r>
      <w:r>
        <w:rPr>
          <w:rFonts w:ascii="Arial" w:cs="Arial" w:eastAsia="Arial" w:hAnsi="Arial"/>
          <w:sz w:val="19"/>
          <w:szCs w:val="19"/>
          <w:b w:val="1"/>
          <w:bCs w:val="1"/>
          <w:color w:val="auto"/>
        </w:rPr>
        <w:t>May 9,</w:t>
      </w:r>
      <w:r>
        <w:rPr>
          <w:rFonts w:ascii="Arial" w:cs="Arial" w:eastAsia="Arial" w:hAnsi="Arial"/>
          <w:sz w:val="19"/>
          <w:szCs w:val="19"/>
          <w:color w:val="auto"/>
        </w:rPr>
        <w:t xml:space="preserve"> </w:t>
      </w:r>
      <w:r>
        <w:rPr>
          <w:rFonts w:ascii="Arial" w:cs="Arial" w:eastAsia="Arial" w:hAnsi="Arial"/>
          <w:sz w:val="19"/>
          <w:szCs w:val="19"/>
          <w:b w:val="1"/>
          <w:bCs w:val="1"/>
          <w:color w:val="auto"/>
        </w:rPr>
        <w:t>2023.</w:t>
      </w:r>
    </w:p>
    <w:p>
      <w:pPr>
        <w:spacing w:after="0" w:line="206" w:lineRule="exact"/>
        <w:rPr>
          <w:sz w:val="20"/>
          <w:szCs w:val="20"/>
          <w:color w:val="auto"/>
        </w:rPr>
      </w:pPr>
    </w:p>
    <w:p>
      <w:pPr>
        <w:jc w:val="both"/>
        <w:ind w:right="140"/>
        <w:spacing w:after="0" w:line="228" w:lineRule="auto"/>
        <w:rPr>
          <w:sz w:val="20"/>
          <w:szCs w:val="20"/>
          <w:color w:val="auto"/>
        </w:rPr>
      </w:pPr>
      <w:r>
        <w:rPr>
          <w:rFonts w:ascii="Arial" w:cs="Arial" w:eastAsia="Arial" w:hAnsi="Arial"/>
          <w:sz w:val="19"/>
          <w:szCs w:val="19"/>
          <w:color w:val="auto"/>
        </w:rPr>
        <w:t>This offer is contingent upon your relocation to the Rhode Island office area by the date to be mutually agreed by you and Hasbro, Inc., but you may work remotely from your home office in Illinois until that time.</w:t>
      </w:r>
    </w:p>
    <w:p>
      <w:pPr>
        <w:spacing w:after="0" w:line="206" w:lineRule="exact"/>
        <w:rPr>
          <w:sz w:val="20"/>
          <w:szCs w:val="20"/>
          <w:color w:val="auto"/>
        </w:rPr>
      </w:pPr>
    </w:p>
    <w:p>
      <w:pPr>
        <w:jc w:val="both"/>
        <w:ind w:right="120"/>
        <w:spacing w:after="0" w:line="228" w:lineRule="auto"/>
        <w:rPr>
          <w:sz w:val="20"/>
          <w:szCs w:val="20"/>
          <w:color w:val="auto"/>
        </w:rPr>
      </w:pPr>
      <w:r>
        <w:rPr>
          <w:rFonts w:ascii="Arial" w:cs="Arial" w:eastAsia="Arial" w:hAnsi="Arial"/>
          <w:sz w:val="19"/>
          <w:szCs w:val="19"/>
          <w:color w:val="auto"/>
        </w:rPr>
        <w:t>Please be sure to notify your Human Resources Business Partner and update your address in Employee Central once you complete your move to help ensure tax and benefits reporting reflects your work location appropriately.</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Base Salary:</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Your initial gross base salary will be $38,461.54 bi-weekly, equivalent to $1,000,000.04 annually.</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Annual Bonus: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You will be eligible to participate in the Hasbro, Inc. Performance Reward Program</w:t>
      </w:r>
    </w:p>
    <w:p>
      <w:pPr>
        <w:ind w:left="560" w:right="440"/>
        <w:spacing w:after="0" w:line="211" w:lineRule="auto"/>
        <w:rPr>
          <w:sz w:val="20"/>
          <w:szCs w:val="20"/>
          <w:color w:val="auto"/>
        </w:rPr>
      </w:pPr>
      <w:r>
        <w:rPr>
          <w:rFonts w:ascii="Arial" w:cs="Arial" w:eastAsia="Arial" w:hAnsi="Arial"/>
          <w:sz w:val="19"/>
          <w:szCs w:val="19"/>
          <w:color w:val="auto"/>
        </w:rPr>
        <w:t>for 2023, payable in 2024. Your target annual incentive will be 100% of your earned base salary for 2023. The PRP annual bonus program is funded by the Company’s performance against annual financial targets set by the Compensation Committee (the “Compensation Committee”) of the Hasbro Board of Directors (the “Board”), with the Compensation Committee and the Board having full discretion in the selection of the performance metrics to be used under the PRP, the target performance levels for each metric and the payouts associated with the various levels of performance against target. Actual bonus payouts under the PRP are also based upon your individual contribution and the Company’s financial position and are subject to the Compensation Committee’s and Board’s ability to adjust payouts in their discretion to the level they deem appropriate. For fiscal years after 2023, your target annual incentive will be reviewed periodically by the Compensation Committee in accordance with the Company’s compensation philosophy, market conditions and other factors, and may be adjusted to the extent the Compensation Committee deems appropriate.</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Sign-On Bonus:</w:t>
      </w:r>
    </w:p>
    <w:p>
      <w:pPr>
        <w:spacing w:after="0" w:line="251" w:lineRule="exact"/>
        <w:rPr>
          <w:sz w:val="20"/>
          <w:szCs w:val="20"/>
          <w:color w:val="auto"/>
        </w:rPr>
      </w:pPr>
    </w:p>
    <w:p>
      <w:pPr>
        <w:jc w:val="both"/>
        <w:ind w:left="540"/>
        <w:spacing w:after="0" w:line="218" w:lineRule="auto"/>
        <w:rPr>
          <w:sz w:val="20"/>
          <w:szCs w:val="20"/>
          <w:color w:val="auto"/>
        </w:rPr>
      </w:pPr>
      <w:r>
        <w:rPr>
          <w:rFonts w:ascii="Arial" w:cs="Arial" w:eastAsia="Arial" w:hAnsi="Arial"/>
          <w:sz w:val="19"/>
          <w:szCs w:val="19"/>
          <w:color w:val="auto"/>
        </w:rPr>
        <w:t>In consideration of your decision to accept our offer of employment, Hasbro will pay a sign on bonus of $350,000, less applicable taxes and withholdings, payable within two pay cycles of your start date. Payment of your Sign on Bonus will be made with the express condition that in the event you voluntarily terminate your employment with Hasbro before you complete a full 12-month service following receipt of payment, you will make a full repayment of that bonus.</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One-Time Stock Award:</w:t>
      </w:r>
    </w:p>
    <w:p>
      <w:pPr>
        <w:spacing w:after="0" w:line="238" w:lineRule="exact"/>
        <w:rPr>
          <w:sz w:val="20"/>
          <w:szCs w:val="20"/>
          <w:color w:val="auto"/>
        </w:rPr>
      </w:pPr>
    </w:p>
    <w:p>
      <w:pPr>
        <w:ind w:left="540" w:right="140"/>
        <w:spacing w:after="0" w:line="228" w:lineRule="auto"/>
        <w:rPr>
          <w:sz w:val="20"/>
          <w:szCs w:val="20"/>
          <w:color w:val="auto"/>
        </w:rPr>
      </w:pPr>
      <w:r>
        <w:rPr>
          <w:rFonts w:ascii="Arial" w:cs="Arial" w:eastAsia="Arial" w:hAnsi="Arial"/>
          <w:sz w:val="19"/>
          <w:szCs w:val="19"/>
          <w:color w:val="auto"/>
        </w:rPr>
        <w:t>Subject to review and approval at the next meeting of the Compensation Committee, Hasbro will grant you a one-time restricted stock award with a grant date value of $4,000,000 that</w:t>
      </w:r>
    </w:p>
    <w:p>
      <w:pPr>
        <w:sectPr>
          <w:pgSz w:w="11900" w:h="16838" w:orient="portrait"/>
          <w:cols w:equalWidth="0" w:num="1">
            <w:col w:w="10780"/>
          </w:cols>
          <w:pgMar w:left="780" w:top="1440" w:right="339" w:bottom="1440" w:gutter="0" w:footer="0" w:header="0"/>
        </w:sectPr>
      </w:pPr>
    </w:p>
    <w:bookmarkStart w:id="46" w:name="page47"/>
    <w:bookmarkEnd w:id="46"/>
    <w:p>
      <w:pPr>
        <w:jc w:val="both"/>
        <w:ind w:left="500"/>
        <w:spacing w:after="0" w:line="218" w:lineRule="auto"/>
        <w:rPr>
          <w:sz w:val="20"/>
          <w:szCs w:val="20"/>
          <w:color w:val="auto"/>
        </w:rPr>
      </w:pPr>
      <w:r>
        <w:rPr>
          <w:rFonts w:ascii="Arial" w:cs="Arial" w:eastAsia="Arial" w:hAnsi="Arial"/>
          <w:sz w:val="19"/>
          <w:szCs w:val="19"/>
          <w:color w:val="auto"/>
        </w:rPr>
        <w:t>will vest in equal annual installments over the three years from the grant date, subject to your continued employment with the Company through each annual vesting date. The award will be granted as soon as practical following your date of hire. The award is subject to the terms and conditions outlined in the individual award agreement and the terms and conditions of the Company’s Equity Incentive Plan.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 Term Incentive:</w:t>
      </w:r>
    </w:p>
    <w:p>
      <w:pPr>
        <w:spacing w:after="0" w:line="248" w:lineRule="exact"/>
        <w:rPr>
          <w:sz w:val="20"/>
          <w:szCs w:val="20"/>
          <w:color w:val="auto"/>
        </w:rPr>
      </w:pPr>
    </w:p>
    <w:p>
      <w:pPr>
        <w:ind w:left="500" w:right="20"/>
        <w:spacing w:after="0" w:line="212" w:lineRule="auto"/>
        <w:rPr>
          <w:sz w:val="20"/>
          <w:szCs w:val="20"/>
          <w:color w:val="auto"/>
        </w:rPr>
      </w:pPr>
      <w:r>
        <w:rPr>
          <w:rFonts w:ascii="Arial" w:cs="Arial" w:eastAsia="Arial" w:hAnsi="Arial"/>
          <w:sz w:val="19"/>
          <w:szCs w:val="19"/>
          <w:color w:val="auto"/>
        </w:rPr>
        <w:t>You will also be eligible to participate in the Company’s annual LTI (long-term incentive) program, to the extent that such programs are approved by Hasbro’s Compensation Committee, Board of Directors, and senior management. All awards under such programs are discretionary. Your annual LTI target (approximate total value) is 300% of base pay. You will be eligible to participate in the next award cycle in 2024. You are not eligible to participate in the annual LTI program for 2023, beyond the one-time stock award described in the paragraph above. The Compensation Committee and Board set all of the terms for the annual LTI programs, including the types of awards granted, the mix of award types, and the terms of the awards, in their discretion. For fiscal years after 2024, your target annual LTI grant value will be reviewed periodically by the Compensation Committee in accordance with the Company’s compensation philosophy, market conditions and other factors, and may be adjusted to the extent the Compensation Committee deems appropriate.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Compensation:</w:t>
      </w:r>
    </w:p>
    <w:p>
      <w:pPr>
        <w:spacing w:after="0" w:line="238" w:lineRule="exact"/>
        <w:rPr>
          <w:sz w:val="20"/>
          <w:szCs w:val="20"/>
          <w:color w:val="auto"/>
        </w:rPr>
      </w:pPr>
    </w:p>
    <w:p>
      <w:pPr>
        <w:jc w:val="both"/>
        <w:ind w:left="500" w:right="20"/>
        <w:spacing w:after="0" w:line="218" w:lineRule="auto"/>
        <w:rPr>
          <w:sz w:val="20"/>
          <w:szCs w:val="20"/>
          <w:color w:val="auto"/>
        </w:rPr>
      </w:pPr>
      <w:r>
        <w:rPr>
          <w:rFonts w:ascii="Arial" w:cs="Arial" w:eastAsia="Arial" w:hAnsi="Arial"/>
          <w:sz w:val="19"/>
          <w:szCs w:val="19"/>
          <w:color w:val="auto"/>
        </w:rPr>
        <w:t>You are eligible to participate in our Deferred Compensation Program, as it exists and is in effect from time to time. This plan offers you an opportunity to defer current compensation on a pre-tax basis. Contributions to this plan receive an attractive tax-deferred interest credit. Enrollment must take place within 30 days from your hire date, otherwise, there is an annual open enrollment. Further information regarding the program will be provided to you.</w:t>
      </w: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Relocation Assistance:</w:t>
      </w:r>
    </w:p>
    <w:p>
      <w:pPr>
        <w:spacing w:after="0" w:line="238" w:lineRule="exact"/>
        <w:rPr>
          <w:sz w:val="20"/>
          <w:szCs w:val="20"/>
          <w:color w:val="auto"/>
        </w:rPr>
      </w:pPr>
    </w:p>
    <w:p>
      <w:pPr>
        <w:ind w:left="500" w:right="180"/>
        <w:spacing w:after="0" w:line="212" w:lineRule="auto"/>
        <w:rPr>
          <w:sz w:val="20"/>
          <w:szCs w:val="20"/>
          <w:color w:val="auto"/>
        </w:rPr>
      </w:pPr>
      <w:r>
        <w:rPr>
          <w:rFonts w:ascii="Arial" w:cs="Arial" w:eastAsia="Arial" w:hAnsi="Arial"/>
          <w:sz w:val="18"/>
          <w:szCs w:val="18"/>
          <w:color w:val="auto"/>
        </w:rPr>
        <w:t>Your official work location following your relocation will be Pawtucket, RI, but you may also occasionally work remotely from another location. The Company reserves the right to review your position from time to time to ensure that it can be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9"/>
          <w:szCs w:val="19"/>
          <w:color w:val="auto"/>
        </w:rPr>
        <w:t>successfully performed under these terms, and the Company can adjust the terms to the extent it deems necessary</w:t>
      </w:r>
      <w:r>
        <w:rPr>
          <w:rFonts w:ascii="Arial" w:cs="Arial" w:eastAsia="Arial" w:hAnsi="Arial"/>
          <w:sz w:val="21"/>
          <w:szCs w:val="21"/>
          <w:color w:val="auto"/>
        </w:rPr>
        <w:t>.</w:t>
      </w:r>
    </w:p>
    <w:p>
      <w:pPr>
        <w:spacing w:after="0" w:line="228" w:lineRule="exact"/>
        <w:rPr>
          <w:sz w:val="20"/>
          <w:szCs w:val="20"/>
          <w:color w:val="auto"/>
        </w:rPr>
      </w:pPr>
    </w:p>
    <w:p>
      <w:pPr>
        <w:jc w:val="both"/>
        <w:ind w:left="500" w:right="40"/>
        <w:spacing w:after="0" w:line="221" w:lineRule="auto"/>
        <w:rPr>
          <w:sz w:val="20"/>
          <w:szCs w:val="20"/>
          <w:color w:val="auto"/>
        </w:rPr>
      </w:pPr>
      <w:r>
        <w:rPr>
          <w:rFonts w:ascii="Arial" w:cs="Arial" w:eastAsia="Arial" w:hAnsi="Arial"/>
          <w:sz w:val="19"/>
          <w:szCs w:val="19"/>
          <w:color w:val="auto"/>
        </w:rPr>
        <w:t>In order to assist you in making the transition to the Rhode Island office area, you will be eligible for relocation benefits outlined in our US Domestic Relocation Policy: Homeowner Level 7 &amp; above. In addition to the Policy benefits, you will be provided with 4 (four) months of temporary housing upon your relocation to Rhode Island office area.</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In consideration of the Relocation Policy, you agree and acknowledge the following: </w:t>
      </w:r>
    </w:p>
    <w:p>
      <w:pPr>
        <w:spacing w:after="0" w:line="335" w:lineRule="exact"/>
        <w:rPr>
          <w:sz w:val="20"/>
          <w:szCs w:val="20"/>
          <w:color w:val="auto"/>
        </w:rPr>
      </w:pPr>
    </w:p>
    <w:p>
      <w:pPr>
        <w:ind w:left="820" w:right="40" w:hanging="323"/>
        <w:spacing w:after="0" w:line="261" w:lineRule="auto"/>
        <w:tabs>
          <w:tab w:leader="none" w:pos="816" w:val="left"/>
        </w:tabs>
        <w:numPr>
          <w:ilvl w:val="0"/>
          <w:numId w:val="29"/>
        </w:numPr>
        <w:rPr>
          <w:rFonts w:ascii="Arial" w:cs="Arial" w:eastAsia="Arial" w:hAnsi="Arial"/>
          <w:sz w:val="19"/>
          <w:szCs w:val="19"/>
          <w:color w:val="auto"/>
        </w:rPr>
      </w:pPr>
      <w:r>
        <w:rPr>
          <w:rFonts w:ascii="Arial" w:cs="Arial" w:eastAsia="Arial" w:hAnsi="Arial"/>
          <w:sz w:val="19"/>
          <w:szCs w:val="19"/>
          <w:color w:val="auto"/>
        </w:rPr>
        <w:t>You received a copy of Hasbro’s Relocation Policy, read it, understand its contents, and agree to be bound by its terms. </w:t>
      </w:r>
    </w:p>
    <w:p>
      <w:pPr>
        <w:spacing w:after="0" w:line="91" w:lineRule="exact"/>
        <w:rPr>
          <w:rFonts w:ascii="Arial" w:cs="Arial" w:eastAsia="Arial" w:hAnsi="Arial"/>
          <w:sz w:val="19"/>
          <w:szCs w:val="19"/>
          <w:color w:val="auto"/>
        </w:rPr>
      </w:pPr>
    </w:p>
    <w:p>
      <w:pPr>
        <w:jc w:val="both"/>
        <w:ind w:left="820" w:right="20" w:hanging="323"/>
        <w:spacing w:after="0" w:line="250" w:lineRule="auto"/>
        <w:tabs>
          <w:tab w:leader="none" w:pos="816" w:val="left"/>
        </w:tabs>
        <w:numPr>
          <w:ilvl w:val="0"/>
          <w:numId w:val="29"/>
        </w:numPr>
        <w:rPr>
          <w:rFonts w:ascii="Arial" w:cs="Arial" w:eastAsia="Arial" w:hAnsi="Arial"/>
          <w:sz w:val="19"/>
          <w:szCs w:val="19"/>
          <w:color w:val="auto"/>
        </w:rPr>
      </w:pPr>
      <w:r>
        <w:rPr>
          <w:rFonts w:ascii="Arial" w:cs="Arial" w:eastAsia="Arial" w:hAnsi="Arial"/>
          <w:sz w:val="19"/>
          <w:szCs w:val="19"/>
          <w:color w:val="auto"/>
        </w:rPr>
        <w:t>Should you voluntarily terminate employment with Hasbro or if you are separated for cause within 24 (twenty-four) months following your relocation to the Rhode Island area, you will be required to repay to the Company the funds paid to you or on your behalf for your relocation according to the following schedule: 100% repayment in year 1 (0 months to 12 months) and 50% repayment in year 2 (13 months to 24 months). Repayment amount due from you will include applicable tax gross ups and administrative fees incurred by Hasbro.</w:t>
      </w:r>
    </w:p>
    <w:p>
      <w:pPr>
        <w:spacing w:after="0" w:line="104" w:lineRule="exact"/>
        <w:rPr>
          <w:rFonts w:ascii="Arial" w:cs="Arial" w:eastAsia="Arial" w:hAnsi="Arial"/>
          <w:sz w:val="19"/>
          <w:szCs w:val="19"/>
          <w:color w:val="auto"/>
        </w:rPr>
      </w:pPr>
    </w:p>
    <w:p>
      <w:pPr>
        <w:jc w:val="both"/>
        <w:ind w:left="820" w:right="40" w:hanging="323"/>
        <w:spacing w:after="0" w:line="249" w:lineRule="auto"/>
        <w:tabs>
          <w:tab w:leader="none" w:pos="816" w:val="left"/>
        </w:tabs>
        <w:numPr>
          <w:ilvl w:val="0"/>
          <w:numId w:val="29"/>
        </w:numPr>
        <w:rPr>
          <w:rFonts w:ascii="Arial" w:cs="Arial" w:eastAsia="Arial" w:hAnsi="Arial"/>
          <w:sz w:val="19"/>
          <w:szCs w:val="19"/>
          <w:color w:val="auto"/>
        </w:rPr>
      </w:pPr>
      <w:r>
        <w:rPr>
          <w:rFonts w:ascii="Arial" w:cs="Arial" w:eastAsia="Arial" w:hAnsi="Arial"/>
          <w:sz w:val="19"/>
          <w:szCs w:val="19"/>
          <w:color w:val="auto"/>
        </w:rPr>
        <w:t>Your payment of the Relocation Allowance shall be due and payable immediately upon your termination of employment with Hasbro. You expressly agree that Hasbro may deduct the amount of any such reimbursement expenses owed to Hasbro from any and all amounts which would otherwise be payable by Hasbro to you.</w:t>
      </w:r>
    </w:p>
    <w:p>
      <w:pPr>
        <w:sectPr>
          <w:pgSz w:w="11900" w:h="16838" w:orient="portrait"/>
          <w:cols w:equalWidth="0" w:num="1">
            <w:col w:w="10620"/>
          </w:cols>
          <w:pgMar w:left="820" w:top="616" w:right="459" w:bottom="1440" w:gutter="0" w:footer="0" w:header="0"/>
        </w:sectPr>
      </w:pPr>
    </w:p>
    <w:bookmarkStart w:id="47" w:name="page48"/>
    <w:bookmarkEnd w:id="47"/>
    <w:p>
      <w:pPr>
        <w:ind w:left="200"/>
        <w:spacing w:after="0"/>
        <w:rPr>
          <w:sz w:val="20"/>
          <w:szCs w:val="20"/>
          <w:color w:val="auto"/>
        </w:rPr>
      </w:pPr>
      <w:r>
        <w:rPr>
          <w:rFonts w:ascii="Arial" w:cs="Arial" w:eastAsia="Arial" w:hAnsi="Arial"/>
          <w:sz w:val="19"/>
          <w:szCs w:val="19"/>
          <w:b w:val="1"/>
          <w:bCs w:val="1"/>
          <w:color w:val="auto"/>
        </w:rPr>
        <w:t>Reimbursement of Expenses:</w:t>
      </w:r>
    </w:p>
    <w:p>
      <w:pPr>
        <w:spacing w:after="0" w:line="184" w:lineRule="exact"/>
        <w:rPr>
          <w:sz w:val="20"/>
          <w:szCs w:val="20"/>
          <w:color w:val="auto"/>
        </w:rPr>
      </w:pPr>
    </w:p>
    <w:p>
      <w:pPr>
        <w:jc w:val="both"/>
        <w:ind w:left="560"/>
        <w:spacing w:after="0" w:line="214" w:lineRule="auto"/>
        <w:rPr>
          <w:sz w:val="20"/>
          <w:szCs w:val="20"/>
          <w:color w:val="auto"/>
        </w:rPr>
      </w:pPr>
      <w:r>
        <w:rPr>
          <w:rFonts w:ascii="Arial" w:cs="Arial" w:eastAsia="Arial" w:hAnsi="Arial"/>
          <w:sz w:val="19"/>
          <w:szCs w:val="19"/>
          <w:color w:val="auto"/>
        </w:rPr>
        <w:t>The Company shall reimburse you for all reasonable travel, entertainment and other expenses incurred or paid by you in connection with, or related to, the performance of your duties and responsibilities as an officer and employee of the Company, in accordance with the policies and procedures, and subject to the limitations, adopted by the Company from time to time. The Company shall reimburse you for up to $100,000 in aggregate per year for each of calendar years 2023 and 2024 for personal travel expenses incurred by you or members of your family for travel between Illinois and New England.</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Severance Benefits:</w:t>
      </w:r>
    </w:p>
    <w:p>
      <w:pPr>
        <w:spacing w:after="0" w:line="238" w:lineRule="exact"/>
        <w:rPr>
          <w:sz w:val="20"/>
          <w:szCs w:val="20"/>
          <w:color w:val="auto"/>
        </w:rPr>
      </w:pPr>
    </w:p>
    <w:p>
      <w:pPr>
        <w:ind w:left="520" w:right="180"/>
        <w:spacing w:after="0" w:line="221" w:lineRule="auto"/>
        <w:rPr>
          <w:sz w:val="20"/>
          <w:szCs w:val="20"/>
          <w:color w:val="auto"/>
        </w:rPr>
      </w:pPr>
      <w:r>
        <w:rPr>
          <w:rFonts w:ascii="Arial" w:cs="Arial" w:eastAsia="Arial" w:hAnsi="Arial"/>
          <w:sz w:val="19"/>
          <w:szCs w:val="19"/>
          <w:color w:val="auto"/>
        </w:rPr>
        <w:t>If your employment is terminated by the Company without cause (other than due to your disability or death), you will be eligible for benefits subject to and under the terms of the Hasbro, Inc. Severance Benefits Plan (the “Plan”), as such Plan is amended from time to time and exists on the date of your termination of employment.</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Benefits:</w:t>
      </w:r>
    </w:p>
    <w:p>
      <w:pPr>
        <w:spacing w:after="0" w:line="251" w:lineRule="exact"/>
        <w:rPr>
          <w:sz w:val="20"/>
          <w:szCs w:val="20"/>
          <w:color w:val="auto"/>
        </w:rPr>
      </w:pPr>
    </w:p>
    <w:p>
      <w:pPr>
        <w:ind w:left="540"/>
        <w:spacing w:after="0" w:line="214" w:lineRule="auto"/>
        <w:rPr>
          <w:sz w:val="20"/>
          <w:szCs w:val="20"/>
          <w:color w:val="auto"/>
        </w:rPr>
      </w:pPr>
      <w:r>
        <w:rPr>
          <w:rFonts w:ascii="Arial" w:cs="Arial" w:eastAsia="Arial" w:hAnsi="Arial"/>
          <w:sz w:val="19"/>
          <w:szCs w:val="19"/>
          <w:color w:val="auto"/>
        </w:rPr>
        <w:t xml:space="preserve">Hasbro offers a competitive employee benefit program which includes medical, dental and vision coverage, 401(k) with Company match, short- &amp; long-term income protection and life insurance. The eligibility criteria and detailed descriptions of these and other benefit programs as they currently exist are available online at </w:t>
      </w:r>
      <w:r>
        <w:rPr>
          <w:rFonts w:ascii="Arial" w:cs="Arial" w:eastAsia="Arial" w:hAnsi="Arial"/>
          <w:sz w:val="19"/>
          <w:szCs w:val="19"/>
          <w:u w:val="single" w:color="auto"/>
          <w:color w:val="0000FF"/>
        </w:rPr>
        <w:t>https://hasbroenrollmentguide2023.paragonfiles.com/.</w:t>
      </w:r>
      <w:r>
        <w:rPr>
          <w:rFonts w:ascii="Arial" w:cs="Arial" w:eastAsia="Arial" w:hAnsi="Arial"/>
          <w:sz w:val="19"/>
          <w:szCs w:val="19"/>
          <w:color w:val="0000FF"/>
        </w:rPr>
        <w:t xml:space="preserve"> </w:t>
      </w:r>
      <w:r>
        <w:rPr>
          <w:rFonts w:ascii="Arial" w:cs="Arial" w:eastAsia="Arial" w:hAnsi="Arial"/>
          <w:sz w:val="19"/>
          <w:szCs w:val="19"/>
          <w:color w:val="000000"/>
        </w:rPr>
        <w:t>Please note that you will have 31 days from your date of hire to</w:t>
      </w:r>
      <w:r>
        <w:rPr>
          <w:rFonts w:ascii="Arial" w:cs="Arial" w:eastAsia="Arial" w:hAnsi="Arial"/>
          <w:sz w:val="19"/>
          <w:szCs w:val="19"/>
          <w:color w:val="0000FF"/>
        </w:rPr>
        <w:t xml:space="preserve"> </w:t>
      </w:r>
      <w:r>
        <w:rPr>
          <w:rFonts w:ascii="Arial" w:cs="Arial" w:eastAsia="Arial" w:hAnsi="Arial"/>
          <w:sz w:val="19"/>
          <w:szCs w:val="19"/>
          <w:color w:val="000000"/>
        </w:rPr>
        <w:t>enroll in your medical, dental and/or vision coverage. The Company reserves the right to amend the employee benefit plans and programs from time to time.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120"/>
        <w:spacing w:after="0" w:line="221" w:lineRule="auto"/>
        <w:rPr>
          <w:sz w:val="20"/>
          <w:szCs w:val="20"/>
          <w:color w:val="auto"/>
        </w:rPr>
      </w:pPr>
      <w:r>
        <w:rPr>
          <w:rFonts w:ascii="Arial" w:cs="Arial" w:eastAsia="Arial" w:hAnsi="Arial"/>
          <w:sz w:val="19"/>
          <w:szCs w:val="19"/>
          <w:color w:val="auto"/>
        </w:rPr>
        <w:t xml:space="preserve">Please know that this offer is contingent upon you providing proof of your eligibility to work in the United States. To complete the I-9 form, please email clear copies of your appropriate identification as described on the list of Acceptable Documents to </w:t>
      </w:r>
      <w:r>
        <w:rPr>
          <w:rFonts w:ascii="Arial" w:cs="Arial" w:eastAsia="Arial" w:hAnsi="Arial"/>
          <w:sz w:val="19"/>
          <w:szCs w:val="19"/>
          <w:color w:val="0000FF"/>
        </w:rPr>
        <w:t>I-9@hasbro.com</w:t>
      </w:r>
      <w:r>
        <w:rPr>
          <w:rFonts w:ascii="Arial" w:cs="Arial" w:eastAsia="Arial" w:hAnsi="Arial"/>
          <w:sz w:val="19"/>
          <w:szCs w:val="19"/>
          <w:color w:val="000000"/>
        </w:rPr>
        <w:t>. These must be sent prior to your first day.</w:t>
      </w:r>
    </w:p>
    <w:p>
      <w:pPr>
        <w:spacing w:after="0" w:line="206" w:lineRule="exact"/>
        <w:rPr>
          <w:sz w:val="20"/>
          <w:szCs w:val="20"/>
          <w:color w:val="auto"/>
        </w:rPr>
      </w:pPr>
    </w:p>
    <w:p>
      <w:pPr>
        <w:jc w:val="both"/>
        <w:ind w:right="120"/>
        <w:spacing w:after="0" w:line="221" w:lineRule="auto"/>
        <w:rPr>
          <w:sz w:val="20"/>
          <w:szCs w:val="20"/>
          <w:color w:val="auto"/>
        </w:rPr>
      </w:pPr>
      <w:r>
        <w:rPr>
          <w:rFonts w:ascii="Arial" w:cs="Arial" w:eastAsia="Arial" w:hAnsi="Arial"/>
          <w:sz w:val="19"/>
          <w:szCs w:val="19"/>
          <w:color w:val="auto"/>
        </w:rPr>
        <w:t>Our offer is also contingent upon receipt of a satisfactory report from a comprehensive background review conducted by our external consultant, HireRight. You will receive an email from HireRight with your system log-in details within two business days of acceptance of this offer.</w:t>
      </w:r>
    </w:p>
    <w:p>
      <w:pPr>
        <w:spacing w:after="0" w:line="206" w:lineRule="exact"/>
        <w:rPr>
          <w:sz w:val="20"/>
          <w:szCs w:val="20"/>
          <w:color w:val="auto"/>
        </w:rPr>
      </w:pPr>
    </w:p>
    <w:p>
      <w:pPr>
        <w:jc w:val="both"/>
        <w:ind w:right="140"/>
        <w:spacing w:after="0" w:line="221" w:lineRule="auto"/>
        <w:rPr>
          <w:sz w:val="20"/>
          <w:szCs w:val="20"/>
          <w:color w:val="auto"/>
        </w:rPr>
      </w:pPr>
      <w:r>
        <w:rPr>
          <w:rFonts w:ascii="Arial" w:cs="Arial" w:eastAsia="Arial" w:hAnsi="Arial"/>
          <w:sz w:val="19"/>
          <w:szCs w:val="19"/>
          <w:color w:val="auto"/>
        </w:rPr>
        <w:t>As a new employee, you will attend Orientation that will include information about Hasbro history, products, and culture, and will include training on our Code of Conduct. We will be in touch shortly before your start date to provide details regarding your orientation.</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nature of Hasbro’s business is highly competitive. As a condition of employment, you will be required to sign an Invention Assignment and Confidentiality Agreement and an acknowledgement of the Company’s Insider Trading and Preclearance Policies. You will also be required to sign a non-compete and non-solicitation agreement in the form signed by other designated officers of the Company, which agreement has historically been re-executed annually in connection with the annual equity awards.</w:t>
      </w:r>
    </w:p>
    <w:p>
      <w:pPr>
        <w:spacing w:after="0" w:line="280" w:lineRule="exact"/>
        <w:rPr>
          <w:sz w:val="20"/>
          <w:szCs w:val="20"/>
          <w:color w:val="auto"/>
        </w:rPr>
      </w:pPr>
    </w:p>
    <w:p>
      <w:pPr>
        <w:jc w:val="both"/>
        <w:ind w:right="120"/>
        <w:spacing w:after="0" w:line="212" w:lineRule="auto"/>
        <w:rPr>
          <w:sz w:val="20"/>
          <w:szCs w:val="20"/>
          <w:color w:val="auto"/>
        </w:rPr>
      </w:pPr>
      <w:r>
        <w:rPr>
          <w:rFonts w:ascii="Arial" w:cs="Arial" w:eastAsia="Arial" w:hAnsi="Arial"/>
          <w:sz w:val="19"/>
          <w:szCs w:val="19"/>
          <w:color w:val="auto"/>
        </w:rPr>
        <w:t>By accepting this offer, you represent and warrant that your employment with Hasbro will not violate any agreements, obligations, or understandings that you may have with any third party or prior employer. You agree not to make any unauthorized disclosure to Hasbro or use on behalf of Hasbro any confidential information belonging to any of your former employers (except in accordance with agreements between Hasbro and any such former employer). You also warrant that you do not possess any property containing a third party’s confidential and proprietary information. Of course, during your employment with Hasbro, you may make use of information generally known and used by persons with training and experience comparable to your own, and information that is common knowledge in the industry or is otherwise legally available in the public domain.</w:t>
      </w:r>
    </w:p>
    <w:p>
      <w:pPr>
        <w:spacing w:after="0" w:line="225" w:lineRule="exact"/>
        <w:rPr>
          <w:sz w:val="20"/>
          <w:szCs w:val="20"/>
          <w:color w:val="auto"/>
        </w:rPr>
      </w:pPr>
    </w:p>
    <w:p>
      <w:pPr>
        <w:ind w:right="380"/>
        <w:spacing w:after="0" w:line="228" w:lineRule="auto"/>
        <w:rPr>
          <w:sz w:val="20"/>
          <w:szCs w:val="20"/>
          <w:color w:val="auto"/>
        </w:rPr>
      </w:pPr>
      <w:r>
        <w:rPr>
          <w:rFonts w:ascii="Arial" w:cs="Arial" w:eastAsia="Arial" w:hAnsi="Arial"/>
          <w:sz w:val="19"/>
          <w:szCs w:val="19"/>
          <w:color w:val="auto"/>
        </w:rPr>
        <w:t>While we anticipate a mutually rewarding and long-term relationship, please bear in mind that employment with Hasbro is at-will and nothing herein is intended to create, or creates, a contract for employment.</w:t>
      </w:r>
    </w:p>
    <w:p>
      <w:pPr>
        <w:sectPr>
          <w:pgSz w:w="11900" w:h="16838" w:orient="portrait"/>
          <w:cols w:equalWidth="0" w:num="1">
            <w:col w:w="10780"/>
          </w:cols>
          <w:pgMar w:left="780" w:top="592" w:right="339" w:bottom="1440" w:gutter="0" w:footer="0" w:header="0"/>
        </w:sectPr>
      </w:pPr>
    </w:p>
    <w:bookmarkStart w:id="48" w:name="page49"/>
    <w:bookmarkEnd w:id="48"/>
    <w:p>
      <w:pPr>
        <w:ind w:left="240"/>
        <w:spacing w:after="0"/>
        <w:rPr>
          <w:sz w:val="20"/>
          <w:szCs w:val="20"/>
          <w:color w:val="auto"/>
        </w:rPr>
      </w:pPr>
      <w:r>
        <w:rPr>
          <w:rFonts w:ascii="Arial" w:cs="Arial" w:eastAsia="Arial" w:hAnsi="Arial"/>
          <w:sz w:val="18"/>
          <w:szCs w:val="18"/>
          <w:color w:val="auto"/>
        </w:rPr>
        <w:t>On behalf of the entire team, I am excited to welcome you and wish you much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40"/>
        <w:spacing w:after="0"/>
        <w:rPr>
          <w:sz w:val="20"/>
          <w:szCs w:val="20"/>
          <w:color w:val="auto"/>
        </w:rPr>
      </w:pPr>
      <w:r>
        <w:rPr>
          <w:rFonts w:ascii="Arial" w:cs="Arial" w:eastAsia="Arial" w:hAnsi="Arial"/>
          <w:sz w:val="19"/>
          <w:szCs w:val="19"/>
          <w:color w:val="auto"/>
        </w:rPr>
        <w:t>Best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167005</wp:posOffset>
            </wp:positionV>
            <wp:extent cx="2048510" cy="5740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204851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Cris Cocks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475615</wp:posOffset>
            </wp:positionV>
            <wp:extent cx="1594485" cy="539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159448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Naj Atkinson</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EVP &amp; 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Gina Goetter 4/6/23</w:t>
      </w:r>
    </w:p>
    <w:p>
      <w:pPr>
        <w:ind w:left="40"/>
        <w:spacing w:after="0"/>
        <w:rPr>
          <w:sz w:val="20"/>
          <w:szCs w:val="20"/>
          <w:color w:val="auto"/>
        </w:rPr>
      </w:pPr>
      <w:r>
        <w:rPr>
          <w:rFonts w:ascii="Arial" w:cs="Arial" w:eastAsia="Arial" w:hAnsi="Arial"/>
          <w:sz w:val="19"/>
          <w:szCs w:val="19"/>
          <w:color w:val="auto"/>
        </w:rPr>
        <w:t>Gina Goetter/ Date</w:t>
      </w:r>
    </w:p>
    <w:p>
      <w:pPr>
        <w:sectPr>
          <w:pgSz w:w="11900" w:h="16838" w:orient="portrait"/>
          <w:cols w:equalWidth="0" w:num="1">
            <w:col w:w="9719"/>
          </w:cols>
          <w:pgMar w:left="740" w:top="1102" w:right="1440"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500380</wp:posOffset>
            </wp:positionV>
            <wp:extent cx="960120" cy="1028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96012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March 29, 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Tim Kilpin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Arial" w:cs="Arial" w:eastAsia="Arial" w:hAnsi="Arial"/>
          <w:sz w:val="19"/>
          <w:szCs w:val="19"/>
          <w:color w:val="auto"/>
        </w:rPr>
        <w:t>Dear Tim,</w:t>
      </w:r>
    </w:p>
    <w:p>
      <w:pPr>
        <w:spacing w:after="0" w:line="214" w:lineRule="exact"/>
        <w:rPr>
          <w:sz w:val="20"/>
          <w:szCs w:val="20"/>
          <w:color w:val="auto"/>
        </w:rPr>
      </w:pPr>
    </w:p>
    <w:p>
      <w:pPr>
        <w:ind w:left="100" w:right="540"/>
        <w:spacing w:after="0" w:line="221" w:lineRule="auto"/>
        <w:rPr>
          <w:sz w:val="20"/>
          <w:szCs w:val="20"/>
          <w:color w:val="auto"/>
        </w:rPr>
      </w:pPr>
      <w:r>
        <w:rPr>
          <w:rFonts w:ascii="Arial" w:cs="Arial" w:eastAsia="Arial" w:hAnsi="Arial"/>
          <w:sz w:val="19"/>
          <w:szCs w:val="19"/>
          <w:color w:val="auto"/>
        </w:rPr>
        <w:t>I am pleased to offer you the position of President Toy, Licensing &amp; Entertainment, at Hasbro, Inc. (“Hasbro” or the “Company”). In this position, you have the opportunity to make a significant contribution to our future success and we look forward to your first day, April 24, 2023.</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Base Salary:</w:t>
      </w:r>
    </w:p>
    <w:p>
      <w:pPr>
        <w:spacing w:after="0" w:line="23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Your initial gross base salary will be $32,692.31 bi-weekly, equivalent to $850,000.06 annually.</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Annual Bonus:</w:t>
      </w:r>
    </w:p>
    <w:p>
      <w:pPr>
        <w:spacing w:after="0" w:line="251" w:lineRule="exact"/>
        <w:rPr>
          <w:sz w:val="20"/>
          <w:szCs w:val="20"/>
          <w:color w:val="auto"/>
        </w:rPr>
      </w:pPr>
    </w:p>
    <w:p>
      <w:pPr>
        <w:ind w:left="620"/>
        <w:spacing w:after="0" w:line="210" w:lineRule="auto"/>
        <w:rPr>
          <w:sz w:val="20"/>
          <w:szCs w:val="20"/>
          <w:color w:val="auto"/>
        </w:rPr>
      </w:pPr>
      <w:r>
        <w:rPr>
          <w:rFonts w:ascii="Arial" w:cs="Arial" w:eastAsia="Arial" w:hAnsi="Arial"/>
          <w:sz w:val="19"/>
          <w:szCs w:val="19"/>
          <w:color w:val="auto"/>
        </w:rPr>
        <w:t>You will be eligible to participate in the Hasbro, Inc. Performance Reward Program for 2023, payable in 2024. Your target annual incentive will be 75% of your earned base salary for 2023. For the 2023 plan year only, you will receive a minimum incentive payment of $637,500 (your target incentive award). For subsequent plan years, you will be eligible to receive an incentive payment pursuant to the terms of the applicable PRP. The PRP annual bonus program is funded by the Company’s performance against annual financial targets set by the Compensation Committee (the “Compensation Committee”) of the Hasbro Board of Directors (the “Board”), with the Compensation Committee and Board having full discretion in the selection of the performance metrics to be used under the PRP, the target performance levels for each metric and the payouts associated with various levels of performance against target. Actual bonus payouts under the PRP are also based upon your individual contribution and the Company’s financial position and are subject to the Compensation Committee’s and Board’s ability to adjust payouts in their discretion to the level they deem appropriate. For fiscal years after 2023, your target annual incentive will be reviewed periodically by the Compensation Committee in accordance with the Company’s compensation philosophy, market conditions and other factors, and may be adjusted to the extent the Compensation Committee deems appropriate.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One-Time Stock Award:</w:t>
      </w:r>
    </w:p>
    <w:p>
      <w:pPr>
        <w:spacing w:after="0" w:line="238" w:lineRule="exact"/>
        <w:rPr>
          <w:sz w:val="20"/>
          <w:szCs w:val="20"/>
          <w:color w:val="auto"/>
        </w:rPr>
      </w:pPr>
    </w:p>
    <w:p>
      <w:pPr>
        <w:ind w:left="600" w:right="340"/>
        <w:spacing w:after="0" w:line="214" w:lineRule="auto"/>
        <w:rPr>
          <w:sz w:val="20"/>
          <w:szCs w:val="20"/>
          <w:color w:val="auto"/>
        </w:rPr>
      </w:pPr>
      <w:r>
        <w:rPr>
          <w:rFonts w:ascii="Arial" w:cs="Arial" w:eastAsia="Arial" w:hAnsi="Arial"/>
          <w:sz w:val="19"/>
          <w:szCs w:val="19"/>
          <w:color w:val="auto"/>
        </w:rPr>
        <w:t>Subject to review and approval at the next meeting of the Compensation Committee, Hasbro will grant you a one-time restricted stock award with a grant-date value of $2,000,000 that will vest in equal annual installments over the three years from the grant date, subject to your continued employment with the Company through each annual vesting date. The award will be granted as soon as practical following your date of hire. The award is subject to the terms and conditions outlined in the individual award agreement and the terms and conditions of the Company’s Equity Incentive Plan.</w:t>
      </w:r>
    </w:p>
    <w:p>
      <w:pPr>
        <w:sectPr>
          <w:pgSz w:w="11900" w:h="16838" w:orient="portrait"/>
          <w:cols w:equalWidth="0" w:num="1">
            <w:col w:w="10800"/>
          </w:cols>
          <w:pgMar w:left="720" w:top="1440" w:right="379" w:bottom="1440" w:gutter="0" w:footer="0" w:header="0"/>
        </w:sectPr>
      </w:pPr>
    </w:p>
    <w:bookmarkStart w:id="50" w:name="page51"/>
    <w:bookmarkEnd w:id="50"/>
    <w:p>
      <w:pPr>
        <w:spacing w:after="0"/>
        <w:rPr>
          <w:sz w:val="20"/>
          <w:szCs w:val="20"/>
          <w:color w:val="auto"/>
        </w:rPr>
      </w:pPr>
      <w:r>
        <w:rPr>
          <w:rFonts w:ascii="Arial" w:cs="Arial" w:eastAsia="Arial" w:hAnsi="Arial"/>
          <w:sz w:val="19"/>
          <w:szCs w:val="19"/>
          <w:b w:val="1"/>
          <w:bCs w:val="1"/>
          <w:color w:val="auto"/>
        </w:rPr>
        <w:t>Long-Term Incentive:</w:t>
      </w:r>
    </w:p>
    <w:p>
      <w:pPr>
        <w:spacing w:after="0" w:line="251" w:lineRule="exact"/>
        <w:rPr>
          <w:sz w:val="20"/>
          <w:szCs w:val="20"/>
          <w:color w:val="auto"/>
        </w:rPr>
      </w:pPr>
    </w:p>
    <w:p>
      <w:pPr>
        <w:jc w:val="both"/>
        <w:ind w:left="540" w:right="200"/>
        <w:spacing w:after="0" w:line="219" w:lineRule="auto"/>
        <w:rPr>
          <w:sz w:val="20"/>
          <w:szCs w:val="20"/>
          <w:color w:val="auto"/>
        </w:rPr>
      </w:pPr>
      <w:r>
        <w:rPr>
          <w:rFonts w:ascii="Arial" w:cs="Arial" w:eastAsia="Arial" w:hAnsi="Arial"/>
          <w:sz w:val="18"/>
          <w:szCs w:val="18"/>
          <w:color w:val="auto"/>
        </w:rPr>
        <w:t>You will also be eligible to participate in the company’s annual LTI (long-term incentive) program, to the extent that such programs are approved by Hasbro’s Compensation Committee, Board of Directors and senior management. All awards under such programs are discretionary. Your annual LTI target (approximate total value) for 2023 is 200% of base pay.</w:t>
      </w:r>
    </w:p>
    <w:p>
      <w:pPr>
        <w:ind w:left="540" w:right="80"/>
        <w:spacing w:after="0" w:line="213" w:lineRule="auto"/>
        <w:rPr>
          <w:sz w:val="20"/>
          <w:szCs w:val="20"/>
          <w:color w:val="auto"/>
        </w:rPr>
      </w:pPr>
      <w:r>
        <w:rPr>
          <w:rFonts w:ascii="Arial" w:cs="Arial" w:eastAsia="Arial" w:hAnsi="Arial"/>
          <w:sz w:val="19"/>
          <w:szCs w:val="19"/>
          <w:color w:val="auto"/>
        </w:rPr>
        <w:t>You will be eligible to participate in the 2023 Award cycle. For other employees, the 2023 LTI awards were granted in February and March of 2023. Your proposed 2023 awards will be reviewed by the Compensation Committee at its next meeting and granted, subject to their approval. The Compensation Committee and Board set all of the terms for the annual LTI programs, including the types of awards granted, the mix of award types, and the terms of the awards, in their discretion. For fiscal years after 2023, your target annual LTI grant value will be reviewed periodically by the Compensation Committee in accordance with the Company’s compensation philosophy, market conditions and other factors, and may be adjusted to the extent the Compensation Committee deems appropriate.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Compensation:</w:t>
      </w:r>
    </w:p>
    <w:p>
      <w:pPr>
        <w:spacing w:after="0" w:line="238" w:lineRule="exact"/>
        <w:rPr>
          <w:sz w:val="20"/>
          <w:szCs w:val="20"/>
          <w:color w:val="auto"/>
        </w:rPr>
      </w:pPr>
    </w:p>
    <w:p>
      <w:pPr>
        <w:ind w:left="540" w:right="220"/>
        <w:spacing w:after="0" w:line="218" w:lineRule="auto"/>
        <w:rPr>
          <w:sz w:val="20"/>
          <w:szCs w:val="20"/>
          <w:color w:val="auto"/>
        </w:rPr>
      </w:pPr>
      <w:r>
        <w:rPr>
          <w:rFonts w:ascii="Arial" w:cs="Arial" w:eastAsia="Arial" w:hAnsi="Arial"/>
          <w:sz w:val="19"/>
          <w:szCs w:val="19"/>
          <w:color w:val="auto"/>
        </w:rPr>
        <w:t>You are eligible to participate in our Deferred Compensation Program as it exists and is in effect from time to time. This plan offers you an opportunity to defer current compensation on a pre-tax basis. Contributions to this plan receive an attractive tax-deferred interest credit. Enrollment must take place within 30 days from your hire date, otherwise, there is an annual open enrollment. Further information regarding the program will be provided to you.</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Work Location/Relocation Assistance:</w:t>
      </w:r>
    </w:p>
    <w:p>
      <w:pPr>
        <w:spacing w:after="0" w:line="238" w:lineRule="exact"/>
        <w:rPr>
          <w:sz w:val="20"/>
          <w:szCs w:val="20"/>
          <w:color w:val="auto"/>
        </w:rPr>
      </w:pPr>
    </w:p>
    <w:p>
      <w:pPr>
        <w:ind w:left="540"/>
        <w:spacing w:after="0" w:line="212" w:lineRule="auto"/>
        <w:rPr>
          <w:sz w:val="20"/>
          <w:szCs w:val="20"/>
          <w:color w:val="auto"/>
        </w:rPr>
      </w:pPr>
      <w:r>
        <w:rPr>
          <w:rFonts w:ascii="Arial" w:cs="Arial" w:eastAsia="Arial" w:hAnsi="Arial"/>
          <w:sz w:val="18"/>
          <w:szCs w:val="18"/>
          <w:color w:val="auto"/>
        </w:rPr>
        <w:t>Your official work location will be Pawtucket, RI, but you may also occasionally work from your home office in Lake Geneva, WI. The Company reserves the right to review this position from time to time to ensure that it can be successfully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performed under these terms, and the Company can adjust the terms to the extent it deems necessary</w:t>
      </w:r>
      <w:r>
        <w:rPr>
          <w:rFonts w:ascii="Arial" w:cs="Arial" w:eastAsia="Arial" w:hAnsi="Arial"/>
          <w:sz w:val="21"/>
          <w:szCs w:val="21"/>
          <w:color w:val="auto"/>
        </w:rPr>
        <w:t>.</w:t>
      </w:r>
    </w:p>
    <w:p>
      <w:pPr>
        <w:spacing w:after="0" w:line="228" w:lineRule="exact"/>
        <w:rPr>
          <w:sz w:val="20"/>
          <w:szCs w:val="20"/>
          <w:color w:val="auto"/>
        </w:rPr>
      </w:pPr>
    </w:p>
    <w:p>
      <w:pPr>
        <w:jc w:val="both"/>
        <w:ind w:left="540" w:right="60"/>
        <w:spacing w:after="0" w:line="221" w:lineRule="auto"/>
        <w:rPr>
          <w:sz w:val="20"/>
          <w:szCs w:val="20"/>
          <w:color w:val="auto"/>
        </w:rPr>
      </w:pPr>
      <w:r>
        <w:rPr>
          <w:rFonts w:ascii="Arial" w:cs="Arial" w:eastAsia="Arial" w:hAnsi="Arial"/>
          <w:sz w:val="19"/>
          <w:szCs w:val="19"/>
          <w:color w:val="auto"/>
        </w:rPr>
        <w:t>To assist you in making the transition to the Rhode Island office area, you will be eligible for relocation benefits outlined in our US Domestic Relocation Policy: Homeowner Level 7 &amp; above. In addition to the Policy benefits, you will be provided with 4 (four) months of temporary housing upon your relocation to Rhode Island office area.</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In consideration of the Relocation Policy, you agree and acknowledge the following: </w:t>
      </w:r>
    </w:p>
    <w:p>
      <w:pPr>
        <w:spacing w:after="0" w:line="335" w:lineRule="exact"/>
        <w:rPr>
          <w:sz w:val="20"/>
          <w:szCs w:val="20"/>
          <w:color w:val="auto"/>
        </w:rPr>
      </w:pPr>
    </w:p>
    <w:p>
      <w:pPr>
        <w:ind w:left="860" w:right="60" w:hanging="328"/>
        <w:spacing w:after="0" w:line="261" w:lineRule="auto"/>
        <w:tabs>
          <w:tab w:leader="none" w:pos="856" w:val="left"/>
        </w:tabs>
        <w:numPr>
          <w:ilvl w:val="0"/>
          <w:numId w:val="30"/>
        </w:numPr>
        <w:rPr>
          <w:rFonts w:ascii="Arial" w:cs="Arial" w:eastAsia="Arial" w:hAnsi="Arial"/>
          <w:sz w:val="19"/>
          <w:szCs w:val="19"/>
          <w:color w:val="auto"/>
        </w:rPr>
      </w:pPr>
      <w:r>
        <w:rPr>
          <w:rFonts w:ascii="Arial" w:cs="Arial" w:eastAsia="Arial" w:hAnsi="Arial"/>
          <w:sz w:val="19"/>
          <w:szCs w:val="19"/>
          <w:color w:val="auto"/>
        </w:rPr>
        <w:t>You received a copy of Hasbro’s Relocation Policy, read it, understand its contents, and agree to be bound by its terms. </w:t>
      </w:r>
    </w:p>
    <w:p>
      <w:pPr>
        <w:spacing w:after="0" w:line="78" w:lineRule="exact"/>
        <w:rPr>
          <w:rFonts w:ascii="Arial" w:cs="Arial" w:eastAsia="Arial" w:hAnsi="Arial"/>
          <w:sz w:val="19"/>
          <w:szCs w:val="19"/>
          <w:color w:val="auto"/>
        </w:rPr>
      </w:pPr>
    </w:p>
    <w:p>
      <w:pPr>
        <w:jc w:val="both"/>
        <w:ind w:left="860" w:right="60" w:hanging="328"/>
        <w:spacing w:after="0" w:line="254" w:lineRule="auto"/>
        <w:tabs>
          <w:tab w:leader="none" w:pos="856" w:val="left"/>
        </w:tabs>
        <w:numPr>
          <w:ilvl w:val="0"/>
          <w:numId w:val="30"/>
        </w:numPr>
        <w:rPr>
          <w:rFonts w:ascii="Arial" w:cs="Arial" w:eastAsia="Arial" w:hAnsi="Arial"/>
          <w:sz w:val="19"/>
          <w:szCs w:val="19"/>
          <w:color w:val="auto"/>
        </w:rPr>
      </w:pPr>
      <w:r>
        <w:rPr>
          <w:rFonts w:ascii="Arial" w:cs="Arial" w:eastAsia="Arial" w:hAnsi="Arial"/>
          <w:sz w:val="19"/>
          <w:szCs w:val="19"/>
          <w:color w:val="auto"/>
        </w:rPr>
        <w:t>Should you voluntarily terminate employment with Hasbro or if you are separated for cause within 24 (twenty-four) months following your relocation to the Rhode Island area, you will be required to repay to the Company the funds paid to you or on your behalf for your relocation according to the following schedule: 100% repayment in year 1 (0 months to 12 months) and 50% repayment in year 2 (13 months to 24 months). Repayment amount due from you will include applicable tax gross ups and administrative fees incurred by Hasbro.</w:t>
      </w:r>
    </w:p>
    <w:p>
      <w:pPr>
        <w:spacing w:after="0" w:line="85" w:lineRule="exact"/>
        <w:rPr>
          <w:rFonts w:ascii="Arial" w:cs="Arial" w:eastAsia="Arial" w:hAnsi="Arial"/>
          <w:sz w:val="19"/>
          <w:szCs w:val="19"/>
          <w:color w:val="auto"/>
        </w:rPr>
      </w:pPr>
    </w:p>
    <w:p>
      <w:pPr>
        <w:jc w:val="both"/>
        <w:ind w:left="860" w:right="80" w:hanging="323"/>
        <w:spacing w:after="0" w:line="256" w:lineRule="auto"/>
        <w:tabs>
          <w:tab w:leader="none" w:pos="856" w:val="left"/>
        </w:tabs>
        <w:numPr>
          <w:ilvl w:val="0"/>
          <w:numId w:val="30"/>
        </w:numPr>
        <w:rPr>
          <w:rFonts w:ascii="Arial" w:cs="Arial" w:eastAsia="Arial" w:hAnsi="Arial"/>
          <w:sz w:val="19"/>
          <w:szCs w:val="19"/>
          <w:color w:val="auto"/>
        </w:rPr>
      </w:pPr>
      <w:r>
        <w:rPr>
          <w:rFonts w:ascii="Arial" w:cs="Arial" w:eastAsia="Arial" w:hAnsi="Arial"/>
          <w:sz w:val="19"/>
          <w:szCs w:val="19"/>
          <w:color w:val="auto"/>
        </w:rPr>
        <w:t>Your payment of the Relocation Allowance shall be due and payable immediately upon your termination of employment with Hasbro. You expressly agree that Hasbro may deduct the amount of any such reimbursement expenses owed to Hasbro from all amounts which would otherwise be payable by Hasbro to you.</w:t>
      </w:r>
    </w:p>
    <w:p>
      <w:pPr>
        <w:sectPr>
          <w:pgSz w:w="11900" w:h="16838" w:orient="portrait"/>
          <w:cols w:equalWidth="0" w:num="1">
            <w:col w:w="10700"/>
          </w:cols>
          <w:pgMar w:left="780" w:top="822" w:right="419" w:bottom="1440" w:gutter="0" w:footer="0" w:header="0"/>
        </w:sectPr>
      </w:pPr>
    </w:p>
    <w:bookmarkStart w:id="51" w:name="page52"/>
    <w:bookmarkEnd w:id="51"/>
    <w:p>
      <w:pPr>
        <w:spacing w:after="0"/>
        <w:rPr>
          <w:sz w:val="20"/>
          <w:szCs w:val="20"/>
          <w:color w:val="auto"/>
        </w:rPr>
      </w:pPr>
      <w:r>
        <w:rPr>
          <w:rFonts w:ascii="Arial" w:cs="Arial" w:eastAsia="Arial" w:hAnsi="Arial"/>
          <w:sz w:val="19"/>
          <w:szCs w:val="19"/>
          <w:b w:val="1"/>
          <w:bCs w:val="1"/>
          <w:color w:val="auto"/>
        </w:rPr>
        <w:t>Reimbursement of Expenses:</w:t>
      </w:r>
    </w:p>
    <w:p>
      <w:pPr>
        <w:spacing w:after="0" w:line="184" w:lineRule="exact"/>
        <w:rPr>
          <w:sz w:val="20"/>
          <w:szCs w:val="20"/>
          <w:color w:val="auto"/>
        </w:rPr>
      </w:pPr>
    </w:p>
    <w:p>
      <w:pPr>
        <w:jc w:val="both"/>
        <w:ind w:left="560"/>
        <w:spacing w:after="0" w:line="212" w:lineRule="auto"/>
        <w:rPr>
          <w:sz w:val="20"/>
          <w:szCs w:val="20"/>
          <w:color w:val="auto"/>
        </w:rPr>
      </w:pPr>
      <w:r>
        <w:rPr>
          <w:rFonts w:ascii="Arial" w:cs="Arial" w:eastAsia="Arial" w:hAnsi="Arial"/>
          <w:sz w:val="19"/>
          <w:szCs w:val="19"/>
          <w:color w:val="auto"/>
        </w:rPr>
        <w:t>The Company shall reimburse you for all reasonable travel, entertainment and other expenses incurred or paid by you in connection with, or related to, the performance of your duties and responsibilities as an officer and employee of the Company, in accordance with the policies and procedures, and subject to the limitations, adopted by the Company from time to time. The Company shall reimburse you for up to $100,000 in aggregate per year for each of calendar years 2023 and 2024 for personal travel expenses incurred by you or members of your family for travel between WI and New England. In addition, you shall be entitled, upon presentation of documentation satisfactory to the Company, to reimbursement of up to $5,000 per fiscal year in aggregate for accounting, tax or other legal fees actually incurred by you in connection with your employment by the Company.</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Severance Benefits:</w:t>
      </w:r>
    </w:p>
    <w:p>
      <w:pPr>
        <w:ind w:left="520" w:right="180"/>
        <w:spacing w:after="0" w:line="221" w:lineRule="auto"/>
        <w:rPr>
          <w:sz w:val="20"/>
          <w:szCs w:val="20"/>
          <w:color w:val="auto"/>
        </w:rPr>
      </w:pPr>
      <w:r>
        <w:rPr>
          <w:rFonts w:ascii="Arial" w:cs="Arial" w:eastAsia="Arial" w:hAnsi="Arial"/>
          <w:sz w:val="19"/>
          <w:szCs w:val="19"/>
          <w:color w:val="auto"/>
        </w:rPr>
        <w:t>If your employment is terminated by the Company without cause (other than due to your disability or death), you will be eligible for benefits subject to and under the terms of the Hasbro, Inc. Severance Benefits Plan (the “Plan”), as such Plan is amended from time to time and exists on the date of your termination of employment.</w:t>
      </w: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Benefits:</w:t>
      </w:r>
    </w:p>
    <w:p>
      <w:pPr>
        <w:spacing w:after="0" w:line="251" w:lineRule="exact"/>
        <w:rPr>
          <w:sz w:val="20"/>
          <w:szCs w:val="20"/>
          <w:color w:val="auto"/>
        </w:rPr>
      </w:pPr>
    </w:p>
    <w:p>
      <w:pPr>
        <w:ind w:left="540"/>
        <w:spacing w:after="0" w:line="214" w:lineRule="auto"/>
        <w:rPr>
          <w:sz w:val="20"/>
          <w:szCs w:val="20"/>
          <w:color w:val="auto"/>
        </w:rPr>
      </w:pPr>
      <w:r>
        <w:rPr>
          <w:rFonts w:ascii="Arial" w:cs="Arial" w:eastAsia="Arial" w:hAnsi="Arial"/>
          <w:sz w:val="19"/>
          <w:szCs w:val="19"/>
          <w:color w:val="auto"/>
        </w:rPr>
        <w:t xml:space="preserve">Hasbro offers a competitive employee benefit program which includes medical, dental and vision coverage, 401(k) with Company match, short- &amp; long-term income protection and life insurance. The eligibility criteria and detailed descriptions of these and other benefit programs as they currently exist are available online at </w:t>
      </w:r>
      <w:r>
        <w:rPr>
          <w:rFonts w:ascii="Arial" w:cs="Arial" w:eastAsia="Arial" w:hAnsi="Arial"/>
          <w:sz w:val="19"/>
          <w:szCs w:val="19"/>
          <w:u w:val="single" w:color="auto"/>
          <w:color w:val="0000FF"/>
        </w:rPr>
        <w:t>https://hasbroenrollmentguide2023.paragonfiles.com/.</w:t>
      </w:r>
      <w:r>
        <w:rPr>
          <w:rFonts w:ascii="Arial" w:cs="Arial" w:eastAsia="Arial" w:hAnsi="Arial"/>
          <w:sz w:val="19"/>
          <w:szCs w:val="19"/>
          <w:color w:val="0000FF"/>
        </w:rPr>
        <w:t xml:space="preserve"> </w:t>
      </w:r>
      <w:r>
        <w:rPr>
          <w:rFonts w:ascii="Arial" w:cs="Arial" w:eastAsia="Arial" w:hAnsi="Arial"/>
          <w:sz w:val="19"/>
          <w:szCs w:val="19"/>
          <w:color w:val="000000"/>
        </w:rPr>
        <w:t>Please note that you will have 31 days from your date of hire to</w:t>
      </w:r>
      <w:r>
        <w:rPr>
          <w:rFonts w:ascii="Arial" w:cs="Arial" w:eastAsia="Arial" w:hAnsi="Arial"/>
          <w:sz w:val="19"/>
          <w:szCs w:val="19"/>
          <w:color w:val="0000FF"/>
        </w:rPr>
        <w:t xml:space="preserve"> </w:t>
      </w:r>
      <w:r>
        <w:rPr>
          <w:rFonts w:ascii="Arial" w:cs="Arial" w:eastAsia="Arial" w:hAnsi="Arial"/>
          <w:sz w:val="19"/>
          <w:szCs w:val="19"/>
          <w:color w:val="000000"/>
        </w:rPr>
        <w:t>enroll in your medical, dental and/or vision coverage. The Company reserves the right to amend the employee benefits and programs from time to time.</w:t>
      </w:r>
    </w:p>
    <w:p>
      <w:pPr>
        <w:spacing w:after="0" w:line="208" w:lineRule="exact"/>
        <w:rPr>
          <w:sz w:val="20"/>
          <w:szCs w:val="20"/>
          <w:color w:val="auto"/>
        </w:rPr>
      </w:pPr>
    </w:p>
    <w:p>
      <w:pPr>
        <w:ind w:left="520" w:right="320"/>
        <w:spacing w:after="0" w:line="221" w:lineRule="auto"/>
        <w:rPr>
          <w:sz w:val="20"/>
          <w:szCs w:val="20"/>
          <w:color w:val="auto"/>
        </w:rPr>
      </w:pPr>
      <w:r>
        <w:rPr>
          <w:rFonts w:ascii="Arial" w:cs="Arial" w:eastAsia="Arial" w:hAnsi="Arial"/>
          <w:sz w:val="19"/>
          <w:szCs w:val="19"/>
          <w:color w:val="auto"/>
        </w:rPr>
        <w:t xml:space="preserve">Please know that this offer is contingent upon you providing proof of your eligibility to work in the United States. To complete the I-9 form, please email clear copies of your appropriate identification as described on the list of Acceptable Documents to </w:t>
      </w:r>
      <w:r>
        <w:rPr>
          <w:rFonts w:ascii="Arial" w:cs="Arial" w:eastAsia="Arial" w:hAnsi="Arial"/>
          <w:sz w:val="19"/>
          <w:szCs w:val="19"/>
          <w:u w:val="single" w:color="auto"/>
          <w:color w:val="0000FF"/>
        </w:rPr>
        <w:t>I-9@hasbro.com.</w:t>
      </w:r>
      <w:r>
        <w:rPr>
          <w:rFonts w:ascii="Arial" w:cs="Arial" w:eastAsia="Arial" w:hAnsi="Arial"/>
          <w:sz w:val="19"/>
          <w:szCs w:val="19"/>
          <w:color w:val="auto"/>
        </w:rPr>
        <w:t xml:space="preserve"> These must be sent prior to your first day.</w:t>
      </w:r>
    </w:p>
    <w:p>
      <w:pPr>
        <w:spacing w:after="0" w:line="206" w:lineRule="exact"/>
        <w:rPr>
          <w:sz w:val="20"/>
          <w:szCs w:val="20"/>
          <w:color w:val="auto"/>
        </w:rPr>
      </w:pPr>
    </w:p>
    <w:p>
      <w:pPr>
        <w:ind w:left="520" w:right="260"/>
        <w:spacing w:after="0" w:line="221" w:lineRule="auto"/>
        <w:rPr>
          <w:sz w:val="20"/>
          <w:szCs w:val="20"/>
          <w:color w:val="auto"/>
        </w:rPr>
      </w:pPr>
      <w:r>
        <w:rPr>
          <w:rFonts w:ascii="Arial" w:cs="Arial" w:eastAsia="Arial" w:hAnsi="Arial"/>
          <w:sz w:val="19"/>
          <w:szCs w:val="19"/>
          <w:color w:val="auto"/>
        </w:rPr>
        <w:t>Our offer is also contingent upon receipt of a satisfactory report from a comprehensive background review conducted by our external consultant, HireRight. You will receive an email from HireRight with your system log-in details within two business days of acceptance of this offer.</w:t>
      </w:r>
    </w:p>
    <w:p>
      <w:pPr>
        <w:spacing w:after="0" w:line="206" w:lineRule="exact"/>
        <w:rPr>
          <w:sz w:val="20"/>
          <w:szCs w:val="20"/>
          <w:color w:val="auto"/>
        </w:rPr>
      </w:pPr>
    </w:p>
    <w:p>
      <w:pPr>
        <w:ind w:left="520" w:right="300"/>
        <w:spacing w:after="0" w:line="221" w:lineRule="auto"/>
        <w:rPr>
          <w:sz w:val="20"/>
          <w:szCs w:val="20"/>
          <w:color w:val="auto"/>
        </w:rPr>
      </w:pPr>
      <w:r>
        <w:rPr>
          <w:rFonts w:ascii="Arial" w:cs="Arial" w:eastAsia="Arial" w:hAnsi="Arial"/>
          <w:sz w:val="19"/>
          <w:szCs w:val="19"/>
          <w:color w:val="auto"/>
        </w:rPr>
        <w:t>As a new employee, you will attend Orientation that will include information about Hasbro history, products, and culture, and will include training on our Code of Conduct. We will be in touch shortly before your start date to provide details regarding your orientation.</w:t>
      </w:r>
    </w:p>
    <w:p>
      <w:pPr>
        <w:sectPr>
          <w:pgSz w:w="11900" w:h="16838" w:orient="portrait"/>
          <w:cols w:equalWidth="0" w:num="1">
            <w:col w:w="10780"/>
          </w:cols>
          <w:pgMar w:left="780" w:top="755" w:right="339" w:bottom="1440" w:gutter="0" w:footer="0" w:header="0"/>
        </w:sectPr>
      </w:pPr>
    </w:p>
    <w:bookmarkStart w:id="52" w:name="page53"/>
    <w:bookmarkEnd w:id="52"/>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The nature of Hasbro’s business is highly competitive. As a condition of employment, you will be required to sign an Invention Assignment and Confidentiality Agreement and an acknowledgement of the Company’s Insider Trading and Preclearance Policies. You will also be required to sign a non-compete and non-solicitation agreement in the form signed by other designated officers of the Company, which agreement has historically been re-executed annually in connection with the annual equity awards.</w:t>
      </w:r>
    </w:p>
    <w:p>
      <w:pPr>
        <w:spacing w:after="0" w:line="212"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By accepting this offer, you represent and warrant that your employment with Hasbro will not violate any agreements, obligations, or understandings that you may have with any third party or prior employer. In furtherance of the foregoing, you have told us that you are not subject to any non-compete restrictions that may in any way apply to or restrict your service with Hasbro and its affiliates and subsidiaries. You agree not to make any unauthorized disclosure to Hasbro or use on behalf of Hasbro any confidential information belonging to any of your former employers (except in accordance with agreements between Hasbro and any such former employer). You also warrant that you do not possess any property containing a third party's confidential and proprietary information. Of course, during your employment with Hasbro, you may make use of information known and used by persons with training and experience comparable to your own, and information that is common knowledge in the industry or is otherwise legally available in the public domain.</w:t>
      </w:r>
    </w:p>
    <w:p>
      <w:pPr>
        <w:spacing w:after="0" w:line="354"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While we anticipate a mutually rewarding and long-term relationship, please bear in mind that employment with Hasbro is at-will and nothing herein is intended to create, or creates, a contract for employment.</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On behalf of the entire team, I am excited to welcome you and wish you much success.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306070</wp:posOffset>
            </wp:positionV>
            <wp:extent cx="2082800" cy="668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20828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Chris Cocks</w:t>
      </w:r>
    </w:p>
    <w:p>
      <w:pPr>
        <w:spacing w:after="0"/>
        <w:rPr>
          <w:sz w:val="20"/>
          <w:szCs w:val="20"/>
          <w:color w:val="auto"/>
        </w:rPr>
      </w:pP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141605</wp:posOffset>
            </wp:positionV>
            <wp:extent cx="1543050" cy="651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15430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color w:val="auto"/>
        </w:rPr>
        <w:t>Naj Atkinson</w:t>
      </w:r>
    </w:p>
    <w:p>
      <w:pPr>
        <w:spacing w:after="0"/>
        <w:rPr>
          <w:sz w:val="20"/>
          <w:szCs w:val="20"/>
          <w:color w:val="auto"/>
        </w:rPr>
      </w:pPr>
      <w:r>
        <w:rPr>
          <w:rFonts w:ascii="Arial" w:cs="Arial" w:eastAsia="Arial" w:hAnsi="Arial"/>
          <w:sz w:val="19"/>
          <w:szCs w:val="19"/>
          <w:color w:val="auto"/>
        </w:rPr>
        <w:t>EVP &amp; Chief People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9"/>
          <w:szCs w:val="19"/>
          <w:u w:val="single" w:color="auto"/>
          <w:color w:val="auto"/>
        </w:rPr>
        <w:t>/s/ Tim Kilpin 3/29/23</w:t>
      </w:r>
    </w:p>
    <w:p>
      <w:pPr>
        <w:ind w:left="80"/>
        <w:spacing w:after="0"/>
        <w:rPr>
          <w:sz w:val="20"/>
          <w:szCs w:val="20"/>
          <w:color w:val="auto"/>
        </w:rPr>
      </w:pPr>
      <w:r>
        <w:rPr>
          <w:rFonts w:ascii="Arial" w:cs="Arial" w:eastAsia="Arial" w:hAnsi="Arial"/>
          <w:sz w:val="19"/>
          <w:szCs w:val="19"/>
          <w:color w:val="auto"/>
        </w:rPr>
        <w:t>Tim Kilpin/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458470</wp:posOffset>
            </wp:positionV>
            <wp:extent cx="534035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5340350" cy="171450"/>
                    </a:xfrm>
                    <a:prstGeom prst="rect">
                      <a:avLst/>
                    </a:prstGeom>
                    <a:noFill/>
                  </pic:spPr>
                </pic:pic>
              </a:graphicData>
            </a:graphic>
          </wp:anchor>
        </w:drawing>
      </w:r>
    </w:p>
    <w:p>
      <w:pPr>
        <w:sectPr>
          <w:pgSz w:w="11900" w:h="16838" w:orient="portrait"/>
          <w:cols w:equalWidth="0" w:num="1">
            <w:col w:w="10100"/>
          </w:cols>
          <w:pgMar w:left="1300" w:top="1440" w:right="499" w:bottom="1440" w:gutter="0" w:footer="0" w:header="0"/>
        </w:sectPr>
      </w:pPr>
    </w:p>
    <w:bookmarkStart w:id="53" w:name="page54"/>
    <w:bookmarkEnd w:id="53"/>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HASBRO, INC.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RESTATED 2003 STOCK INCENTIVE PERFORMANCE PLAN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 OPTION AGREEMENT FOR EMPLOYEES</w:t>
      </w:r>
    </w:p>
    <w:p>
      <w:pPr>
        <w:spacing w:after="0" w:line="112" w:lineRule="exact"/>
        <w:rPr>
          <w:sz w:val="20"/>
          <w:szCs w:val="20"/>
          <w:color w:val="auto"/>
        </w:rPr>
      </w:pPr>
    </w:p>
    <w:p>
      <w:pPr>
        <w:ind w:left="4080"/>
        <w:spacing w:after="0"/>
        <w:rPr>
          <w:sz w:val="20"/>
          <w:szCs w:val="20"/>
          <w:color w:val="auto"/>
        </w:rPr>
      </w:pPr>
      <w:r>
        <w:rPr>
          <w:rFonts w:ascii="Arial" w:cs="Arial" w:eastAsia="Arial" w:hAnsi="Arial"/>
          <w:sz w:val="22"/>
          <w:szCs w:val="22"/>
          <w:b w:val="1"/>
          <w:bCs w:val="1"/>
          <w:u w:val="single" w:color="auto"/>
          <w:color w:val="auto"/>
        </w:rPr>
        <w:t>________________, 2023 GRANT</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AGREEMENT, made effective as of _______________, 2023, by and between HASBRO, INC., a Rhode Island corporation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the designated option grant recipient (the "Optionee").</w:t>
      </w:r>
    </w:p>
    <w:p>
      <w:pPr>
        <w:spacing w:after="0" w:line="125" w:lineRule="exact"/>
        <w:rPr>
          <w:sz w:val="20"/>
          <w:szCs w:val="20"/>
          <w:color w:val="auto"/>
        </w:rPr>
      </w:pPr>
    </w:p>
    <w:p>
      <w:pPr>
        <w:jc w:val="both"/>
        <w:ind w:right="20" w:firstLine="257"/>
        <w:spacing w:after="0" w:line="375" w:lineRule="auto"/>
        <w:rPr>
          <w:sz w:val="20"/>
          <w:szCs w:val="20"/>
          <w:color w:val="auto"/>
        </w:rPr>
      </w:pPr>
      <w:r>
        <w:rPr>
          <w:rFonts w:ascii="Arial" w:cs="Arial" w:eastAsia="Arial" w:hAnsi="Arial"/>
          <w:sz w:val="21"/>
          <w:szCs w:val="21"/>
          <w:color w:val="auto"/>
        </w:rPr>
        <w:t>WHEREAS, Optionee is an employee of the Company or of a direct or indirect subsidiary of the Company and is eligible to participate in the Company's Restated 2003 Stock Incentive Performance Plan, as amended (the "Plan"), and</w:t>
      </w:r>
    </w:p>
    <w:p>
      <w:pPr>
        <w:spacing w:after="0" w:line="1" w:lineRule="exact"/>
        <w:rPr>
          <w:sz w:val="20"/>
          <w:szCs w:val="20"/>
          <w:color w:val="auto"/>
        </w:rPr>
      </w:pPr>
    </w:p>
    <w:p>
      <w:pPr>
        <w:jc w:val="both"/>
        <w:ind w:firstLine="244"/>
        <w:spacing w:after="0" w:line="372" w:lineRule="auto"/>
        <w:rPr>
          <w:sz w:val="20"/>
          <w:szCs w:val="20"/>
          <w:color w:val="auto"/>
        </w:rPr>
      </w:pPr>
      <w:r>
        <w:rPr>
          <w:rFonts w:ascii="Arial" w:cs="Arial" w:eastAsia="Arial" w:hAnsi="Arial"/>
          <w:sz w:val="21"/>
          <w:szCs w:val="21"/>
          <w:color w:val="auto"/>
        </w:rPr>
        <w:t>WHEREAS, the Compensation Committee (the "Committee") of the Board of Directors of the Company (the "Board") acting in accordance with the provisions of the Plan is granting to Optionee a non-qualified stock option to purchase the specified number of shares of Common Stock of the Company, par value $.50 per share (the "Common Stock"), at a price determined by said Committee to be not less than the fair market value of such Common Stock on the date of said grant, subject to and upon the terms and conditions set forth in the Plan and as hereinafter set forth.</w:t>
      </w:r>
    </w:p>
    <w:p>
      <w:pPr>
        <w:spacing w:after="0" w:line="5" w:lineRule="exact"/>
        <w:rPr>
          <w:sz w:val="20"/>
          <w:szCs w:val="20"/>
          <w:color w:val="auto"/>
        </w:rPr>
      </w:pPr>
    </w:p>
    <w:p>
      <w:pPr>
        <w:jc w:val="both"/>
        <w:ind w:right="20" w:firstLine="257"/>
        <w:spacing w:after="0" w:line="352" w:lineRule="auto"/>
        <w:rPr>
          <w:sz w:val="20"/>
          <w:szCs w:val="20"/>
          <w:color w:val="auto"/>
        </w:rPr>
      </w:pPr>
      <w:r>
        <w:rPr>
          <w:rFonts w:ascii="Arial" w:cs="Arial" w:eastAsia="Arial" w:hAnsi="Arial"/>
          <w:sz w:val="22"/>
          <w:szCs w:val="22"/>
          <w:color w:val="auto"/>
        </w:rPr>
        <w:t>NOW, THEREFORE, in consideration of the premises and other good and valuable consideration, the parties hereto agree as follows:</w:t>
      </w: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125" w:lineRule="exact"/>
        <w:rPr>
          <w:sz w:val="20"/>
          <w:szCs w:val="20"/>
          <w:color w:val="auto"/>
        </w:rPr>
      </w:pPr>
    </w:p>
    <w:p>
      <w:pPr>
        <w:jc w:val="both"/>
        <w:ind w:right="140" w:firstLine="250"/>
        <w:spacing w:after="0" w:line="421" w:lineRule="auto"/>
        <w:tabs>
          <w:tab w:leader="none" w:pos="642"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The Company hereby grants to the Optionee effective on ____________, 2023, pursuant to the Plan, a copy of which is attached hereto as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the provisions of which are incorporated herein as if set forth in full, a stock option to purchase all or any part of the number of shares of Common Stock (the "Shares"), described in Section 3 below (the "Option"), subject to and upon the terms and conditions set forth in the Plan and the additional terms and conditions hereinafter set forth. The Option is evidenced by this Agreement. In the event of any inconsistency between the provisions of this Agreement and, only if applicable, the terms of the Optionee’s Employment Agreement, the provisions set forth in the Employment Agreement shall control, provided that to the extent the provisions of this Agreement or the Optionee’s Employment Agreement are inconsistent with the terms of the Plan, then the terms of the Plan shall control.</w:t>
      </w:r>
    </w:p>
    <w:p>
      <w:pPr>
        <w:sectPr>
          <w:pgSz w:w="11900" w:h="16838" w:orient="portrait"/>
          <w:cols w:equalWidth="0" w:num="1">
            <w:col w:w="11240"/>
          </w:cols>
          <w:pgMar w:left="320" w:top="1440" w:right="339" w:bottom="1440" w:gutter="0" w:footer="0" w:header="0"/>
        </w:sectPr>
      </w:pPr>
    </w:p>
    <w:bookmarkStart w:id="54" w:name="page55"/>
    <w:bookmarkEnd w:id="54"/>
    <w:p>
      <w:pPr>
        <w:spacing w:after="0" w:line="42" w:lineRule="exact"/>
        <w:rPr>
          <w:sz w:val="20"/>
          <w:szCs w:val="20"/>
          <w:color w:val="auto"/>
        </w:rPr>
      </w:pPr>
    </w:p>
    <w:p>
      <w:pPr>
        <w:ind w:left="380" w:hanging="376"/>
        <w:spacing w:after="0"/>
        <w:tabs>
          <w:tab w:leader="none" w:pos="3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By accepting this Option the Optionee hereby acknowledges and agrees:</w:t>
      </w:r>
    </w:p>
    <w:p>
      <w:pPr>
        <w:spacing w:after="0" w:line="368" w:lineRule="exact"/>
        <w:rPr>
          <w:rFonts w:ascii="Arial" w:cs="Arial" w:eastAsia="Arial" w:hAnsi="Arial"/>
          <w:sz w:val="22"/>
          <w:szCs w:val="22"/>
          <w:color w:val="auto"/>
        </w:rPr>
      </w:pPr>
    </w:p>
    <w:p>
      <w:pPr>
        <w:jc w:val="both"/>
        <w:ind w:left="1740" w:right="20" w:hanging="656"/>
        <w:spacing w:after="0" w:line="372" w:lineRule="auto"/>
        <w:tabs>
          <w:tab w:leader="none" w:pos="1728"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that this Option, and any shares the Optionee may acquire under this Option in the future or any of the proceeds of exercising this Option or selling any shares acquired pursuant to this Option, as well as any other incentive compensation the Optionee is granted, is subject to the Company’s Clawback Policy, as it may be amended from time to time by the Board in the future.;</w:t>
      </w:r>
    </w:p>
    <w:p>
      <w:pPr>
        <w:spacing w:after="0" w:line="1" w:lineRule="exact"/>
        <w:rPr>
          <w:rFonts w:ascii="Arial" w:cs="Arial" w:eastAsia="Arial" w:hAnsi="Arial"/>
          <w:sz w:val="21"/>
          <w:szCs w:val="21"/>
          <w:color w:val="auto"/>
        </w:rPr>
      </w:pPr>
    </w:p>
    <w:p>
      <w:pPr>
        <w:jc w:val="both"/>
        <w:ind w:left="1740" w:right="20" w:hanging="656"/>
        <w:spacing w:after="0" w:line="413" w:lineRule="auto"/>
        <w:tabs>
          <w:tab w:leader="none" w:pos="1734"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that if the Optionee is or becomes subject to the Hasbro, Inc. Executive Ownership Policy, effective as of March 1, 2014, as it may be amended from time to time by the Board in the future (the “Stock Ownership Policy”), the Optionee agrees that any shares that the Optionee may acquire in the future pursuant to this Option, as well as any other equity-based incentive compensation the Optionee is granted after the Optionee becomes subject to the Stock Ownership Policy, will be subject to the terms of the Stock Ownership Policy, including without limitation the requirement to retain an amount equal to at least 50% of the net shares received as a result of the exercise, vesting or payment of any equity awards granted until the Optionee’s applicable requirement levels are met;</w:t>
      </w:r>
    </w:p>
    <w:p>
      <w:pPr>
        <w:spacing w:after="0" w:line="2" w:lineRule="exact"/>
        <w:rPr>
          <w:rFonts w:ascii="Arial" w:cs="Arial" w:eastAsia="Arial" w:hAnsi="Arial"/>
          <w:sz w:val="19"/>
          <w:szCs w:val="19"/>
          <w:color w:val="auto"/>
        </w:rPr>
      </w:pPr>
    </w:p>
    <w:p>
      <w:pPr>
        <w:jc w:val="both"/>
        <w:ind w:left="1740" w:hanging="656"/>
        <w:spacing w:after="0" w:line="421" w:lineRule="auto"/>
        <w:tabs>
          <w:tab w:leader="none" w:pos="174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that if the Optionee is notified by the Company or its equity plan administrator that Optionee is required to enter into a Non-Competition, Non-Solicitation and Confidentiality Agreement with the Company, this Option shall be contingent upon and subject to the Optionee (x) executing and delivering to the Company a Non-Competition, Non-Solicitation and Confidentiality Agreement by and between the Optionee and the Company, in a form prescribed by and no later than a date designated by the Company; or (y) confirming and agreeing that the Optionee remains bound by and subject to the terms of the Optionee’s previously executed Non-Competition, Non-Solicitation and Confidentiality Agreement(s), which confirmation and agreement will occur upon your acceptance of this Option. For the avoidance of doubt,</w:t>
      </w: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0"/>
          </w:cols>
          <w:pgMar w:left="540" w:top="1440" w:right="459" w:bottom="1440" w:gutter="0" w:footer="0" w:header="0"/>
        </w:sectPr>
      </w:pPr>
    </w:p>
    <w:bookmarkStart w:id="55" w:name="page56"/>
    <w:bookmarkEnd w:id="55"/>
    <w:p>
      <w:pPr>
        <w:spacing w:after="0" w:line="42" w:lineRule="exact"/>
        <w:rPr>
          <w:sz w:val="20"/>
          <w:szCs w:val="20"/>
          <w:color w:val="auto"/>
        </w:rPr>
      </w:pPr>
    </w:p>
    <w:p>
      <w:pPr>
        <w:jc w:val="both"/>
        <w:ind w:left="1960" w:right="20"/>
        <w:spacing w:after="0" w:line="411" w:lineRule="auto"/>
        <w:rPr>
          <w:sz w:val="20"/>
          <w:szCs w:val="20"/>
          <w:color w:val="auto"/>
        </w:rPr>
      </w:pPr>
      <w:r>
        <w:rPr>
          <w:rFonts w:ascii="Arial" w:cs="Arial" w:eastAsia="Arial" w:hAnsi="Arial"/>
          <w:sz w:val="19"/>
          <w:szCs w:val="19"/>
          <w:color w:val="auto"/>
        </w:rPr>
        <w:t>if the Participant has not executed and delivered to the Company a Non-Competition, Non-Solicitation and Confidentiality Agreement or confirmed and agreed (through acceptance of this Option) the terms of the Optionee’s existing Non-Competition, Non-Solicitation and Confidentiality Agreement(s) no later than 90 days from the date of this Option, this Option will not take effect and will be null and void; and</w:t>
      </w:r>
    </w:p>
    <w:p>
      <w:pPr>
        <w:spacing w:after="0" w:line="2" w:lineRule="exact"/>
        <w:rPr>
          <w:sz w:val="20"/>
          <w:szCs w:val="20"/>
          <w:color w:val="auto"/>
        </w:rPr>
      </w:pPr>
    </w:p>
    <w:p>
      <w:pPr>
        <w:ind w:left="1960" w:right="20" w:hanging="656"/>
        <w:spacing w:after="0" w:line="358" w:lineRule="auto"/>
        <w:tabs>
          <w:tab w:leader="none" w:pos="1948"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acknowledgements and agreements set forth in this section are material conditions to receiving this Option, which would not have been made to the Optionee otherwise.</w:t>
      </w:r>
    </w:p>
    <w:p>
      <w:pPr>
        <w:spacing w:after="0" w:line="1" w:lineRule="exact"/>
        <w:rPr>
          <w:rFonts w:ascii="Arial" w:cs="Arial" w:eastAsia="Arial" w:hAnsi="Arial"/>
          <w:sz w:val="22"/>
          <w:szCs w:val="22"/>
          <w:color w:val="auto"/>
        </w:rPr>
      </w:pPr>
    </w:p>
    <w:p>
      <w:pPr>
        <w:jc w:val="both"/>
        <w:ind w:right="20" w:firstLine="261"/>
        <w:spacing w:after="0" w:line="411" w:lineRule="auto"/>
        <w:tabs>
          <w:tab w:leader="none" w:pos="665"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This Agreement relates to an Option to purchase the specified number of shares which have been communicated to the Optionee at an exercise price of $______ per share (the "Exercise Price Per Share"). (Hereinafter, the term "Exercise Price" shall mean the Exercise Price Per Share multiplied by the number of shares being exercised.) Subject to the provisions of the Plan and of this Agreement, the Optionee shall be entitled to exercise the Option on a cumulative basis until the day preceding</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 seventh anniversary of the date of the grant in accordance with the following schedule:</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Cumulative</w:t>
      </w:r>
    </w:p>
    <w:p>
      <w:pPr>
        <w:ind w:left="1080"/>
        <w:spacing w:after="0" w:line="204" w:lineRule="auto"/>
        <w:rPr>
          <w:sz w:val="20"/>
          <w:szCs w:val="20"/>
          <w:color w:val="auto"/>
        </w:rPr>
      </w:pPr>
      <w:r>
        <w:rPr>
          <w:rFonts w:ascii="Arial" w:cs="Arial" w:eastAsia="Arial" w:hAnsi="Arial"/>
          <w:sz w:val="22"/>
          <w:szCs w:val="22"/>
          <w:color w:val="auto"/>
        </w:rPr>
        <w:t>Percent of Option</w:t>
      </w:r>
    </w:p>
    <w:p>
      <w:pPr>
        <w:spacing w:after="0" w:line="1"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u w:val="single" w:color="auto"/>
          <w:color w:val="auto"/>
        </w:rPr>
        <w:t>Period</w:t>
      </w:r>
      <w:r>
        <w:rPr>
          <w:sz w:val="20"/>
          <w:szCs w:val="20"/>
          <w:color w:val="auto"/>
        </w:rPr>
        <w:tab/>
      </w:r>
      <w:r>
        <w:rPr>
          <w:rFonts w:ascii="Arial" w:cs="Arial" w:eastAsia="Arial" w:hAnsi="Arial"/>
          <w:sz w:val="22"/>
          <w:szCs w:val="22"/>
          <w:u w:val="single" w:color="auto"/>
          <w:color w:val="auto"/>
        </w:rPr>
        <w:t>Exercisable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0"/>
                <w:szCs w:val="20"/>
                <w:color w:val="auto"/>
              </w:rPr>
            </w:pPr>
            <w:r>
              <w:rPr>
                <w:rFonts w:ascii="Arial" w:cs="Arial" w:eastAsia="Arial" w:hAnsi="Arial"/>
                <w:sz w:val="22"/>
                <w:szCs w:val="22"/>
                <w:color w:val="auto"/>
                <w:w w:val="90"/>
              </w:rPr>
              <w:t>_______________ to ______________</w:t>
            </w:r>
          </w:p>
        </w:tc>
        <w:tc>
          <w:tcPr>
            <w:tcW w:w="840" w:type="dxa"/>
            <w:vAlign w:val="bottom"/>
          </w:tcPr>
          <w:p>
            <w:pPr>
              <w:ind w:left="120"/>
              <w:spacing w:after="0"/>
              <w:rPr>
                <w:sz w:val="20"/>
                <w:szCs w:val="20"/>
                <w:color w:val="auto"/>
              </w:rPr>
            </w:pPr>
            <w:r>
              <w:rPr>
                <w:rFonts w:ascii="Arial" w:cs="Arial" w:eastAsia="Arial" w:hAnsi="Arial"/>
                <w:sz w:val="22"/>
                <w:szCs w:val="22"/>
                <w:color w:val="auto"/>
              </w:rPr>
              <w:t>0%</w:t>
            </w:r>
          </w:p>
        </w:tc>
      </w:tr>
      <w:tr>
        <w:trPr>
          <w:trHeight w:val="216"/>
        </w:trPr>
        <w:tc>
          <w:tcPr>
            <w:tcW w:w="3520" w:type="dxa"/>
            <w:vAlign w:val="bottom"/>
          </w:tcPr>
          <w:p>
            <w:pPr>
              <w:spacing w:after="0" w:line="216" w:lineRule="exact"/>
              <w:rPr>
                <w:sz w:val="20"/>
                <w:szCs w:val="20"/>
                <w:color w:val="auto"/>
              </w:rPr>
            </w:pPr>
            <w:r>
              <w:rPr>
                <w:rFonts w:ascii="Arial" w:cs="Arial" w:eastAsia="Arial" w:hAnsi="Arial"/>
                <w:sz w:val="22"/>
                <w:szCs w:val="22"/>
                <w:color w:val="auto"/>
                <w:w w:val="90"/>
              </w:rPr>
              <w:t>_______________ to ______________</w:t>
            </w:r>
          </w:p>
        </w:tc>
        <w:tc>
          <w:tcPr>
            <w:tcW w:w="840" w:type="dxa"/>
            <w:vAlign w:val="bottom"/>
          </w:tcPr>
          <w:p>
            <w:pPr>
              <w:ind w:left="120"/>
              <w:spacing w:after="0" w:line="216" w:lineRule="exact"/>
              <w:rPr>
                <w:sz w:val="20"/>
                <w:szCs w:val="20"/>
                <w:color w:val="auto"/>
              </w:rPr>
            </w:pPr>
            <w:r>
              <w:rPr>
                <w:rFonts w:ascii="Arial" w:cs="Arial" w:eastAsia="Arial" w:hAnsi="Arial"/>
                <w:sz w:val="22"/>
                <w:szCs w:val="22"/>
                <w:color w:val="auto"/>
                <w:w w:val="86"/>
              </w:rPr>
              <w:t>33 1/3%</w:t>
            </w:r>
          </w:p>
        </w:tc>
      </w:tr>
      <w:tr>
        <w:trPr>
          <w:trHeight w:val="274"/>
        </w:trPr>
        <w:tc>
          <w:tcPr>
            <w:tcW w:w="3520" w:type="dxa"/>
            <w:vAlign w:val="bottom"/>
          </w:tcPr>
          <w:p>
            <w:pPr>
              <w:spacing w:after="0"/>
              <w:rPr>
                <w:sz w:val="20"/>
                <w:szCs w:val="20"/>
                <w:color w:val="auto"/>
              </w:rPr>
            </w:pPr>
            <w:r>
              <w:rPr>
                <w:rFonts w:ascii="Arial" w:cs="Arial" w:eastAsia="Arial" w:hAnsi="Arial"/>
                <w:sz w:val="22"/>
                <w:szCs w:val="22"/>
                <w:color w:val="auto"/>
                <w:w w:val="90"/>
              </w:rPr>
              <w:t>_______________ to ______________</w:t>
            </w:r>
          </w:p>
        </w:tc>
        <w:tc>
          <w:tcPr>
            <w:tcW w:w="840" w:type="dxa"/>
            <w:vAlign w:val="bottom"/>
          </w:tcPr>
          <w:p>
            <w:pPr>
              <w:ind w:left="120"/>
              <w:spacing w:after="0"/>
              <w:rPr>
                <w:sz w:val="20"/>
                <w:szCs w:val="20"/>
                <w:color w:val="auto"/>
              </w:rPr>
            </w:pPr>
            <w:r>
              <w:rPr>
                <w:rFonts w:ascii="Arial" w:cs="Arial" w:eastAsia="Arial" w:hAnsi="Arial"/>
                <w:sz w:val="22"/>
                <w:szCs w:val="22"/>
                <w:color w:val="auto"/>
                <w:w w:val="86"/>
              </w:rPr>
              <w:t>66 2/3%</w:t>
            </w:r>
          </w:p>
        </w:tc>
      </w:tr>
      <w:tr>
        <w:trPr>
          <w:trHeight w:val="297"/>
        </w:trPr>
        <w:tc>
          <w:tcPr>
            <w:tcW w:w="3520" w:type="dxa"/>
            <w:vAlign w:val="bottom"/>
          </w:tcPr>
          <w:p>
            <w:pPr>
              <w:spacing w:after="0"/>
              <w:rPr>
                <w:sz w:val="20"/>
                <w:szCs w:val="20"/>
                <w:color w:val="auto"/>
              </w:rPr>
            </w:pPr>
            <w:r>
              <w:rPr>
                <w:rFonts w:ascii="Arial" w:cs="Arial" w:eastAsia="Arial" w:hAnsi="Arial"/>
                <w:sz w:val="22"/>
                <w:szCs w:val="22"/>
                <w:color w:val="auto"/>
                <w:w w:val="90"/>
              </w:rPr>
              <w:t>_______________ to ______________</w:t>
            </w:r>
          </w:p>
        </w:tc>
        <w:tc>
          <w:tcPr>
            <w:tcW w:w="840" w:type="dxa"/>
            <w:vAlign w:val="bottom"/>
          </w:tcPr>
          <w:p>
            <w:pPr>
              <w:ind w:left="120"/>
              <w:spacing w:after="0"/>
              <w:rPr>
                <w:sz w:val="20"/>
                <w:szCs w:val="20"/>
                <w:color w:val="auto"/>
              </w:rPr>
            </w:pPr>
            <w:r>
              <w:rPr>
                <w:rFonts w:ascii="Arial" w:cs="Arial" w:eastAsia="Arial" w:hAnsi="Arial"/>
                <w:sz w:val="22"/>
                <w:szCs w:val="22"/>
                <w:color w:val="auto"/>
              </w:rPr>
              <w:t>100%</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rPr>
        <w:t>In determining the number of shares exercisable in accordance with the above table, fractional shares shall be disregarded.</w:t>
      </w:r>
    </w:p>
    <w:p>
      <w:pPr>
        <w:spacing w:after="0" w:line="160" w:lineRule="exact"/>
        <w:rPr>
          <w:sz w:val="20"/>
          <w:szCs w:val="20"/>
          <w:color w:val="auto"/>
        </w:rPr>
      </w:pPr>
    </w:p>
    <w:p>
      <w:pPr>
        <w:jc w:val="both"/>
        <w:ind w:firstLine="224"/>
        <w:spacing w:after="0" w:line="424" w:lineRule="auto"/>
        <w:tabs>
          <w:tab w:leader="none" w:pos="648"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the event that Optionee wishes to purchase any of the shares then purchasable under the Option as provided in Section 3 hereof, Optionee shall deliver or shall transmit to the Company or to the Company’s designee, in the manner designated by or on behalf of the Company, a notice in the form and/or in the manner designated by or on behalf of the Company or its designee, as the same may be amended or supplemented from time to time by or on behalf the Company, together with a check payable to Hasbro, Inc. or its designee, if applicable, (or accompanied by wire transfer to such account of the Company or its designee as the Company may designate) in United States dollars, in the aggregate amount of the Exercise</w:t>
      </w: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20"/>
          </w:cols>
          <w:pgMar w:left="320" w:top="1440" w:right="459" w:bottom="1440" w:gutter="0" w:footer="0" w:header="0"/>
        </w:sectPr>
      </w:pPr>
    </w:p>
    <w:bookmarkStart w:id="56" w:name="page57"/>
    <w:bookmarkEnd w:id="56"/>
    <w:p>
      <w:pPr>
        <w:spacing w:after="0" w:line="42" w:lineRule="exact"/>
        <w:rPr>
          <w:sz w:val="20"/>
          <w:szCs w:val="20"/>
          <w:color w:val="auto"/>
        </w:rPr>
      </w:pPr>
    </w:p>
    <w:p>
      <w:pPr>
        <w:jc w:val="both"/>
        <w:ind w:right="140"/>
        <w:spacing w:after="0" w:line="356" w:lineRule="auto"/>
        <w:rPr>
          <w:sz w:val="20"/>
          <w:szCs w:val="20"/>
          <w:color w:val="auto"/>
        </w:rPr>
      </w:pPr>
      <w:r>
        <w:rPr>
          <w:rFonts w:ascii="Arial" w:cs="Arial" w:eastAsia="Arial" w:hAnsi="Arial"/>
          <w:sz w:val="22"/>
          <w:szCs w:val="22"/>
          <w:color w:val="auto"/>
        </w:rPr>
        <w:t>Price, or shares of Common Stock held by the Optionee for at least six (6) months (duly endorsed to the Company or its designee, if applicable, or accompanied by an executed stock power, in each case with signatures guaranteed by a bank or broker if required by the Company or its designee) having a Fair Market Value (as defined in the Plan) equal to the Exercise Price, or a combination of such shares having a Fair Market Value less than the Exercise Price and a check in United States dollars for the balance of the Exercise Price.</w:t>
      </w:r>
    </w:p>
    <w:p>
      <w:pPr>
        <w:jc w:val="both"/>
        <w:ind w:firstLine="558"/>
        <w:spacing w:after="0" w:line="413" w:lineRule="auto"/>
        <w:rPr>
          <w:sz w:val="20"/>
          <w:szCs w:val="20"/>
          <w:color w:val="auto"/>
        </w:rPr>
      </w:pPr>
      <w:r>
        <w:rPr>
          <w:rFonts w:ascii="Arial" w:cs="Arial" w:eastAsia="Arial" w:hAnsi="Arial"/>
          <w:sz w:val="19"/>
          <w:szCs w:val="19"/>
          <w:color w:val="auto"/>
        </w:rPr>
        <w:t xml:space="preserve">Unless an Optionee shall have made advance alternative arrangements satisfactory to the Company, or to the Company’s designee, each Optionee shall deliver to the Company or its designee, together with the required notice of exercise and payment of the Exercise Price as aforesaid, a check payable to Hasbro, Inc. or its designee, if applicable, or a wire transfer to such account of the Company or its designee, if applicable, as the Company may designate, in United States dollars, in the amount of any withholding required by law for any and all federal, state, local or foreign taxes payable as a result of such exercise. Each Optionee shall consult with the Company or the Company’s designee </w:t>
      </w:r>
      <w:r>
        <w:rPr>
          <w:rFonts w:ascii="Arial" w:cs="Arial" w:eastAsia="Arial" w:hAnsi="Arial"/>
          <w:sz w:val="19"/>
          <w:szCs w:val="19"/>
          <w:u w:val="single" w:color="auto"/>
          <w:color w:val="auto"/>
        </w:rPr>
        <w:t>in advance</w:t>
      </w:r>
      <w:r>
        <w:rPr>
          <w:rFonts w:ascii="Arial" w:cs="Arial" w:eastAsia="Arial" w:hAnsi="Arial"/>
          <w:sz w:val="19"/>
          <w:szCs w:val="19"/>
          <w:color w:val="auto"/>
        </w:rPr>
        <w:t xml:space="preserve"> of the exercise so as to determine the amount of withholding taxes due. An Optionee may also elect to satisfy any withholding taxes payable as a result of such exercise (the "Taxes"), in whole or in part, either (i) by having the Company or its designee withhold from the shares of Common Stock to be issued upon exercise of the Option or (ii) delivering to the Company or its designee shares of Common Stock already owned by the Optionee and held by the Optionee for at least six (6) months (represented by stock certificates duly endorsed to the Company or accompanied by an executed stock power in each case with signatures guaranteed by a bank or broker to the extent required by the Company or its designee), in each case in an amount whose Fair Market Value on the date of exercise is either equal to the Taxes or less than the Taxes, provided that a check payable to Hasbro, Inc. or its designee, if applicable, or a wire transfer to such account of the Company or its designee as the Company may designate, in United States dollars for the balance of the Taxes is also delivered to the Company, or its designee, at the time of exercise.</w:t>
      </w:r>
    </w:p>
    <w:p>
      <w:pPr>
        <w:spacing w:after="0" w:line="3" w:lineRule="exact"/>
        <w:rPr>
          <w:sz w:val="20"/>
          <w:szCs w:val="20"/>
          <w:color w:val="auto"/>
        </w:rPr>
      </w:pPr>
    </w:p>
    <w:p>
      <w:pPr>
        <w:jc w:val="both"/>
        <w:ind w:firstLine="285"/>
        <w:spacing w:after="0" w:line="360" w:lineRule="auto"/>
        <w:rPr>
          <w:sz w:val="20"/>
          <w:szCs w:val="20"/>
          <w:color w:val="auto"/>
        </w:rPr>
      </w:pPr>
      <w:r>
        <w:rPr>
          <w:rFonts w:ascii="Arial" w:cs="Arial" w:eastAsia="Arial" w:hAnsi="Arial"/>
          <w:sz w:val="22"/>
          <w:szCs w:val="22"/>
          <w:color w:val="auto"/>
        </w:rPr>
        <w:t>Notwithstanding anything in this Section 4 to the contrary, if this Option is scheduled to expire due to the expiration of the term on the date described in Section 3 above and the Fair Market Value of a share of Common Stock on the last day of such term exceeds the Exercise Price for a share of Common Stock subject to this Option, then, by accepting this Award, you shall be treated as having instructed the Company to exercise the vested portion of this Option on the last day of such term. As promptly as practicable thereafter, the Company will deliver to the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42" w:lineRule="exact"/>
        <w:rPr>
          <w:sz w:val="20"/>
          <w:szCs w:val="20"/>
          <w:color w:val="auto"/>
        </w:rPr>
      </w:pPr>
    </w:p>
    <w:p>
      <w:pPr>
        <w:jc w:val="both"/>
        <w:spacing w:after="0" w:line="354" w:lineRule="auto"/>
        <w:rPr>
          <w:sz w:val="20"/>
          <w:szCs w:val="20"/>
          <w:color w:val="auto"/>
        </w:rPr>
      </w:pPr>
      <w:r>
        <w:rPr>
          <w:rFonts w:ascii="Arial" w:cs="Arial" w:eastAsia="Arial" w:hAnsi="Arial"/>
          <w:sz w:val="22"/>
          <w:szCs w:val="22"/>
          <w:color w:val="auto"/>
        </w:rPr>
        <w:t>Optionee that number of shares subject to the vested Option less the number of shares with a value that is equal to the aggregate Fair Market Value of (1) the aggregate exercise price of the vested Stock Option and (2) the amount necessary to satisfy any required withholding of Taxes.</w:t>
      </w:r>
    </w:p>
    <w:p>
      <w:pPr>
        <w:spacing w:after="0" w:line="1" w:lineRule="exact"/>
        <w:rPr>
          <w:sz w:val="20"/>
          <w:szCs w:val="20"/>
          <w:color w:val="auto"/>
        </w:rPr>
      </w:pPr>
    </w:p>
    <w:p>
      <w:pPr>
        <w:jc w:val="both"/>
        <w:ind w:firstLine="475"/>
        <w:spacing w:after="0" w:line="373" w:lineRule="auto"/>
        <w:rPr>
          <w:sz w:val="20"/>
          <w:szCs w:val="20"/>
          <w:color w:val="auto"/>
        </w:rPr>
      </w:pPr>
      <w:r>
        <w:rPr>
          <w:rFonts w:ascii="Arial" w:cs="Arial" w:eastAsia="Arial" w:hAnsi="Arial"/>
          <w:sz w:val="21"/>
          <w:szCs w:val="21"/>
          <w:color w:val="auto"/>
        </w:rPr>
        <w:t>In addition, the Optionee shall comply with such other requirements and provide such additional information and documentation as is reasonably required by the Company, or the Company’s designee, to process any exercise of this option and resulting delivery of shares. As soon as practicable after receipt of the notice of exercise, Exercise Price, Taxes, and such other information and documentation as the Company or its designee shall require, the Company or its designee shall deliver or cause to be delivered to Optionee the shares in respect of which the Option was so exercised (less any shares deducted to pay Taxes in accordance with Optionee's election).</w:t>
      </w:r>
    </w:p>
    <w:p>
      <w:pPr>
        <w:spacing w:after="0" w:line="3" w:lineRule="exact"/>
        <w:rPr>
          <w:sz w:val="20"/>
          <w:szCs w:val="20"/>
          <w:color w:val="auto"/>
        </w:rPr>
      </w:pPr>
    </w:p>
    <w:p>
      <w:pPr>
        <w:jc w:val="both"/>
        <w:ind w:firstLine="224"/>
        <w:spacing w:after="0" w:line="412" w:lineRule="auto"/>
        <w:tabs>
          <w:tab w:leader="none" w:pos="594"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If an Optionee who is an employee of the Company or of a direct or indirect subsidiary of the Company retires at his or her Normal Retirement Date (as defined below), or an Optionee with at least one year of Credited Service of the Company suffers a permanent physical or mental disability (as defined below) or dies, in each case without the Optionee having fully exercised any Option granted to the Optionee, then the Optionee, the executor, administrator or trustee of the Optionee’s estate, or the Optionee’s legal representative, as the case may be, shall have the right to exercise any Option under the Plan, for a period of not more than one (1) year after such retirement, such disability, or in the case of death, the appointment and qualification of such executor, administrator or trustee (except that in no event other than death may such Option be exercised later than the day preceding the seventh anniversary of the date of the grant of such Option). In each such case, the Option will be exercisable with respect to all or any part of the number of shares to which the Option relates, whether or not said Option was fully exercisable in accordance with the schedule set forth in Section 3 of this Agreement as of the date of such retirement, disability or death. Thereafter, such Option, to the extent not so exercised during such one-year period shall be deemed to have expired regardless of the expiration date otherwise specified in Section 2 hereof.</w:t>
      </w:r>
    </w:p>
    <w:p>
      <w:pPr>
        <w:spacing w:after="0" w:line="8" w:lineRule="exact"/>
        <w:rPr>
          <w:rFonts w:ascii="Arial" w:cs="Arial" w:eastAsia="Arial" w:hAnsi="Arial"/>
          <w:sz w:val="19"/>
          <w:szCs w:val="19"/>
          <w:color w:val="auto"/>
        </w:rPr>
      </w:pPr>
    </w:p>
    <w:p>
      <w:pPr>
        <w:jc w:val="both"/>
        <w:ind w:firstLine="510"/>
        <w:spacing w:after="0" w:line="386" w:lineRule="auto"/>
        <w:tabs>
          <w:tab w:leader="none" w:pos="1005" w:val="left"/>
        </w:tabs>
        <w:numPr>
          <w:ilvl w:val="1"/>
          <w:numId w:val="36"/>
        </w:numPr>
        <w:rPr>
          <w:rFonts w:ascii="Arial" w:cs="Arial" w:eastAsia="Arial" w:hAnsi="Arial"/>
          <w:sz w:val="21"/>
          <w:szCs w:val="21"/>
          <w:color w:val="auto"/>
        </w:rPr>
      </w:pPr>
      <w:r>
        <w:rPr>
          <w:rFonts w:ascii="Arial" w:cs="Arial" w:eastAsia="Arial" w:hAnsi="Arial"/>
          <w:sz w:val="21"/>
          <w:szCs w:val="21"/>
          <w:color w:val="auto"/>
        </w:rPr>
        <w:t>If an Optionee who is an employee of the Company or of a direct or indirect subsidiary of the Company retires at an Early Retirement Date (as defined below), without the Optionee having fully exercised any Option granted to him or her, the Optionee shall have the right to exercise the unexercised portion of any Option theretofore granted, but only to the extent said Option was then exercisable in accordance with the schedule set forth in Section 3</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42" w:lineRule="exact"/>
        <w:rPr>
          <w:sz w:val="20"/>
          <w:szCs w:val="20"/>
          <w:color w:val="auto"/>
        </w:rPr>
      </w:pPr>
    </w:p>
    <w:p>
      <w:pPr>
        <w:jc w:val="both"/>
        <w:spacing w:after="0" w:line="355" w:lineRule="auto"/>
        <w:rPr>
          <w:sz w:val="20"/>
          <w:szCs w:val="20"/>
          <w:color w:val="auto"/>
        </w:rPr>
      </w:pPr>
      <w:r>
        <w:rPr>
          <w:rFonts w:ascii="Arial" w:cs="Arial" w:eastAsia="Arial" w:hAnsi="Arial"/>
          <w:sz w:val="22"/>
          <w:szCs w:val="22"/>
          <w:color w:val="auto"/>
        </w:rPr>
        <w:t>of this Agreement, for a period of not more than three (3) months after the date of early retirement (but in no event shall the exercise period extend beyond the day preceding the seventh anniversary of the date of grant of the Option). Thereafter, the Option, to the extent not exercised during such three-month period shall be deemed to have expired, regardless of the expiration date otherwise specified in Section 3 hereof.</w:t>
      </w:r>
    </w:p>
    <w:p>
      <w:pPr>
        <w:spacing w:after="0" w:line="2" w:lineRule="exact"/>
        <w:rPr>
          <w:sz w:val="20"/>
          <w:szCs w:val="20"/>
          <w:color w:val="auto"/>
        </w:rPr>
      </w:pPr>
    </w:p>
    <w:p>
      <w:pPr>
        <w:jc w:val="both"/>
        <w:ind w:firstLine="538"/>
        <w:spacing w:after="0" w:line="413" w:lineRule="auto"/>
        <w:tabs>
          <w:tab w:leader="none" w:pos="1035" w:val="left"/>
        </w:tabs>
        <w:numPr>
          <w:ilvl w:val="0"/>
          <w:numId w:val="37"/>
        </w:numPr>
        <w:rPr>
          <w:rFonts w:ascii="Arial" w:cs="Arial" w:eastAsia="Arial" w:hAnsi="Arial"/>
          <w:sz w:val="19"/>
          <w:szCs w:val="19"/>
          <w:color w:val="auto"/>
        </w:rPr>
      </w:pPr>
      <w:r>
        <w:rPr>
          <w:rFonts w:ascii="Arial" w:cs="Arial" w:eastAsia="Arial" w:hAnsi="Arial"/>
          <w:sz w:val="19"/>
          <w:szCs w:val="19"/>
          <w:color w:val="auto"/>
        </w:rPr>
        <w:t>If an Optionee ceases to be employed by the Company or by a direct or indirect subsidiary of the Company for any reason other than the reasons set forth in subsections (a), (b) and (d) of this Section 5, he or she shall have the right to exercise the unexercised portion of any Option theretofore granted to Optionee, but only to the extent said Option was then exercisable in accordance with the schedule set forth in Section 3 of this Agreement as of the date of termination, for a period of not more than three (3) months after any such termination (but not, in any event, later than the day preceding the seventh anniversary date of the grant of such Option). Thereafter, such Option, to the extent not so exercised during such three-month period, shall be deemed to have expired, regardless of the expiration date otherwise specified in Section 3 hereof.</w:t>
      </w:r>
    </w:p>
    <w:p>
      <w:pPr>
        <w:ind w:left="220"/>
        <w:spacing w:after="0"/>
        <w:rPr>
          <w:rFonts w:ascii="Arial" w:cs="Arial" w:eastAsia="Arial" w:hAnsi="Arial"/>
          <w:sz w:val="19"/>
          <w:szCs w:val="19"/>
          <w:color w:val="auto"/>
        </w:rPr>
      </w:pPr>
      <w:r>
        <w:rPr>
          <w:rFonts w:ascii="Arial" w:cs="Arial" w:eastAsia="Arial" w:hAnsi="Arial"/>
          <w:sz w:val="22"/>
          <w:szCs w:val="22"/>
          <w:color w:val="auto"/>
        </w:rPr>
        <w:t>For purposes of subsections (a) and (b) above:</w:t>
      </w:r>
    </w:p>
    <w:p>
      <w:pPr>
        <w:spacing w:after="0" w:line="125" w:lineRule="exact"/>
        <w:rPr>
          <w:rFonts w:ascii="Arial" w:cs="Arial" w:eastAsia="Arial" w:hAnsi="Arial"/>
          <w:sz w:val="19"/>
          <w:szCs w:val="19"/>
          <w:color w:val="auto"/>
        </w:rPr>
      </w:pPr>
    </w:p>
    <w:p>
      <w:pPr>
        <w:ind w:left="660"/>
        <w:spacing w:after="0" w:line="358" w:lineRule="auto"/>
        <w:rPr>
          <w:rFonts w:ascii="Arial" w:cs="Arial" w:eastAsia="Arial" w:hAnsi="Arial"/>
          <w:sz w:val="19"/>
          <w:szCs w:val="19"/>
          <w:color w:val="auto"/>
        </w:rPr>
      </w:pPr>
      <w:r>
        <w:rPr>
          <w:rFonts w:ascii="Arial" w:cs="Arial" w:eastAsia="Arial" w:hAnsi="Arial"/>
          <w:sz w:val="22"/>
          <w:szCs w:val="22"/>
          <w:color w:val="auto"/>
        </w:rPr>
        <w:t>* A year of "Credited Service" shall mean a calendar year in which the Optionee is paid for at least 1,000 hours of employment with the Company or of a subsidiary of the Company.</w:t>
      </w:r>
    </w:p>
    <w:p>
      <w:pPr>
        <w:spacing w:after="0" w:line="1" w:lineRule="exact"/>
        <w:rPr>
          <w:rFonts w:ascii="Arial" w:cs="Arial" w:eastAsia="Arial" w:hAnsi="Arial"/>
          <w:sz w:val="19"/>
          <w:szCs w:val="19"/>
          <w:color w:val="auto"/>
        </w:rPr>
      </w:pPr>
    </w:p>
    <w:p>
      <w:pPr>
        <w:jc w:val="both"/>
        <w:ind w:left="660"/>
        <w:spacing w:after="0" w:line="356" w:lineRule="auto"/>
        <w:rPr>
          <w:rFonts w:ascii="Arial" w:cs="Arial" w:eastAsia="Arial" w:hAnsi="Arial"/>
          <w:sz w:val="19"/>
          <w:szCs w:val="19"/>
          <w:color w:val="auto"/>
        </w:rPr>
      </w:pPr>
      <w:r>
        <w:rPr>
          <w:rFonts w:ascii="Arial" w:cs="Arial" w:eastAsia="Arial" w:hAnsi="Arial"/>
          <w:sz w:val="22"/>
          <w:szCs w:val="22"/>
          <w:color w:val="auto"/>
        </w:rPr>
        <w:t>* "Early Retirement Date" shall mean: the day on which an Optionee who has attained age fifty-five (55), but has not reached age sixty-five (65), with ten (l0) or more years of Credited Service, retires. An Optionee is eligible for early retirement on the first day of the calendar month coincidental with or immediately following the attainment of age fifty-five (55) and the completion of ten (l0) years of Credited Service, and "early retirement" shall mean retirement by an eligible Optionee at the Early Retirement Date.</w:t>
      </w:r>
    </w:p>
    <w:p>
      <w:pPr>
        <w:ind w:left="660"/>
        <w:spacing w:after="0"/>
        <w:rPr>
          <w:rFonts w:ascii="Arial" w:cs="Arial" w:eastAsia="Arial" w:hAnsi="Arial"/>
          <w:sz w:val="19"/>
          <w:szCs w:val="19"/>
          <w:color w:val="auto"/>
        </w:rPr>
      </w:pPr>
      <w:r>
        <w:rPr>
          <w:rFonts w:ascii="Arial" w:cs="Arial" w:eastAsia="Arial" w:hAnsi="Arial"/>
          <w:sz w:val="19"/>
          <w:szCs w:val="19"/>
          <w:color w:val="auto"/>
        </w:rPr>
        <w:t>*   "Normal Retirement Date" shall mean: the day on which an Optionee who has attained age sixty-five (65) with five</w:t>
      </w:r>
    </w:p>
    <w:p>
      <w:pPr>
        <w:spacing w:after="0" w:line="159" w:lineRule="exact"/>
        <w:rPr>
          <w:rFonts w:ascii="Arial" w:cs="Arial" w:eastAsia="Arial" w:hAnsi="Arial"/>
          <w:sz w:val="19"/>
          <w:szCs w:val="19"/>
          <w:color w:val="auto"/>
        </w:rPr>
      </w:pPr>
    </w:p>
    <w:p>
      <w:pPr>
        <w:jc w:val="both"/>
        <w:ind w:left="660" w:hanging="4"/>
        <w:spacing w:after="0" w:line="361" w:lineRule="auto"/>
        <w:tabs>
          <w:tab w:leader="none" w:pos="1004" w:val="left"/>
        </w:tabs>
        <w:numPr>
          <w:ilvl w:val="1"/>
          <w:numId w:val="37"/>
        </w:numPr>
        <w:rPr>
          <w:rFonts w:ascii="Arial" w:cs="Arial" w:eastAsia="Arial" w:hAnsi="Arial"/>
          <w:sz w:val="22"/>
          <w:szCs w:val="22"/>
          <w:color w:val="auto"/>
        </w:rPr>
      </w:pPr>
      <w:r>
        <w:rPr>
          <w:rFonts w:ascii="Arial" w:cs="Arial" w:eastAsia="Arial" w:hAnsi="Arial"/>
          <w:sz w:val="22"/>
          <w:szCs w:val="22"/>
          <w:color w:val="auto"/>
        </w:rPr>
        <w:t>or more years of Credited Service, retires. An Optionee is eligible for normal retirement on the first day of the calendar month coincident with or immediately following the Optionee's attainment of age sixty-five (65) and completion of five (5) or more years of Credited Service, and "normal retirement" shall mean the retirement by an eligible Optionee at the Normal Retirement Date.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59" w:name="page60"/>
    <w:bookmarkEnd w:id="59"/>
    <w:p>
      <w:pPr>
        <w:spacing w:after="0" w:line="42" w:lineRule="exact"/>
        <w:rPr>
          <w:sz w:val="20"/>
          <w:szCs w:val="20"/>
          <w:color w:val="auto"/>
        </w:rPr>
      </w:pPr>
    </w:p>
    <w:p>
      <w:pPr>
        <w:jc w:val="both"/>
        <w:ind w:left="660" w:hanging="4"/>
        <w:spacing w:after="0" w:line="355" w:lineRule="auto"/>
        <w:tabs>
          <w:tab w:leader="none" w:pos="999" w:val="left"/>
        </w:tabs>
        <w:numPr>
          <w:ilvl w:val="3"/>
          <w:numId w:val="38"/>
        </w:numPr>
        <w:rPr>
          <w:rFonts w:ascii="Arial" w:cs="Arial" w:eastAsia="Arial" w:hAnsi="Arial"/>
          <w:sz w:val="22"/>
          <w:szCs w:val="22"/>
          <w:color w:val="auto"/>
        </w:rPr>
      </w:pPr>
      <w:r>
        <w:rPr>
          <w:rFonts w:ascii="Arial" w:cs="Arial" w:eastAsia="Arial" w:hAnsi="Arial"/>
          <w:sz w:val="22"/>
          <w:szCs w:val="22"/>
          <w:color w:val="auto"/>
        </w:rPr>
        <w:t>"permanent physical or mental disability" shall mean: an Optionee's inability to perform his or her job or any position which the Optionee can reasonably perform with his or her background and training by reason of any medically determinable physical or mental impairment which can be expected to result in death or to be of long, continued and indefinite duration.</w:t>
      </w:r>
    </w:p>
    <w:p>
      <w:pPr>
        <w:spacing w:after="0" w:line="1" w:lineRule="exact"/>
        <w:rPr>
          <w:rFonts w:ascii="Arial" w:cs="Arial" w:eastAsia="Arial" w:hAnsi="Arial"/>
          <w:sz w:val="22"/>
          <w:szCs w:val="22"/>
          <w:color w:val="auto"/>
        </w:rPr>
      </w:pPr>
    </w:p>
    <w:p>
      <w:pPr>
        <w:jc w:val="both"/>
        <w:ind w:firstLine="915"/>
        <w:spacing w:after="0" w:line="413" w:lineRule="auto"/>
        <w:tabs>
          <w:tab w:leader="none" w:pos="1224" w:val="left"/>
        </w:tabs>
        <w:numPr>
          <w:ilvl w:val="4"/>
          <w:numId w:val="38"/>
        </w:numPr>
        <w:rPr>
          <w:rFonts w:ascii="Arial" w:cs="Arial" w:eastAsia="Arial" w:hAnsi="Arial"/>
          <w:sz w:val="19"/>
          <w:szCs w:val="19"/>
          <w:color w:val="auto"/>
        </w:rPr>
      </w:pPr>
      <w:r>
        <w:rPr>
          <w:rFonts w:ascii="Arial" w:cs="Arial" w:eastAsia="Arial" w:hAnsi="Arial"/>
          <w:sz w:val="19"/>
          <w:szCs w:val="19"/>
          <w:color w:val="auto"/>
        </w:rPr>
        <w:t>Notwithstanding the foregoing, the Optionee acknowledges and agrees that this Option, and any and all rights the Optionee may have hereunder, including any rights with respect to any portion of this Option which may have vested in accordance with the Schedule set forth in Section 3 above, shall terminate immediately upon a termination of the Optionee’s employment with the Company for cause or for any such other reason that casts such discredit on the Optionee as to make termination of the Option appropriate. Whether an Optionee has been terminated for cause or for such other reason that casts such discredit on the Optionee as to make termination of the Option appropriate will be determined by the Administrator in its sole discretion, and in making this determination the Administrator will not be limited by any definition of “Cause” which appears in the Plan. The Optionee’s agreement to the terms in this Section 5(d) are a material condition to the grant of this Option and this Option would not be granted to the Optionee if the Optionee did not agree to such terms.</w:t>
      </w:r>
    </w:p>
    <w:p>
      <w:pPr>
        <w:spacing w:after="0" w:line="4" w:lineRule="exact"/>
        <w:rPr>
          <w:rFonts w:ascii="Arial" w:cs="Arial" w:eastAsia="Arial" w:hAnsi="Arial"/>
          <w:sz w:val="19"/>
          <w:szCs w:val="19"/>
          <w:color w:val="auto"/>
        </w:rPr>
      </w:pPr>
    </w:p>
    <w:p>
      <w:pPr>
        <w:ind w:left="600" w:hanging="376"/>
        <w:spacing w:after="0"/>
        <w:tabs>
          <w:tab w:leader="none" w:pos="6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adjustment provisions set forth in Section 8 of the Plan shall apply to this Option.</w:t>
      </w:r>
    </w:p>
    <w:p>
      <w:pPr>
        <w:spacing w:after="0" w:line="125" w:lineRule="exact"/>
        <w:rPr>
          <w:rFonts w:ascii="Arial" w:cs="Arial" w:eastAsia="Arial" w:hAnsi="Arial"/>
          <w:sz w:val="22"/>
          <w:szCs w:val="22"/>
          <w:color w:val="auto"/>
        </w:rPr>
      </w:pPr>
    </w:p>
    <w:p>
      <w:pPr>
        <w:jc w:val="both"/>
        <w:ind w:firstLine="233"/>
        <w:spacing w:after="0" w:line="411" w:lineRule="auto"/>
        <w:tabs>
          <w:tab w:leader="none" w:pos="60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This Option shall not be transferable by the Optionee, in whole or in part, except in accordance with Section 7 of the Plan, and shall be exercisable only as hereinbefore provided. Any purported assignment, transfer, pledge, hypothecation or other disposition of the Option or any interest therein contrary to the provisions of the Plan, and the levy of any execution to, or the attachment or similar process upon, the Option or any interest therein, shall be null and void and without effect.</w:t>
      </w:r>
    </w:p>
    <w:p>
      <w:pPr>
        <w:spacing w:after="0" w:line="1" w:lineRule="exact"/>
        <w:rPr>
          <w:rFonts w:ascii="Arial" w:cs="Arial" w:eastAsia="Arial" w:hAnsi="Arial"/>
          <w:sz w:val="19"/>
          <w:szCs w:val="19"/>
          <w:color w:val="auto"/>
        </w:rPr>
      </w:pPr>
    </w:p>
    <w:p>
      <w:pPr>
        <w:jc w:val="both"/>
        <w:ind w:firstLine="245"/>
        <w:spacing w:after="0" w:line="354" w:lineRule="auto"/>
        <w:tabs>
          <w:tab w:leader="none" w:pos="636" w:val="left"/>
        </w:tabs>
        <w:numPr>
          <w:ilvl w:val="1"/>
          <w:numId w:val="39"/>
        </w:numPr>
        <w:rPr>
          <w:rFonts w:ascii="Arial" w:cs="Arial" w:eastAsia="Arial" w:hAnsi="Arial"/>
          <w:sz w:val="22"/>
          <w:szCs w:val="22"/>
          <w:color w:val="auto"/>
        </w:rPr>
      </w:pPr>
      <w:r>
        <w:rPr>
          <w:rFonts w:ascii="Arial" w:cs="Arial" w:eastAsia="Arial" w:hAnsi="Arial"/>
          <w:sz w:val="22"/>
          <w:szCs w:val="22"/>
          <w:color w:val="auto"/>
        </w:rPr>
        <w:t>Subject to the applicable provisions of the Plan, and particularly to Section 7 of the Plan, this Agreement shall be binding upon and shall inure to the benefit of Optionee, Optionee's successors and permitted assigns, and the Company and its successors and assigns.</w:t>
      </w:r>
    </w:p>
    <w:p>
      <w:pPr>
        <w:spacing w:after="0" w:line="1" w:lineRule="exact"/>
        <w:rPr>
          <w:rFonts w:ascii="Arial" w:cs="Arial" w:eastAsia="Arial" w:hAnsi="Arial"/>
          <w:sz w:val="22"/>
          <w:szCs w:val="22"/>
          <w:color w:val="auto"/>
        </w:rPr>
      </w:pPr>
    </w:p>
    <w:p>
      <w:pPr>
        <w:ind w:firstLine="281"/>
        <w:spacing w:after="0" w:line="379" w:lineRule="auto"/>
        <w:tabs>
          <w:tab w:leader="none" w:pos="709" w:val="left"/>
        </w:tabs>
        <w:numPr>
          <w:ilvl w:val="2"/>
          <w:numId w:val="39"/>
        </w:numPr>
        <w:rPr>
          <w:rFonts w:ascii="Arial" w:cs="Arial" w:eastAsia="Arial" w:hAnsi="Arial"/>
          <w:sz w:val="22"/>
          <w:szCs w:val="22"/>
          <w:color w:val="auto"/>
        </w:rPr>
      </w:pPr>
      <w:r>
        <w:rPr>
          <w:rFonts w:ascii="Arial" w:cs="Arial" w:eastAsia="Arial" w:hAnsi="Arial"/>
          <w:sz w:val="22"/>
          <w:szCs w:val="22"/>
          <w:color w:val="auto"/>
        </w:rPr>
        <w:t>In connection with a Change in Control the Option will be treated in the manner set forth in the Plan, as such Plan has been amended by the Company’s shareholders through the date of such Change in Control.</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60" w:name="page61"/>
    <w:bookmarkEnd w:id="60"/>
    <w:p>
      <w:pPr>
        <w:spacing w:after="0" w:line="42" w:lineRule="exact"/>
        <w:rPr>
          <w:sz w:val="20"/>
          <w:szCs w:val="20"/>
          <w:color w:val="auto"/>
        </w:rPr>
      </w:pPr>
    </w:p>
    <w:p>
      <w:pPr>
        <w:ind w:firstLine="274"/>
        <w:spacing w:after="0" w:line="358" w:lineRule="auto"/>
        <w:tabs>
          <w:tab w:leader="none" w:pos="798"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This Agreement shall be construed and enforced in accordance with the internal laws of the State of Rhode Island and Providence Plantations and applicable Federal law.</w:t>
      </w:r>
    </w:p>
    <w:p>
      <w:pPr>
        <w:spacing w:after="0" w:line="1" w:lineRule="exact"/>
        <w:rPr>
          <w:rFonts w:ascii="Arial" w:cs="Arial" w:eastAsia="Arial" w:hAnsi="Arial"/>
          <w:sz w:val="22"/>
          <w:szCs w:val="22"/>
          <w:color w:val="auto"/>
        </w:rPr>
      </w:pPr>
    </w:p>
    <w:p>
      <w:pPr>
        <w:jc w:val="both"/>
        <w:ind w:firstLine="284"/>
        <w:spacing w:after="0" w:line="419" w:lineRule="auto"/>
        <w:tabs>
          <w:tab w:leader="none" w:pos="815" w:val="left"/>
        </w:tabs>
        <w:numPr>
          <w:ilvl w:val="0"/>
          <w:numId w:val="40"/>
        </w:numPr>
        <w:rPr>
          <w:rFonts w:ascii="Arial" w:cs="Arial" w:eastAsia="Arial" w:hAnsi="Arial"/>
          <w:sz w:val="19"/>
          <w:szCs w:val="19"/>
          <w:color w:val="auto"/>
        </w:rPr>
      </w:pPr>
      <w:r>
        <w:rPr>
          <w:rFonts w:ascii="Arial" w:cs="Arial" w:eastAsia="Arial" w:hAnsi="Arial"/>
          <w:sz w:val="19"/>
          <w:szCs w:val="19"/>
          <w:color w:val="auto"/>
        </w:rPr>
        <w:t>Notwithstanding any other terms and conditions of the Plan or this Agreement, unless there is an available exemption from any registration, qualification or other legal requirement applicable to the issuance of this Option or shares of Common Stock the Optionee may become entitled to under this Option in the future, the Company shall not be required to deliver any such securities prior to the completion of any registration or qualification of any such securities under any non-U.S. securities, exchange control or other law, or under the rulings or regulations of any governmental regulatory body, or prior to obtaining any approval or other clearance from any governmental agency, which registration, qualification or approval the Company shall, in its absolute discretion, deem necessary or advisable. The Optionee understands that the Company is under no obligation to register or qualify any such securities with any non-U.S. securities commission or to seek approval or clearance from any governmental authority for the issuance or sale of any such securities. Further, the Optionee agrees that his or her participation in the trade and acceptance of such securities is voluntary and that the Company shall have unilateral authority to amend the Plan and the Agreement without the Optionee's consent to the extent necessary to comply with securities or other laws applicable to issuance of any such securities.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258"/>
        <w:spacing w:after="0" w:line="361" w:lineRule="auto"/>
        <w:rPr>
          <w:sz w:val="20"/>
          <w:szCs w:val="20"/>
          <w:color w:val="auto"/>
        </w:rPr>
      </w:pPr>
      <w:r>
        <w:rPr>
          <w:rFonts w:ascii="Arial" w:cs="Arial" w:eastAsia="Arial" w:hAnsi="Arial"/>
          <w:sz w:val="22"/>
          <w:szCs w:val="22"/>
          <w:color w:val="auto"/>
        </w:rPr>
        <w:t>IN WITNESS WHEREOF, the Company and the Optionee have entered into this Agreement effective as of the day and year first above written. By accepting the terms of the award represented by this Agreement through an electronic form offered by the Company, or the Company’s designee, the Optionee hereby agrees to the terms of this Agreement with the same effect as if the Optionee had signed this Agreement.</w:t>
      </w: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HASBRO, INC.</w:t>
      </w:r>
    </w:p>
    <w:p>
      <w:pPr>
        <w:spacing w:after="0" w:line="3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Chris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8724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872490" cy="8890"/>
                    </a:xfrm>
                    <a:prstGeom prst="rect">
                      <a:avLst/>
                    </a:prstGeom>
                    <a:noFill/>
                  </pic:spPr>
                </pic:pic>
              </a:graphicData>
            </a:graphic>
          </wp:anchor>
        </w:drawing>
      </w:r>
    </w:p>
    <w:p>
      <w:pPr>
        <w:ind w:left="280"/>
        <w:spacing w:after="0" w:line="204" w:lineRule="auto"/>
        <w:rPr>
          <w:sz w:val="20"/>
          <w:szCs w:val="20"/>
          <w:color w:val="auto"/>
        </w:rPr>
      </w:pPr>
      <w:r>
        <w:rPr>
          <w:rFonts w:ascii="Arial" w:cs="Arial" w:eastAsia="Arial" w:hAnsi="Arial"/>
          <w:sz w:val="22"/>
          <w:szCs w:val="22"/>
          <w:color w:val="auto"/>
        </w:rPr>
        <w:t>Chris Cocks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Executive Vice President and Chief Executive Officer</w:t>
      </w:r>
    </w:p>
    <w:p>
      <w:pPr>
        <w:spacing w:after="0" w:line="200" w:lineRule="exact"/>
        <w:rPr>
          <w:sz w:val="20"/>
          <w:szCs w:val="20"/>
          <w:color w:val="auto"/>
        </w:rPr>
      </w:pPr>
    </w:p>
    <w:p>
      <w:pPr>
        <w:spacing w:after="0" w:line="21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By: _____________</w:t>
      </w:r>
    </w:p>
    <w:p>
      <w:pPr>
        <w:ind w:left="1080"/>
        <w:spacing w:after="0"/>
        <w:rPr>
          <w:sz w:val="20"/>
          <w:szCs w:val="20"/>
          <w:color w:val="auto"/>
        </w:rPr>
      </w:pPr>
      <w:r>
        <w:rPr>
          <w:rFonts w:ascii="Arial" w:cs="Arial" w:eastAsia="Arial" w:hAnsi="Arial"/>
          <w:sz w:val="22"/>
          <w:szCs w:val="22"/>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HASBRO, INC.</w:t>
      </w:r>
    </w:p>
    <w:p>
      <w:pPr>
        <w:jc w:val="center"/>
        <w:spacing w:after="0"/>
        <w:rPr>
          <w:sz w:val="20"/>
          <w:szCs w:val="20"/>
          <w:color w:val="auto"/>
        </w:rPr>
      </w:pPr>
      <w:r>
        <w:rPr>
          <w:rFonts w:ascii="Arial" w:cs="Arial" w:eastAsia="Arial" w:hAnsi="Arial"/>
          <w:sz w:val="22"/>
          <w:szCs w:val="22"/>
          <w:b w:val="1"/>
          <w:bCs w:val="1"/>
          <w:color w:val="auto"/>
        </w:rPr>
        <w:t>RESTATED 2003 STOCK INCENTIVE PERFORMANCE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9"/>
          <w:szCs w:val="19"/>
          <w:color w:val="auto"/>
        </w:rPr>
        <w:t>This RESTRICTED STOCK UNIT, which is entered into effective as of ____________ _____, 2023 (the “Grant Date”), is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made by and between ______________________ (the “Participant”) and Hasbro, Inc. (the “Company”).</w:t>
      </w:r>
    </w:p>
    <w:p>
      <w:pPr>
        <w:spacing w:after="0" w:line="188" w:lineRule="exact"/>
        <w:rPr>
          <w:sz w:val="20"/>
          <w:szCs w:val="20"/>
          <w:color w:val="auto"/>
        </w:rPr>
      </w:pPr>
    </w:p>
    <w:p>
      <w:pPr>
        <w:ind w:firstLine="334"/>
        <w:spacing w:after="0" w:line="232" w:lineRule="auto"/>
        <w:rPr>
          <w:sz w:val="20"/>
          <w:szCs w:val="20"/>
          <w:color w:val="auto"/>
        </w:rPr>
      </w:pPr>
      <w:r>
        <w:rPr>
          <w:rFonts w:ascii="Arial" w:cs="Arial" w:eastAsia="Arial" w:hAnsi="Arial"/>
          <w:sz w:val="22"/>
          <w:szCs w:val="22"/>
          <w:color w:val="auto"/>
        </w:rPr>
        <w:t>WHEREAS, the Company maintains the Hasbro, Inc. Restated 2003 Stock Incentive Performance Plan, as amended (the “Plan”) and has selected the Participant to receive this RESTRICTED STOCK UNIT award.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NOW, THEREFORE, IT IS AGREED, by and between the Company and the Participant, as follows:</w:t>
      </w:r>
    </w:p>
    <w:p>
      <w:pPr>
        <w:spacing w:after="0" w:line="206" w:lineRule="exact"/>
        <w:rPr>
          <w:sz w:val="20"/>
          <w:szCs w:val="20"/>
          <w:color w:val="auto"/>
        </w:rPr>
      </w:pPr>
    </w:p>
    <w:p>
      <w:pPr>
        <w:ind w:left="660" w:right="720" w:hanging="652"/>
        <w:spacing w:after="0" w:line="232"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Terms of Agreement</w:t>
      </w:r>
      <w:r>
        <w:rPr>
          <w:rFonts w:ascii="Arial" w:cs="Arial" w:eastAsia="Arial" w:hAnsi="Arial"/>
          <w:sz w:val="22"/>
          <w:szCs w:val="22"/>
          <w:color w:val="auto"/>
        </w:rPr>
        <w:t>. The following are the terms and conditions of this RESTRICTED STOCK UNIT award (the “Agreement”):</w:t>
      </w:r>
    </w:p>
    <w:p>
      <w:pPr>
        <w:spacing w:after="0" w:line="185" w:lineRule="exact"/>
        <w:rPr>
          <w:rFonts w:ascii="Arial" w:cs="Arial" w:eastAsia="Arial" w:hAnsi="Arial"/>
          <w:sz w:val="22"/>
          <w:szCs w:val="22"/>
          <w:color w:val="auto"/>
        </w:rPr>
      </w:pPr>
    </w:p>
    <w:p>
      <w:pPr>
        <w:ind w:firstLine="656"/>
        <w:spacing w:after="0" w:line="232" w:lineRule="auto"/>
        <w:tabs>
          <w:tab w:leader="none" w:pos="1290"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Participant is hereby granted _________ Stock Units, subject to and conditioned upon the terms and conditions of this Agreement as set forth herein.</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“Vesting Schedule” for Stock Units subject to this Agreement is as follows:</w:t>
      </w:r>
    </w:p>
    <w:p>
      <w:pPr>
        <w:spacing w:after="0" w:line="248" w:lineRule="exact"/>
        <w:rPr>
          <w:sz w:val="20"/>
          <w:szCs w:val="20"/>
          <w:color w:val="auto"/>
        </w:rPr>
      </w:pPr>
    </w:p>
    <w:tbl>
      <w:tblPr>
        <w:tblLayout w:type="fixed"/>
        <w:tblInd w:w="1670" w:type="dxa"/>
        <w:tblCellMar>
          <w:top w:w="0" w:type="dxa"/>
          <w:left w:w="0" w:type="dxa"/>
          <w:bottom w:w="0" w:type="dxa"/>
          <w:right w:w="0" w:type="dxa"/>
        </w:tblCellMar>
      </w:tblPr>
      <w:tr>
        <w:trPr>
          <w:trHeight w:val="270"/>
        </w:trPr>
        <w:tc>
          <w:tcPr>
            <w:tcW w:w="3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Vest Schedule – Share Units (RSU)</w:t>
            </w:r>
          </w:p>
        </w:tc>
        <w:tc>
          <w:tcPr>
            <w:tcW w:w="1800" w:type="dxa"/>
            <w:vAlign w:val="bottom"/>
            <w:tcBorders>
              <w:top w:val="single" w:sz="8" w:color="auto"/>
              <w:bottom w:val="single" w:sz="8" w:color="auto"/>
              <w:right w:val="single" w:sz="8" w:color="auto"/>
            </w:tcBorders>
          </w:tcPr>
          <w:p>
            <w:pPr>
              <w:spacing w:after="0"/>
              <w:rPr>
                <w:sz w:val="23"/>
                <w:szCs w:val="23"/>
                <w:color w:val="auto"/>
              </w:rPr>
            </w:pPr>
          </w:p>
        </w:tc>
      </w:tr>
      <w:tr>
        <w:trPr>
          <w:trHeight w:val="250"/>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Vest Date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Vest Quantity</w:t>
            </w:r>
          </w:p>
        </w:tc>
      </w:tr>
      <w:tr>
        <w:trPr>
          <w:trHeight w:val="245"/>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D-MM-2024</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___</w:t>
            </w:r>
          </w:p>
        </w:tc>
      </w:tr>
      <w:tr>
        <w:trPr>
          <w:trHeight w:val="250"/>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D-MM-2025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___</w:t>
            </w:r>
          </w:p>
        </w:tc>
      </w:tr>
      <w:tr>
        <w:trPr>
          <w:trHeight w:val="250"/>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D-MM-2026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___</w:t>
            </w:r>
          </w:p>
        </w:tc>
      </w:tr>
      <w:tr>
        <w:trPr>
          <w:trHeight w:val="250"/>
        </w:trPr>
        <w:tc>
          <w:tcPr>
            <w:tcW w:w="3700" w:type="dxa"/>
            <w:vAlign w:val="bottom"/>
            <w:tcBorders>
              <w:left w:val="single" w:sz="8" w:color="auto"/>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___</w:t>
            </w:r>
          </w:p>
        </w:tc>
      </w:tr>
    </w:tbl>
    <w:p>
      <w:pPr>
        <w:spacing w:after="0" w:line="303" w:lineRule="exact"/>
        <w:rPr>
          <w:sz w:val="20"/>
          <w:szCs w:val="20"/>
          <w:color w:val="auto"/>
        </w:rPr>
      </w:pPr>
    </w:p>
    <w:p>
      <w:pPr>
        <w:jc w:val="both"/>
        <w:ind w:firstLine="656"/>
        <w:spacing w:after="0" w:line="223" w:lineRule="auto"/>
        <w:tabs>
          <w:tab w:leader="none" w:pos="1292" w:val="left"/>
        </w:tabs>
        <w:numPr>
          <w:ilvl w:val="0"/>
          <w:numId w:val="42"/>
        </w:numPr>
        <w:rPr>
          <w:rFonts w:ascii="Arial" w:cs="Arial" w:eastAsia="Arial" w:hAnsi="Arial"/>
          <w:sz w:val="22"/>
          <w:szCs w:val="22"/>
          <w:color w:val="auto"/>
        </w:rPr>
      </w:pPr>
      <w:r>
        <w:rPr>
          <w:rFonts w:ascii="Arial" w:cs="Arial" w:eastAsia="Arial" w:hAnsi="Arial"/>
          <w:sz w:val="22"/>
          <w:szCs w:val="22"/>
          <w:color w:val="auto"/>
        </w:rPr>
        <w:t>Stock Units are notional shares of the Company’s common stock, par value $.50 per share (“Common Stock”) granted under this Agreement and subject to the terms of this Agreement and the Plan, the provisions of which are incorporated herein as if set forth in full.</w:t>
      </w:r>
    </w:p>
    <w:p>
      <w:pPr>
        <w:spacing w:after="0" w:line="185" w:lineRule="exact"/>
        <w:rPr>
          <w:rFonts w:ascii="Arial" w:cs="Arial" w:eastAsia="Arial" w:hAnsi="Arial"/>
          <w:sz w:val="22"/>
          <w:szCs w:val="22"/>
          <w:color w:val="auto"/>
        </w:rPr>
      </w:pPr>
    </w:p>
    <w:p>
      <w:pPr>
        <w:jc w:val="both"/>
        <w:ind w:firstLine="656"/>
        <w:spacing w:after="0" w:line="244" w:lineRule="auto"/>
        <w:tabs>
          <w:tab w:leader="none" w:pos="129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the Participant is notified by the Company or its equity plan administrator that Participant is required to enter into a Non-Competition, Non-Solicitation and Confidentiality Agreement with the Company, this Agreement shall be contingent upon and subject to the Participant (i) executing and delivering to the Company a Non-Competition, Non-Solicitation and Confidentiality Agreement by and between the Participant and the Company, in a form prescribed by and no later than a date designated by the Company; or (ii) confirming and agreeing that Participant remains bound by and subject to the terms of Participant’s previously executed Non-Competition, Non-Solicitation and Confidentiality Agreement(s), which confirmation and agreement will occur upon your acceptance of this Agreement. For the avoidance of doubt, if the Participant has not executed and delivered to the Company a Non-Competition, Non-Solicitation and Confidentiality Agreement or confirmed and agreed (through acceptance of this Agreement) to the terms of the Participant’s existing Non-Competition, Non-Solicitation and Confidentiality Agreements no later than 90 days from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82" w:right="339" w:bottom="1440" w:gutter="0" w:footer="0" w:header="0"/>
        </w:sectPr>
      </w:pPr>
    </w:p>
    <w:bookmarkStart w:id="63" w:name="page64"/>
    <w:bookmarkEnd w:id="63"/>
    <w:p>
      <w:pPr>
        <w:jc w:val="both"/>
        <w:spacing w:after="0" w:line="223" w:lineRule="auto"/>
        <w:rPr>
          <w:sz w:val="20"/>
          <w:szCs w:val="20"/>
          <w:color w:val="auto"/>
        </w:rPr>
      </w:pPr>
      <w:r>
        <w:rPr>
          <w:rFonts w:ascii="Arial" w:cs="Arial" w:eastAsia="Arial" w:hAnsi="Arial"/>
          <w:sz w:val="22"/>
          <w:szCs w:val="22"/>
          <w:color w:val="auto"/>
        </w:rPr>
        <w:t>this Agreement and the grant of Stock Units represented by this Agreement will not take effect and will be null and void. The acknowledgements and agreements set forth in this section are material conditions to receiving this Agreement, which would not have been made to the Participant otherwise.</w:t>
      </w:r>
    </w:p>
    <w:p>
      <w:pPr>
        <w:spacing w:after="0" w:line="186" w:lineRule="exact"/>
        <w:rPr>
          <w:sz w:val="20"/>
          <w:szCs w:val="20"/>
          <w:color w:val="auto"/>
        </w:rPr>
      </w:pPr>
    </w:p>
    <w:p>
      <w:pPr>
        <w:jc w:val="both"/>
        <w:ind w:firstLine="656"/>
        <w:spacing w:after="0" w:line="246" w:lineRule="auto"/>
        <w:tabs>
          <w:tab w:leader="none" w:pos="1293" w:val="left"/>
        </w:tabs>
        <w:numPr>
          <w:ilvl w:val="1"/>
          <w:numId w:val="43"/>
        </w:numPr>
        <w:rPr>
          <w:rFonts w:ascii="Arial" w:cs="Arial" w:eastAsia="Arial" w:hAnsi="Arial"/>
          <w:sz w:val="19"/>
          <w:szCs w:val="19"/>
          <w:color w:val="auto"/>
        </w:rPr>
      </w:pPr>
      <w:r>
        <w:rPr>
          <w:rFonts w:ascii="Arial" w:cs="Arial" w:eastAsia="Arial" w:hAnsi="Arial"/>
          <w:sz w:val="19"/>
          <w:szCs w:val="19"/>
          <w:color w:val="auto"/>
        </w:rPr>
        <w:t>By accepting this Agreement, the Participant hereby acknowledges and agrees that this Agreement, any Stock Units or shares of Common Stock the Participant may become entitled to pursuant to this Agreement, any proceeds received upon the sale of any such shares of Common Stock, and any other incentive compensation the Company grants to the Participant, is subject to the Company’s Clawback Policy, as it may be amended from time to time by the Board in the future. Additionally, by accepting this Agreement, the Participant hereby acknowledges and agrees that if the Participant is or becomes subject to the Hasbro, Inc. Executive Stock Ownership Policy, then the Participant shall comply with the terms of such Stock Ownership Policy. The acknowledgements and agreements set forth in this section are material conditions to receiving this Agreement, which would not have been made to the Participant otherwise.</w:t>
      </w:r>
    </w:p>
    <w:p>
      <w:pPr>
        <w:spacing w:after="0" w:line="179" w:lineRule="exact"/>
        <w:rPr>
          <w:rFonts w:ascii="Arial" w:cs="Arial" w:eastAsia="Arial" w:hAnsi="Arial"/>
          <w:sz w:val="19"/>
          <w:szCs w:val="19"/>
          <w:color w:val="auto"/>
        </w:rPr>
      </w:pPr>
    </w:p>
    <w:p>
      <w:pPr>
        <w:jc w:val="both"/>
        <w:ind w:firstLine="656"/>
        <w:spacing w:after="0" w:line="224" w:lineRule="auto"/>
        <w:tabs>
          <w:tab w:leader="none" w:pos="1277" w:val="left"/>
        </w:tabs>
        <w:numPr>
          <w:ilvl w:val="1"/>
          <w:numId w:val="43"/>
        </w:numPr>
        <w:rPr>
          <w:rFonts w:ascii="Arial" w:cs="Arial" w:eastAsia="Arial" w:hAnsi="Arial"/>
          <w:sz w:val="21"/>
          <w:szCs w:val="21"/>
          <w:color w:val="auto"/>
        </w:rPr>
      </w:pPr>
      <w:r>
        <w:rPr>
          <w:rFonts w:ascii="Arial" w:cs="Arial" w:eastAsia="Arial" w:hAnsi="Arial"/>
          <w:sz w:val="21"/>
          <w:szCs w:val="21"/>
          <w:color w:val="auto"/>
        </w:rPr>
        <w:t>For record-keeping purposes only, the Company shall maintain an account with respect to this Agreement (a “Stock Unit Account”) for the Participant where Stock Units related to this award shall be accumulated and accounted for by the Company. Without limiting the provisions of Section 8(b) of the Plan, in the event the Company pays a stock dividend or reclassifies or divides or combines its outstanding Common Stock then an appropriate adjustment shall be made to the number of Stock Units subject to this Agreement. The Stock Unit Account will reflect notional fractional shares of Common Stock to the nearest hundredth of a share on a one Stock Unit for one share of Common Stock basis.</w:t>
      </w:r>
    </w:p>
    <w:p>
      <w:pPr>
        <w:spacing w:after="0" w:line="186" w:lineRule="exact"/>
        <w:rPr>
          <w:rFonts w:ascii="Arial" w:cs="Arial" w:eastAsia="Arial" w:hAnsi="Arial"/>
          <w:sz w:val="21"/>
          <w:szCs w:val="21"/>
          <w:color w:val="auto"/>
        </w:rPr>
      </w:pPr>
    </w:p>
    <w:p>
      <w:pPr>
        <w:ind w:left="1300" w:hanging="644"/>
        <w:spacing w:after="0"/>
        <w:tabs>
          <w:tab w:leader="none" w:pos="13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Other terms used in this Agreement are defined pursuant to Section 7 or elsewhere in this Agreement or the Plan.</w:t>
      </w:r>
    </w:p>
    <w:p>
      <w:pPr>
        <w:spacing w:after="0" w:line="240" w:lineRule="exact"/>
        <w:rPr>
          <w:rFonts w:ascii="Arial" w:cs="Arial" w:eastAsia="Arial" w:hAnsi="Arial"/>
          <w:sz w:val="19"/>
          <w:szCs w:val="19"/>
          <w:color w:val="auto"/>
        </w:rPr>
      </w:pPr>
    </w:p>
    <w:p>
      <w:pPr>
        <w:jc w:val="both"/>
        <w:ind w:firstLine="8"/>
        <w:spacing w:after="0" w:line="244" w:lineRule="auto"/>
        <w:tabs>
          <w:tab w:leader="none" w:pos="64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Dividends and Voting Rights</w:t>
      </w:r>
      <w:r>
        <w:rPr>
          <w:rFonts w:ascii="Arial" w:cs="Arial" w:eastAsia="Arial" w:hAnsi="Arial"/>
          <w:sz w:val="19"/>
          <w:szCs w:val="19"/>
          <w:color w:val="auto"/>
        </w:rPr>
        <w:t>. On the date that the Company pays a cash dividend to holders of Common Stock, unless otherwise determined by the Compensation Committee of the Company’s Board of Directors (the “Committee”) in its sole discretion, the Company shall credit each unvested Stock Unit with a dividend equivalent unit (“DEU”). DEUs will be calculated at the same dividend rate paid to other holders of shares of Common Stock and will equal the total number of unvested Stock Units multiplied by the dollar amount of the cash dividend paid per share of Common Stock by the Company on such date divided by the Fair Market Value (as defined in the Plan) of a share of Common Stock on such date. DEUs will be credited in whole shares only and any residual amount that cannot be converted to a whole share shall be aggregated with the immediately following dividend and used to calculate the DEUs attributable to such dividend, as described above. DEUs shall be subject to the same terms and conditions as the underlying Stock Units and will vest in accordance with the Vesting Schedule. The Participant shall not be entitled to any voting rights with respect to the Stock Units or DEUs prior to vesting.</w:t>
      </w:r>
    </w:p>
    <w:p>
      <w:pPr>
        <w:spacing w:after="0" w:line="181" w:lineRule="exact"/>
        <w:rPr>
          <w:rFonts w:ascii="Arial" w:cs="Arial" w:eastAsia="Arial" w:hAnsi="Arial"/>
          <w:sz w:val="19"/>
          <w:szCs w:val="19"/>
          <w:color w:val="auto"/>
        </w:rPr>
      </w:pPr>
    </w:p>
    <w:p>
      <w:pPr>
        <w:jc w:val="both"/>
        <w:ind w:firstLine="8"/>
        <w:spacing w:after="0" w:line="257" w:lineRule="auto"/>
        <w:tabs>
          <w:tab w:leader="none" w:pos="64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Vesting and Forfeiture of Units</w:t>
      </w:r>
      <w:r>
        <w:rPr>
          <w:rFonts w:ascii="Arial" w:cs="Arial" w:eastAsia="Arial" w:hAnsi="Arial"/>
          <w:sz w:val="19"/>
          <w:szCs w:val="19"/>
          <w:color w:val="auto"/>
        </w:rPr>
        <w:t>. Stock Units subject to this Agreement shall vest in accordance with the Vesting Schedule; provided, however, that the Participant remains employed by the Company through and including the last day of the applicable vesting date(s); and further provided, however, that Stock Units may vest earlier (either in whole or in part, as applicable) only in the situations and under the terms and conditions which are explicitly provided for in the following paragraphs.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1" w:right="339" w:bottom="1440" w:gutter="0" w:footer="0" w:header="0"/>
        </w:sectPr>
      </w:pPr>
    </w:p>
    <w:bookmarkStart w:id="64" w:name="page65"/>
    <w:bookmarkEnd w:id="64"/>
    <w:p>
      <w:pPr>
        <w:jc w:val="both"/>
        <w:ind w:firstLine="656"/>
        <w:spacing w:after="0" w:line="223" w:lineRule="auto"/>
        <w:tabs>
          <w:tab w:leader="none" w:pos="1290" w:val="left"/>
        </w:tabs>
        <w:numPr>
          <w:ilvl w:val="1"/>
          <w:numId w:val="45"/>
        </w:numPr>
        <w:rPr>
          <w:rFonts w:ascii="Arial" w:cs="Arial" w:eastAsia="Arial" w:hAnsi="Arial"/>
          <w:sz w:val="22"/>
          <w:szCs w:val="22"/>
          <w:color w:val="auto"/>
        </w:rPr>
      </w:pPr>
      <w:r>
        <w:rPr>
          <w:rFonts w:ascii="Arial" w:cs="Arial" w:eastAsia="Arial" w:hAnsi="Arial"/>
          <w:sz w:val="22"/>
          <w:szCs w:val="22"/>
          <w:color w:val="auto"/>
        </w:rPr>
        <w:t>Notwithstanding the Vesting Schedule, in connection with a Change in Control (as defined below), the Stock Units will be treated in the manner set forth in the Plan, as such Plan has been amended by the Company’s shareholders through the date of such Change in Control.</w:t>
      </w:r>
    </w:p>
    <w:p>
      <w:pPr>
        <w:spacing w:after="0" w:line="185" w:lineRule="exact"/>
        <w:rPr>
          <w:rFonts w:ascii="Arial" w:cs="Arial" w:eastAsia="Arial" w:hAnsi="Arial"/>
          <w:sz w:val="22"/>
          <w:szCs w:val="22"/>
          <w:color w:val="auto"/>
        </w:rPr>
      </w:pPr>
    </w:p>
    <w:p>
      <w:pPr>
        <w:jc w:val="both"/>
        <w:ind w:firstLine="656"/>
        <w:spacing w:after="0" w:line="219" w:lineRule="auto"/>
        <w:tabs>
          <w:tab w:leader="none" w:pos="1292" w:val="left"/>
        </w:tabs>
        <w:numPr>
          <w:ilvl w:val="1"/>
          <w:numId w:val="45"/>
        </w:numPr>
        <w:rPr>
          <w:rFonts w:ascii="Arial" w:cs="Arial" w:eastAsia="Arial" w:hAnsi="Arial"/>
          <w:sz w:val="21"/>
          <w:szCs w:val="21"/>
          <w:color w:val="auto"/>
        </w:rPr>
      </w:pPr>
      <w:r>
        <w:rPr>
          <w:rFonts w:ascii="Arial" w:cs="Arial" w:eastAsia="Arial" w:hAnsi="Arial"/>
          <w:sz w:val="21"/>
          <w:szCs w:val="21"/>
          <w:color w:val="auto"/>
        </w:rPr>
        <w:t>Notwithstanding the Vesting Schedule, if the Participant terminates employment with the Company prior to the end of the Vesting Schedule due to (i) the Participant’s Retirement (as defined below); or (ii) after the one-year anniversary of the Participant’s hire date, the Participant’s death or Disability (as defined below), the Participant will be entitled, as of such Participant’s Date of Termination, to a pro-rata portion of unvested Stock Units subject to this Award calculated by multiplying the total number of unvested Stock Units subject to this Award by a fraction, the numerator of which is the number of days from the Grant Date or, if later, the most recent vesting date set forth in the Vesting Schedule that immediately precedes the Participant’s Date of Termination, through and including the Participant’s Date of Termination and the denominator of which is the number of days from the Grant Date or, if later, the most recent vesting date set forth in the Vesting Schedule that immediately precedes the Participant’s Date of Termination through and including the last vesting date in the Vesting Schedule. The Participant will forfeit any unvested Stock Units subject to this Award which do not vest in accordance with the provisions of this paragraph.</w:t>
      </w:r>
    </w:p>
    <w:p>
      <w:pPr>
        <w:spacing w:after="0" w:line="195" w:lineRule="exact"/>
        <w:rPr>
          <w:rFonts w:ascii="Arial" w:cs="Arial" w:eastAsia="Arial" w:hAnsi="Arial"/>
          <w:sz w:val="21"/>
          <w:szCs w:val="21"/>
          <w:color w:val="auto"/>
        </w:rPr>
      </w:pPr>
    </w:p>
    <w:p>
      <w:pPr>
        <w:jc w:val="both"/>
        <w:ind w:firstLine="656"/>
        <w:spacing w:after="0" w:line="212" w:lineRule="auto"/>
        <w:tabs>
          <w:tab w:leader="none" w:pos="1292"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the Participant’s Date of Termination occurs prior to the end of the Vesting Schedule for any reason other than the reasons set forth in the preceding section, including, without limitation, if the Participant’s employment is terminated by the Company for cause or for such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then all unvested Stock Units subject to this Agreement shall be forfeited, effective as of the Participant’s Date of Termination, and the Participant shall not be entitled to any rights or benefits of this Agreement.</w:t>
      </w:r>
    </w:p>
    <w:p>
      <w:pPr>
        <w:spacing w:after="0" w:line="190" w:lineRule="exact"/>
        <w:rPr>
          <w:rFonts w:ascii="Arial" w:cs="Arial" w:eastAsia="Arial" w:hAnsi="Arial"/>
          <w:sz w:val="22"/>
          <w:szCs w:val="22"/>
          <w:color w:val="auto"/>
        </w:rPr>
      </w:pPr>
    </w:p>
    <w:p>
      <w:pPr>
        <w:ind w:right="20" w:firstLine="656"/>
        <w:spacing w:after="0" w:line="232" w:lineRule="auto"/>
        <w:tabs>
          <w:tab w:leader="none" w:pos="1290" w:val="left"/>
        </w:tabs>
        <w:numPr>
          <w:ilvl w:val="1"/>
          <w:numId w:val="45"/>
        </w:numPr>
        <w:rPr>
          <w:rFonts w:ascii="Arial" w:cs="Arial" w:eastAsia="Arial" w:hAnsi="Arial"/>
          <w:sz w:val="22"/>
          <w:szCs w:val="22"/>
          <w:color w:val="auto"/>
        </w:rPr>
      </w:pPr>
      <w:r>
        <w:rPr>
          <w:rFonts w:ascii="Arial" w:cs="Arial" w:eastAsia="Arial" w:hAnsi="Arial"/>
          <w:sz w:val="22"/>
          <w:szCs w:val="22"/>
          <w:color w:val="auto"/>
        </w:rPr>
        <w:t>Stock Units subject to this Agreement may not be sold, assigned, transferred, pledged, or otherwise encumbered, except to the extent otherwise provided by either the terms of the Plan or by the Committee.</w:t>
      </w:r>
    </w:p>
    <w:p>
      <w:pPr>
        <w:spacing w:after="0" w:line="185" w:lineRule="exact"/>
        <w:rPr>
          <w:rFonts w:ascii="Arial" w:cs="Arial" w:eastAsia="Arial" w:hAnsi="Arial"/>
          <w:sz w:val="22"/>
          <w:szCs w:val="22"/>
          <w:color w:val="auto"/>
        </w:rPr>
      </w:pPr>
    </w:p>
    <w:p>
      <w:pPr>
        <w:jc w:val="both"/>
        <w:ind w:firstLine="8"/>
        <w:spacing w:after="0" w:line="242" w:lineRule="auto"/>
        <w:tabs>
          <w:tab w:leader="none" w:pos="648"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Settlement in Shares of Common Stock</w:t>
      </w:r>
      <w:r>
        <w:rPr>
          <w:rFonts w:ascii="Arial" w:cs="Arial" w:eastAsia="Arial" w:hAnsi="Arial"/>
          <w:sz w:val="19"/>
          <w:szCs w:val="19"/>
          <w:color w:val="auto"/>
        </w:rPr>
        <w:t>. Provided that the Participant’s interest in Stock Units subject to this Agreement has become vested, in whole or in part, in accordance with these terms and conditions, such Stock Units shall be delivered to the Participant on the vesting date in actual shares of Common Stock. Such vesting shall occur on the applicable vesting date as set forth in the Vesting Schedule; provided, however, that if Section 3.A (termination of employment in connection with a Change in Control) or Section 3.B. (termination of employment due to Retirement, death or Disability) applies, such vesting shall occur effective on the Participant’s Date of Termination. The conversion of Stock Units will occur on the basis of one share of Common Stock for every one Stock Unit (including associated DEUs) which vests. Such shares of Common Stock shall be registered in the name of the Participant effective as of the date of conversion and shall be delivered to the Participant within a reasonable time thereafter in the manner determined in the sole discretion of the Company, which may be by electronic delivery to the Participant’s stock plan account or in such other manner as determined in the sole discretion of the Company. To the extent that there are notional fractional shares of Common Stock in a Stock Unit Account which have vested upon settlement, such notional fractional shares shall be rounded to the nearest whole share in determining the number of shares of Common Stock to be received upon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1" w:right="339" w:bottom="1440" w:gutter="0" w:footer="0" w:header="0"/>
        </w:sectPr>
      </w:pPr>
    </w:p>
    <w:bookmarkStart w:id="65" w:name="page66"/>
    <w:bookmarkEnd w:id="65"/>
    <w:p>
      <w:pPr>
        <w:spacing w:after="0" w:line="204" w:lineRule="exact"/>
        <w:rPr>
          <w:sz w:val="20"/>
          <w:szCs w:val="20"/>
          <w:color w:val="auto"/>
        </w:rPr>
      </w:pPr>
    </w:p>
    <w:p>
      <w:pPr>
        <w:jc w:val="both"/>
        <w:ind w:firstLine="8"/>
        <w:spacing w:after="0" w:line="244" w:lineRule="auto"/>
        <w:tabs>
          <w:tab w:leader="none" w:pos="648"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Income Taxes</w:t>
      </w:r>
      <w:r>
        <w:rPr>
          <w:rFonts w:ascii="Arial" w:cs="Arial" w:eastAsia="Arial" w:hAnsi="Arial"/>
          <w:sz w:val="19"/>
          <w:szCs w:val="19"/>
          <w:color w:val="auto"/>
        </w:rPr>
        <w:t>. The Participant shall pay to the Company promptly upon request, and in any event at the time the Participant recognizes taxable income in respect of the shares of Common Stock received by the Participant upon the conversion of all or a portion of Stock Units subject to this Agreement, an amount equal to the taxes the Company determines it is required to withhold under applicable law with respect to such shares of Common Stock. Such payment shall be made in the form of cash, the delivery of shares of Common Stock already owned by the Participant or by withholding such number of shares otherwise deliverable pursuant to this Agreement as is equal to the withholding tax due or in any combination of such methods. If the Participant does not affirmatively instruct the Company prior to the applicable vesting date, in such manner and at such time as determined in the sole discretion of the Company, that such Participant will pay withholding taxes in another manner specified above, the Company shall withhold shares to cover applicable taxes upon the settlement of the Agreement.</w:t>
      </w:r>
    </w:p>
    <w:p>
      <w:pPr>
        <w:spacing w:after="0" w:line="187" w:lineRule="exact"/>
        <w:rPr>
          <w:rFonts w:ascii="Arial" w:cs="Arial" w:eastAsia="Arial" w:hAnsi="Arial"/>
          <w:sz w:val="19"/>
          <w:szCs w:val="19"/>
          <w:color w:val="auto"/>
        </w:rPr>
      </w:pPr>
    </w:p>
    <w:p>
      <w:pPr>
        <w:ind w:left="660" w:hanging="652"/>
        <w:spacing w:after="0"/>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terms used herein are defined as follows:</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The term “Change in Control” shall have the meaning ascribed to it in the Plan.</w:t>
      </w:r>
    </w:p>
    <w:p>
      <w:pPr>
        <w:spacing w:after="0" w:line="206" w:lineRule="exact"/>
        <w:rPr>
          <w:rFonts w:ascii="Arial" w:cs="Arial" w:eastAsia="Arial" w:hAnsi="Arial"/>
          <w:sz w:val="22"/>
          <w:szCs w:val="22"/>
          <w:color w:val="auto"/>
        </w:rPr>
      </w:pPr>
    </w:p>
    <w:p>
      <w:pPr>
        <w:jc w:val="both"/>
        <w:ind w:firstLine="656"/>
        <w:spacing w:after="0" w:line="223" w:lineRule="auto"/>
        <w:tabs>
          <w:tab w:leader="none" w:pos="129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Credited Service</w:t>
      </w:r>
      <w:r>
        <w:rPr>
          <w:rFonts w:ascii="Arial" w:cs="Arial" w:eastAsia="Arial" w:hAnsi="Arial"/>
          <w:sz w:val="22"/>
          <w:szCs w:val="22"/>
          <w:color w:val="auto"/>
        </w:rPr>
        <w:t>. A year of “Credited Service” shall mean a calendar year in which the Participant is paid for at least 1,000 hours of employment with the Company or any entity directly or indirectly controlled by the Company (a “Subsidiary”).</w:t>
      </w:r>
    </w:p>
    <w:p>
      <w:pPr>
        <w:spacing w:after="0" w:line="185" w:lineRule="exact"/>
        <w:rPr>
          <w:rFonts w:ascii="Arial" w:cs="Arial" w:eastAsia="Arial" w:hAnsi="Arial"/>
          <w:sz w:val="22"/>
          <w:szCs w:val="22"/>
          <w:color w:val="auto"/>
        </w:rPr>
      </w:pPr>
    </w:p>
    <w:p>
      <w:pPr>
        <w:jc w:val="both"/>
        <w:ind w:firstLine="656"/>
        <w:spacing w:after="0" w:line="214" w:lineRule="auto"/>
        <w:tabs>
          <w:tab w:leader="none" w:pos="129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The Participant’s “Date of Termination” shall be the first day occurring on or after the Grant Date on which the Participant ceases employment with the Company or any Subsidiary (a “Termination of Employment”), regardless of the reason for such Termination of Employment; provided that a Termination of Employment shall not be deemed to occur by reason of a transfer of the Participant between the Company and a Subsidiary or between two Subsidiaries; and further provided that a Termination of Employment shall not be deemed to occur while the Participant is on an approved leave of absence from the Company or any Subsidiary.</w:t>
      </w:r>
    </w:p>
    <w:p>
      <w:pPr>
        <w:spacing w:after="0" w:line="185" w:lineRule="exact"/>
        <w:rPr>
          <w:rFonts w:ascii="Arial" w:cs="Arial" w:eastAsia="Arial" w:hAnsi="Arial"/>
          <w:sz w:val="22"/>
          <w:szCs w:val="22"/>
          <w:color w:val="auto"/>
        </w:rPr>
      </w:pPr>
    </w:p>
    <w:p>
      <w:pPr>
        <w:jc w:val="both"/>
        <w:ind w:firstLine="656"/>
        <w:spacing w:after="0" w:line="218" w:lineRule="auto"/>
        <w:tabs>
          <w:tab w:leader="none" w:pos="1290"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The term “Disability” shall mean the Participant’s inability to perform such Participant’s job or any position which the Participant can perform with such Participant’s background and training by reason of any medically determinable physical or mental impairment which can be expected to result in death or to be of long, continued and indefinite duration.</w:t>
      </w:r>
    </w:p>
    <w:p>
      <w:pPr>
        <w:spacing w:after="0" w:line="187" w:lineRule="exact"/>
        <w:rPr>
          <w:rFonts w:ascii="Arial" w:cs="Arial" w:eastAsia="Arial" w:hAnsi="Arial"/>
          <w:sz w:val="22"/>
          <w:szCs w:val="22"/>
          <w:color w:val="auto"/>
        </w:rPr>
      </w:pPr>
    </w:p>
    <w:p>
      <w:pPr>
        <w:jc w:val="both"/>
        <w:ind w:firstLine="656"/>
        <w:spacing w:after="0" w:line="234" w:lineRule="auto"/>
        <w:tabs>
          <w:tab w:leader="none" w:pos="1293"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Retirement</w:t>
      </w:r>
      <w:r>
        <w:rPr>
          <w:rFonts w:ascii="Arial" w:cs="Arial" w:eastAsia="Arial" w:hAnsi="Arial"/>
          <w:sz w:val="21"/>
          <w:szCs w:val="21"/>
          <w:color w:val="auto"/>
        </w:rPr>
        <w:t>. The term “Retirement” shall mean either “Early Retirement” or “Normal Retirement.” For this purpose, Early Retirement means attainment of age fifty-five (55) with ten (l0) or more years of Credited Service and Normal Retirement means attainment of age sixty-five (65) with five (5) or more years of Credited Service.</w:t>
      </w:r>
    </w:p>
    <w:p>
      <w:pPr>
        <w:spacing w:after="0" w:line="184" w:lineRule="exact"/>
        <w:rPr>
          <w:rFonts w:ascii="Arial" w:cs="Arial" w:eastAsia="Arial" w:hAnsi="Arial"/>
          <w:sz w:val="21"/>
          <w:szCs w:val="21"/>
          <w:color w:val="auto"/>
        </w:rPr>
      </w:pPr>
    </w:p>
    <w:p>
      <w:pPr>
        <w:ind w:firstLine="656"/>
        <w:spacing w:after="0" w:line="232" w:lineRule="auto"/>
        <w:tabs>
          <w:tab w:leader="none" w:pos="1277"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Retirement Date.</w:t>
      </w:r>
      <w:r>
        <w:rPr>
          <w:rFonts w:ascii="Arial" w:cs="Arial" w:eastAsia="Arial" w:hAnsi="Arial"/>
          <w:sz w:val="22"/>
          <w:szCs w:val="22"/>
          <w:color w:val="auto"/>
        </w:rPr>
        <w:t xml:space="preserve"> The term “Retirement Date” shall mean the day on which the Participant terminates employment with the Company after having satisfied the requirements for Retirement.</w:t>
      </w:r>
    </w:p>
    <w:p>
      <w:pPr>
        <w:spacing w:after="0" w:line="185" w:lineRule="exact"/>
        <w:rPr>
          <w:rFonts w:ascii="Arial" w:cs="Arial" w:eastAsia="Arial" w:hAnsi="Arial"/>
          <w:sz w:val="22"/>
          <w:szCs w:val="22"/>
          <w:color w:val="auto"/>
        </w:rPr>
      </w:pPr>
    </w:p>
    <w:p>
      <w:pPr>
        <w:ind w:firstLine="656"/>
        <w:spacing w:after="0" w:line="232" w:lineRule="auto"/>
        <w:tabs>
          <w:tab w:leader="none" w:pos="1290"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Plan Definitions</w:t>
      </w:r>
      <w:r>
        <w:rPr>
          <w:rFonts w:ascii="Arial" w:cs="Arial" w:eastAsia="Arial" w:hAnsi="Arial"/>
          <w:sz w:val="22"/>
          <w:szCs w:val="22"/>
          <w:color w:val="auto"/>
        </w:rPr>
        <w:t>. Except where the context clearly implies or indicates to the contrary, a word, term, or phrase used in the Plan is similarly used in this Agreement.</w:t>
      </w:r>
    </w:p>
    <w:p>
      <w:pPr>
        <w:spacing w:after="0" w:line="185" w:lineRule="exact"/>
        <w:rPr>
          <w:rFonts w:ascii="Arial" w:cs="Arial" w:eastAsia="Arial" w:hAnsi="Arial"/>
          <w:sz w:val="22"/>
          <w:szCs w:val="22"/>
          <w:color w:val="auto"/>
        </w:rPr>
      </w:pPr>
    </w:p>
    <w:p>
      <w:pPr>
        <w:ind w:firstLine="8"/>
        <w:spacing w:after="0" w:line="232" w:lineRule="auto"/>
        <w:tabs>
          <w:tab w:leader="none" w:pos="64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Heirs and Successors</w:t>
      </w:r>
      <w:r>
        <w:rPr>
          <w:rFonts w:ascii="Arial" w:cs="Arial" w:eastAsia="Arial" w:hAnsi="Arial"/>
          <w:sz w:val="22"/>
          <w:szCs w:val="22"/>
          <w:color w:val="auto"/>
        </w:rPr>
        <w:t>. This Agreement shall be binding upon, and inure to the benefit of, the Company and its successors and assigns, including upon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66" w:name="page67"/>
    <w:bookmarkEnd w:id="66"/>
    <w:p>
      <w:pPr>
        <w:jc w:val="both"/>
        <w:spacing w:after="0" w:line="268" w:lineRule="auto"/>
        <w:rPr>
          <w:sz w:val="20"/>
          <w:szCs w:val="20"/>
          <w:color w:val="auto"/>
        </w:rPr>
      </w:pPr>
      <w:r>
        <w:rPr>
          <w:rFonts w:ascii="Arial" w:cs="Arial" w:eastAsia="Arial" w:hAnsi="Arial"/>
          <w:sz w:val="19"/>
          <w:szCs w:val="19"/>
          <w:color w:val="auto"/>
        </w:rPr>
        <w:t>acquiring, whether by merger, consolidation, purchase of assets or otherwise, all or substantially all of the Company’s assets and business, and the Participant and the successors and permitted assigns of the Participant, including but not limited to, the estate of the Participant and the executor, administrator or trustee of such estate, and the guardian or legal representative of the Participant.</w:t>
      </w:r>
    </w:p>
    <w:p>
      <w:pPr>
        <w:spacing w:after="0" w:line="159" w:lineRule="exact"/>
        <w:rPr>
          <w:sz w:val="20"/>
          <w:szCs w:val="20"/>
          <w:color w:val="auto"/>
        </w:rPr>
      </w:pPr>
    </w:p>
    <w:p>
      <w:pPr>
        <w:jc w:val="both"/>
        <w:ind w:firstLine="8"/>
        <w:spacing w:after="0" w:line="218" w:lineRule="auto"/>
        <w:tabs>
          <w:tab w:leader="none" w:pos="64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The authority to manage and control the operation and administration of this Agreement shall be vested in the Committee and the Committee shall have all powers with respect to this Agreement as it has with respect to the Plan. Any interpretation of the Agreement by the Committee and any decision made by it with respect to the Agreement is final and binding.</w:t>
      </w:r>
    </w:p>
    <w:p>
      <w:pPr>
        <w:spacing w:after="0" w:line="187" w:lineRule="exact"/>
        <w:rPr>
          <w:rFonts w:ascii="Arial" w:cs="Arial" w:eastAsia="Arial" w:hAnsi="Arial"/>
          <w:sz w:val="22"/>
          <w:szCs w:val="22"/>
          <w:color w:val="auto"/>
        </w:rPr>
      </w:pPr>
    </w:p>
    <w:p>
      <w:pPr>
        <w:jc w:val="both"/>
        <w:ind w:firstLine="8"/>
        <w:spacing w:after="0" w:line="218" w:lineRule="auto"/>
        <w:tabs>
          <w:tab w:leader="none" w:pos="64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Plan Governs</w:t>
      </w:r>
      <w:r>
        <w:rPr>
          <w:rFonts w:ascii="Arial" w:cs="Arial" w:eastAsia="Arial" w:hAnsi="Arial"/>
          <w:sz w:val="22"/>
          <w:szCs w:val="22"/>
          <w:color w:val="auto"/>
        </w:rPr>
        <w:t>. In the event of any inconsistency between the provisions of this Agreement and, if applicable, the terms of the Participant’s Employment Agreement, the provisions set forth in the Participant’s Employment Agreement shall govern; provided, however, that to the extent the provisions of this Agreement or the Participant’s Employment Agreement are inconsistent with the terms of the Plan, then the terms of the Plan shall govern.</w:t>
      </w:r>
    </w:p>
    <w:p>
      <w:pPr>
        <w:spacing w:after="0" w:line="187" w:lineRule="exact"/>
        <w:rPr>
          <w:rFonts w:ascii="Arial" w:cs="Arial" w:eastAsia="Arial" w:hAnsi="Arial"/>
          <w:sz w:val="22"/>
          <w:szCs w:val="22"/>
          <w:color w:val="auto"/>
        </w:rPr>
      </w:pPr>
    </w:p>
    <w:p>
      <w:pPr>
        <w:jc w:val="both"/>
        <w:ind w:firstLine="8"/>
        <w:spacing w:after="0" w:line="229" w:lineRule="auto"/>
        <w:tabs>
          <w:tab w:leader="none" w:pos="648"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 Employment Contract</w:t>
      </w:r>
      <w:r>
        <w:rPr>
          <w:rFonts w:ascii="Arial" w:cs="Arial" w:eastAsia="Arial" w:hAnsi="Arial"/>
          <w:sz w:val="21"/>
          <w:szCs w:val="21"/>
          <w:color w:val="auto"/>
        </w:rPr>
        <w:t>. The Participant acknowledges that this Agreement does not constitute a contract for employment for any period of time and does not modify the at will nature of the Participant’s employment with the Company, pursuant to which both the Company and the Participant may terminate the employment relationship at any time, for any or no reason, with or without notice or, if applicable, the terms of the Participant’s Employment Agreement.</w:t>
      </w:r>
    </w:p>
    <w:p>
      <w:pPr>
        <w:spacing w:after="0" w:line="185" w:lineRule="exact"/>
        <w:rPr>
          <w:rFonts w:ascii="Arial" w:cs="Arial" w:eastAsia="Arial" w:hAnsi="Arial"/>
          <w:sz w:val="21"/>
          <w:szCs w:val="21"/>
          <w:color w:val="auto"/>
        </w:rPr>
      </w:pPr>
    </w:p>
    <w:p>
      <w:pPr>
        <w:ind w:firstLine="8"/>
        <w:spacing w:after="0" w:line="232" w:lineRule="auto"/>
        <w:tabs>
          <w:tab w:leader="none" w:pos="64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by a written agreement of the Participant and the Company, without the consent of any other person.</w:t>
      </w:r>
    </w:p>
    <w:p>
      <w:pPr>
        <w:spacing w:after="0" w:line="185" w:lineRule="exact"/>
        <w:rPr>
          <w:rFonts w:ascii="Arial" w:cs="Arial" w:eastAsia="Arial" w:hAnsi="Arial"/>
          <w:sz w:val="22"/>
          <w:szCs w:val="22"/>
          <w:color w:val="auto"/>
        </w:rPr>
      </w:pPr>
    </w:p>
    <w:p>
      <w:pPr>
        <w:jc w:val="both"/>
        <w:ind w:firstLine="8"/>
        <w:spacing w:after="0" w:line="223" w:lineRule="auto"/>
        <w:tabs>
          <w:tab w:leader="none" w:pos="64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any Appendix hereto, and the Plan contain the entire agreement and understanding of the parties hereto with respect to the award contained herein and therein and supersede all prior communications, representations and negotiations in respect thereof.</w:t>
      </w:r>
    </w:p>
    <w:p>
      <w:pPr>
        <w:spacing w:after="0" w:line="185" w:lineRule="exact"/>
        <w:rPr>
          <w:rFonts w:ascii="Arial" w:cs="Arial" w:eastAsia="Arial" w:hAnsi="Arial"/>
          <w:sz w:val="22"/>
          <w:szCs w:val="22"/>
          <w:color w:val="auto"/>
        </w:rPr>
      </w:pPr>
    </w:p>
    <w:p>
      <w:pPr>
        <w:jc w:val="both"/>
        <w:ind w:firstLine="8"/>
        <w:spacing w:after="0" w:line="229" w:lineRule="auto"/>
        <w:tabs>
          <w:tab w:leader="none" w:pos="648"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 and any court determining the unenforceability of any provisions shall have the power to reduce the scope or duration of such provision to render such provision enforceable.</w:t>
      </w:r>
    </w:p>
    <w:p>
      <w:pPr>
        <w:spacing w:after="0" w:line="185" w:lineRule="exact"/>
        <w:rPr>
          <w:rFonts w:ascii="Arial" w:cs="Arial" w:eastAsia="Arial" w:hAnsi="Arial"/>
          <w:sz w:val="21"/>
          <w:szCs w:val="21"/>
          <w:color w:val="auto"/>
        </w:rPr>
      </w:pPr>
    </w:p>
    <w:p>
      <w:pPr>
        <w:jc w:val="both"/>
        <w:ind w:firstLine="8"/>
        <w:spacing w:after="0" w:line="244" w:lineRule="auto"/>
        <w:tabs>
          <w:tab w:leader="none" w:pos="648"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Non-U.S. Securities Law</w:t>
      </w:r>
      <w:r>
        <w:rPr>
          <w:rFonts w:ascii="Arial" w:cs="Arial" w:eastAsia="Arial" w:hAnsi="Arial"/>
          <w:sz w:val="19"/>
          <w:szCs w:val="19"/>
          <w:color w:val="auto"/>
        </w:rPr>
        <w:t>. Notwithstanding any other terms and conditions of the Plan or this Agreement, unless there is an available exemption from any registration, qualification or other legal requirement applicable to the issuance of this Agreement or and any Stock Units or shares of Common Stock the Participant may become entitled to under this Agreement in the future, the Company shall not be required to deliver any such securities prior to the completion of any registration or qualification of any such securities under any non-U.S. securities, exchange control or other law, or under the rulings or regulations of any governmental regulatory body, or prior to obtaining any approval or other clearance from any governmental agency, which registration, qualification or approval the Company shall, in its sole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1" w:right="339" w:bottom="1440" w:gutter="0" w:footer="0" w:header="0"/>
        </w:sectPr>
      </w:pPr>
    </w:p>
    <w:bookmarkStart w:id="67" w:name="page68"/>
    <w:bookmarkEnd w:id="67"/>
    <w:p>
      <w:pPr>
        <w:jc w:val="both"/>
        <w:spacing w:after="0" w:line="268" w:lineRule="auto"/>
        <w:rPr>
          <w:sz w:val="20"/>
          <w:szCs w:val="20"/>
          <w:color w:val="auto"/>
        </w:rPr>
      </w:pPr>
      <w:r>
        <w:rPr>
          <w:rFonts w:ascii="Arial" w:cs="Arial" w:eastAsia="Arial" w:hAnsi="Arial"/>
          <w:sz w:val="19"/>
          <w:szCs w:val="19"/>
          <w:color w:val="auto"/>
        </w:rPr>
        <w:t>such securities. Further, the Participant agrees that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pacing w:after="0" w:line="159" w:lineRule="exact"/>
        <w:rPr>
          <w:sz w:val="20"/>
          <w:szCs w:val="20"/>
          <w:color w:val="auto"/>
        </w:rPr>
      </w:pPr>
    </w:p>
    <w:p>
      <w:pPr>
        <w:jc w:val="both"/>
        <w:ind w:firstLine="301"/>
        <w:spacing w:after="0" w:line="218" w:lineRule="auto"/>
        <w:rPr>
          <w:sz w:val="20"/>
          <w:szCs w:val="20"/>
          <w:color w:val="auto"/>
        </w:rPr>
      </w:pPr>
      <w:r>
        <w:rPr>
          <w:rFonts w:ascii="Arial" w:cs="Arial" w:eastAsia="Arial" w:hAnsi="Arial"/>
          <w:sz w:val="22"/>
          <w:szCs w:val="22"/>
          <w:color w:val="auto"/>
        </w:rPr>
        <w:t>IN WITNESS WHEREOF, the Participant has executed this Agreement, and the Company has caused these presents to be executed in its name and on its behalf, all effective as of the Grant Date. By accepting the terms of this Agreement through an electronic form offered by the Company, or the Company’s designee, the Participant hereby agrees to the terms of this Agreement with the same effect as if the Participant had signed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HASBRO, INC.</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By: /s/ Chris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1811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37" w:lineRule="auto"/>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Chris Cocks</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3086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4" w:lineRule="auto"/>
        <w:tabs>
          <w:tab w:leader="none" w:pos="840" w:val="left"/>
        </w:tabs>
        <w:rPr>
          <w:sz w:val="20"/>
          <w:szCs w:val="20"/>
          <w:color w:val="auto"/>
        </w:rPr>
      </w:pPr>
      <w:r>
        <w:rPr>
          <w:rFonts w:ascii="Arial" w:cs="Arial" w:eastAsia="Arial" w:hAnsi="Arial"/>
          <w:sz w:val="22"/>
          <w:szCs w:val="22"/>
          <w:color w:val="auto"/>
        </w:rPr>
        <w:t>Name:</w:t>
        <w:tab/>
        <w:t>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1"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2"/>
          <w:szCs w:val="22"/>
          <w:b w:val="1"/>
          <w:bCs w:val="1"/>
          <w:color w:val="auto"/>
        </w:rPr>
        <w:t>HASBRO, INC.</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RESTATED 2003 STOCK INCENTIVE PERFORMANCE PLAN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CONTINGENT STOCK PERFORMANCE AWARD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(TWO PERFORMANCE METRICS WITH TSR MODIFIER)</w:t>
      </w:r>
    </w:p>
    <w:p>
      <w:pPr>
        <w:spacing w:after="0" w:line="125"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_____________, 2023 GRANT</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AGREEMENT, made effective as of __________, 2023, by and between HASBRO, INC., a Rhode Island corporation (the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"Company") and the designated contingent stock performance award recipient (the "Participant").</w:t>
      </w:r>
    </w:p>
    <w:p>
      <w:pPr>
        <w:spacing w:after="0" w:line="125" w:lineRule="exact"/>
        <w:rPr>
          <w:sz w:val="20"/>
          <w:szCs w:val="20"/>
          <w:color w:val="auto"/>
        </w:rPr>
      </w:pPr>
    </w:p>
    <w:p>
      <w:pPr>
        <w:jc w:val="both"/>
        <w:ind w:firstLine="290"/>
        <w:spacing w:after="0" w:line="352" w:lineRule="auto"/>
        <w:rPr>
          <w:sz w:val="20"/>
          <w:szCs w:val="20"/>
          <w:color w:val="auto"/>
        </w:rPr>
      </w:pPr>
      <w:r>
        <w:rPr>
          <w:rFonts w:ascii="Arial" w:cs="Arial" w:eastAsia="Arial" w:hAnsi="Arial"/>
          <w:sz w:val="22"/>
          <w:szCs w:val="22"/>
          <w:color w:val="auto"/>
        </w:rPr>
        <w:t>WHEREAS, the Participant is eligible to participate in the Company's Restated 2003 Stock Incentive Performance Plan, as amended (the "Plan");</w:t>
      </w:r>
    </w:p>
    <w:p>
      <w:pPr>
        <w:jc w:val="both"/>
        <w:ind w:firstLine="223"/>
        <w:spacing w:after="0" w:line="358" w:lineRule="auto"/>
        <w:rPr>
          <w:sz w:val="20"/>
          <w:szCs w:val="20"/>
          <w:color w:val="auto"/>
        </w:rPr>
      </w:pPr>
      <w:r>
        <w:rPr>
          <w:rFonts w:ascii="Arial" w:cs="Arial" w:eastAsia="Arial" w:hAnsi="Arial"/>
          <w:sz w:val="22"/>
          <w:szCs w:val="22"/>
          <w:color w:val="auto"/>
        </w:rPr>
        <w:t>WHEREAS, subject to and upon the terms and conditions of this Agreement, the Compensation Committee (the "Committee") of the Board of Directors of the Company (the "Board"), acting in accordance with the provisions of the Plan, is granting to Participant a contingent stock performance award dated __________, 2023; and</w:t>
      </w:r>
    </w:p>
    <w:p>
      <w:pPr>
        <w:spacing w:after="0" w:line="2" w:lineRule="exact"/>
        <w:rPr>
          <w:sz w:val="20"/>
          <w:szCs w:val="20"/>
          <w:color w:val="auto"/>
        </w:rPr>
      </w:pPr>
    </w:p>
    <w:p>
      <w:pPr>
        <w:jc w:val="both"/>
        <w:ind w:firstLine="221"/>
        <w:spacing w:after="0" w:line="373" w:lineRule="auto"/>
        <w:rPr>
          <w:sz w:val="20"/>
          <w:szCs w:val="20"/>
          <w:color w:val="auto"/>
        </w:rPr>
      </w:pPr>
      <w:r>
        <w:rPr>
          <w:rFonts w:ascii="Arial" w:cs="Arial" w:eastAsia="Arial" w:hAnsi="Arial"/>
          <w:sz w:val="21"/>
          <w:szCs w:val="21"/>
          <w:color w:val="auto"/>
        </w:rPr>
        <w:t xml:space="preserve">WHEREAS, subject to and upon the terms and conditions set forth in the Plan and as hereinafter set forth, the contingent stock performance award provides the Participant with the ability to earn shares of the Company’s common stock, par value $.50 per share (the "Common Stock"), contingent on the Company’s performance in achieving pre-established cumulative diluted earnings per share (“EPS”) and average return on invested capital (“ROIC”) performance targets over the period beginning on December 26, 2022 and ending on December 28, 2025 (the “Performance Period”), as adjusted by a total shareholder return (“TSR”) modifier (the “TSR Modifier”) for the period of time during the Performance Period, each performance target to be calculated and determined as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w:t>
      </w:r>
    </w:p>
    <w:p>
      <w:pPr>
        <w:spacing w:after="0" w:line="5" w:lineRule="exact"/>
        <w:rPr>
          <w:sz w:val="20"/>
          <w:szCs w:val="20"/>
          <w:color w:val="auto"/>
        </w:rPr>
      </w:pPr>
    </w:p>
    <w:p>
      <w:pPr>
        <w:jc w:val="both"/>
        <w:ind w:firstLine="224"/>
        <w:spacing w:after="0" w:line="379" w:lineRule="auto"/>
        <w:rPr>
          <w:sz w:val="20"/>
          <w:szCs w:val="20"/>
          <w:color w:val="auto"/>
        </w:rPr>
      </w:pPr>
      <w:r>
        <w:rPr>
          <w:rFonts w:ascii="Arial" w:cs="Arial" w:eastAsia="Arial" w:hAnsi="Arial"/>
          <w:sz w:val="22"/>
          <w:szCs w:val="22"/>
          <w:color w:val="auto"/>
        </w:rPr>
        <w:t>NOW, THEREFORE, in consideration of these premises and other good and valuable consideration, the parties hereto agree as follows: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368" w:lineRule="exact"/>
        <w:rPr>
          <w:sz w:val="20"/>
          <w:szCs w:val="20"/>
          <w:color w:val="auto"/>
        </w:rPr>
      </w:pPr>
    </w:p>
    <w:p>
      <w:pPr>
        <w:ind w:left="600" w:hanging="376"/>
        <w:spacing w:after="0"/>
        <w:tabs>
          <w:tab w:leader="none" w:pos="6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By accepting this Award the Participant hereby acknowledges and agrees that:</w:t>
      </w:r>
    </w:p>
    <w:p>
      <w:pPr>
        <w:spacing w:after="0" w:line="125" w:lineRule="exact"/>
        <w:rPr>
          <w:rFonts w:ascii="Arial" w:cs="Arial" w:eastAsia="Arial" w:hAnsi="Arial"/>
          <w:sz w:val="22"/>
          <w:szCs w:val="22"/>
          <w:color w:val="auto"/>
        </w:rPr>
      </w:pPr>
    </w:p>
    <w:p>
      <w:pPr>
        <w:jc w:val="both"/>
        <w:ind w:left="2000" w:right="140" w:hanging="642"/>
        <w:spacing w:after="0" w:line="392" w:lineRule="auto"/>
        <w:tabs>
          <w:tab w:leader="none" w:pos="1988"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this Award, and any shares the Participant may acquire under this Award in the future or any of the proceeds of selling any shares acquired pursuant to this Award, as well as any other incentive compensation the Participant is granted after, is subject to the Company’s Clawback</w:t>
      </w:r>
    </w:p>
    <w:p>
      <w:pPr>
        <w:sectPr>
          <w:pgSz w:w="11900" w:h="16838" w:orient="portrait"/>
          <w:cols w:equalWidth="0" w:num="1">
            <w:col w:w="11240"/>
          </w:cols>
          <w:pgMar w:left="320" w:top="828" w:right="339" w:bottom="1440" w:gutter="0" w:footer="0" w:header="0"/>
        </w:sectPr>
      </w:pPr>
    </w:p>
    <w:bookmarkStart w:id="69" w:name="page70"/>
    <w:bookmarkEnd w:id="69"/>
    <w:p>
      <w:pPr>
        <w:ind w:left="880" w:right="20"/>
        <w:spacing w:after="0" w:line="358" w:lineRule="auto"/>
        <w:rPr>
          <w:sz w:val="20"/>
          <w:szCs w:val="20"/>
          <w:color w:val="auto"/>
        </w:rPr>
      </w:pPr>
      <w:r>
        <w:rPr>
          <w:rFonts w:ascii="Arial" w:cs="Arial" w:eastAsia="Arial" w:hAnsi="Arial"/>
          <w:sz w:val="22"/>
          <w:szCs w:val="22"/>
          <w:color w:val="auto"/>
        </w:rPr>
        <w:t>Policy, which was adopted by the Company’s Board of Directors in October 2012, as it may be amended from time to time by the Board in the future,</w:t>
      </w:r>
    </w:p>
    <w:p>
      <w:pPr>
        <w:spacing w:after="0" w:line="1" w:lineRule="exact"/>
        <w:rPr>
          <w:sz w:val="20"/>
          <w:szCs w:val="20"/>
          <w:color w:val="auto"/>
        </w:rPr>
      </w:pPr>
    </w:p>
    <w:p>
      <w:pPr>
        <w:jc w:val="both"/>
        <w:ind w:left="880" w:right="20" w:hanging="642"/>
        <w:spacing w:after="0" w:line="372" w:lineRule="auto"/>
        <w:tabs>
          <w:tab w:leader="none" w:pos="874"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that if the Participant is or becomes subject to the Hasbro, Inc. Executive Stock Ownership Policy, effective as of March 1, 2014, as it may be amended from time to time by the Board in the future (the “Stock Ownership Policy”), then by accepting this Award and any shares that the Participant may acquire in the future pursuant to this Award, as well as any other equity-based incentive compensation the Participant is granted after the Participant becomes subject to the Stock Ownership Policy, the Participant agrees that the Participant will be subject to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 and</w:t>
      </w:r>
    </w:p>
    <w:p>
      <w:pPr>
        <w:spacing w:after="0" w:line="6" w:lineRule="exact"/>
        <w:rPr>
          <w:rFonts w:ascii="Arial" w:cs="Arial" w:eastAsia="Arial" w:hAnsi="Arial"/>
          <w:sz w:val="21"/>
          <w:szCs w:val="21"/>
          <w:color w:val="auto"/>
        </w:rPr>
      </w:pPr>
    </w:p>
    <w:p>
      <w:pPr>
        <w:jc w:val="both"/>
        <w:ind w:left="880" w:hanging="642"/>
        <w:spacing w:after="0" w:line="376" w:lineRule="auto"/>
        <w:tabs>
          <w:tab w:leader="none" w:pos="8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that if the Participant is notified by the Company or its equity plan administrator that Participant is required to enter into a Non-Competition, Non-Solicitation and Confidentiality Agreement with the Company, this Award shall be contingent upon and subject to the Participant (x) executing and delivering to the Company a Non-Competition, Non-Solicitation and Confidentiality Agreement by and between the Participant and the Company, in a form prescribed by and no later than a date designated by the Company; or (y) confirming and agreeing that the Participant remains bound by and subject to the terms of the Participant’s previously executed Non-Competition, Non-Solicitation and Confidentiality Agreement(s), which confirmation and agreement will occur upon your acceptance of this Award. For the avoidance of doubt, if the Participant has not executed and delivered to the Company a Non-Competition, Non-Solicitation and Confidentiality Agreement or confirmed and agreed (through acceptance of this Award) the terms of the Optionee’s existing Non-Competition, Non-Solicitation and Confidentiality Agreement(s) no later than 90 days from the date of this Award, this Award will not take effect and will be null and void.</w:t>
      </w:r>
    </w:p>
    <w:p>
      <w:pPr>
        <w:spacing w:after="0" w:line="1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00"/>
          </w:cols>
          <w:pgMar w:left="1440" w:top="834" w:right="459" w:bottom="1440" w:gutter="0" w:footer="0" w:header="0"/>
        </w:sectPr>
      </w:pPr>
    </w:p>
    <w:bookmarkStart w:id="70" w:name="page71"/>
    <w:bookmarkEnd w:id="70"/>
    <w:p>
      <w:pPr>
        <w:ind w:left="2000" w:right="20" w:hanging="642"/>
        <w:spacing w:after="0" w:line="358" w:lineRule="auto"/>
        <w:tabs>
          <w:tab w:leader="none" w:pos="1988" w:val="left"/>
        </w:tabs>
        <w:numPr>
          <w:ilvl w:val="3"/>
          <w:numId w:val="51"/>
        </w:numPr>
        <w:rPr>
          <w:rFonts w:ascii="Arial" w:cs="Arial" w:eastAsia="Arial" w:hAnsi="Arial"/>
          <w:sz w:val="22"/>
          <w:szCs w:val="22"/>
          <w:color w:val="auto"/>
        </w:rPr>
      </w:pPr>
      <w:r>
        <w:rPr>
          <w:rFonts w:ascii="Arial" w:cs="Arial" w:eastAsia="Arial" w:hAnsi="Arial"/>
          <w:sz w:val="22"/>
          <w:szCs w:val="22"/>
          <w:color w:val="auto"/>
        </w:rPr>
        <w:t>The acknowledgements and agreements set forth in this section are material conditions to receiving this Award, which would not have been made to the Participant otherwise.</w:t>
      </w:r>
    </w:p>
    <w:p>
      <w:pPr>
        <w:spacing w:after="0" w:line="1" w:lineRule="exact"/>
        <w:rPr>
          <w:rFonts w:ascii="Arial" w:cs="Arial" w:eastAsia="Arial" w:hAnsi="Arial"/>
          <w:sz w:val="22"/>
          <w:szCs w:val="22"/>
          <w:color w:val="auto"/>
        </w:rPr>
      </w:pPr>
    </w:p>
    <w:p>
      <w:pPr>
        <w:jc w:val="both"/>
        <w:ind w:right="20" w:firstLine="253"/>
        <w:spacing w:after="0" w:line="355" w:lineRule="auto"/>
        <w:tabs>
          <w:tab w:leader="none" w:pos="648"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This Agreement relates to an Award providing the Participant with the potential ability to earn shares of the Company’s Common Stock contingent on the Company’s performance in achieving its pre-established cumulative EPS and average ROIC targets over the Performance Period, as adjusted by the TSR Modifier. The cumulative EPS and ROIC targets for the Performance Period are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jc w:val="both"/>
        <w:spacing w:after="0" w:line="374" w:lineRule="auto"/>
        <w:rPr>
          <w:rFonts w:ascii="Arial" w:cs="Arial" w:eastAsia="Arial" w:hAnsi="Arial"/>
          <w:sz w:val="22"/>
          <w:szCs w:val="22"/>
          <w:color w:val="auto"/>
        </w:rPr>
      </w:pPr>
      <w:r>
        <w:rPr>
          <w:rFonts w:ascii="Arial" w:cs="Arial" w:eastAsia="Arial" w:hAnsi="Arial"/>
          <w:sz w:val="21"/>
          <w:szCs w:val="21"/>
          <w:color w:val="auto"/>
        </w:rPr>
        <w:t xml:space="preserve">The threshold and maximum levels for cumulative EPS and average ROIC, as well as the TSR Modifier, contributing to shares being earned under this Award are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Following the end of the Performance Period, the Committee will determine the Company’s cumulative EPS and average ROIC over the Performance Period and the TSR Modifier over the Performance Period. The Committee will certify the Company’s cumulative EPS and average ROIC over the Performance Period and the TSR Modifier over the Performance Period as promptly as is reasonably possible following the completion of the Performance Period, but in no event later than 75 days following the completion of the Performance Period. The Award, to the extent earned based on attainment of the performance measures as certified by the Committee, will fully vest on February 20, 2026 (the “Vesting Date”).</w:t>
      </w:r>
    </w:p>
    <w:p>
      <w:pPr>
        <w:jc w:val="both"/>
        <w:ind w:right="20" w:firstLine="215"/>
        <w:spacing w:after="0" w:line="356" w:lineRule="auto"/>
        <w:tabs>
          <w:tab w:leader="none" w:pos="613"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For purposes of this Award, the Company’s EPS and average ROIC over the Performance Period will be computed on a consolidated basis in the same manner used by the Company in computing its consolidated financial performance under generally accepted accounting principles (“GAAP”), except for the deviations from GAAP which are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this Agreement. Further, EPS will be calculated based on actual results translated at exchange rates established at the beginning of the Performance Period.</w:t>
      </w:r>
    </w:p>
    <w:p>
      <w:pPr>
        <w:jc w:val="both"/>
        <w:ind w:right="20" w:firstLine="378"/>
        <w:spacing w:after="0" w:line="422" w:lineRule="auto"/>
        <w:tabs>
          <w:tab w:leader="none" w:pos="898" w:val="left"/>
        </w:tabs>
        <w:numPr>
          <w:ilvl w:val="2"/>
          <w:numId w:val="53"/>
        </w:numPr>
        <w:rPr>
          <w:rFonts w:ascii="Arial" w:cs="Arial" w:eastAsia="Arial" w:hAnsi="Arial"/>
          <w:sz w:val="19"/>
          <w:szCs w:val="19"/>
          <w:color w:val="auto"/>
        </w:rPr>
      </w:pPr>
      <w:r>
        <w:rPr>
          <w:rFonts w:ascii="Arial" w:cs="Arial" w:eastAsia="Arial" w:hAnsi="Arial"/>
          <w:sz w:val="19"/>
          <w:szCs w:val="19"/>
          <w:color w:val="auto"/>
        </w:rPr>
        <w:t xml:space="preserve">The target number of shares of Common Stock which may be issuable under this Award in the event of 100% achievement of the pre-established cumulative EPS and average ROIC measures over the Performance Period is the specified number of shares communicated by separate communication to the Participant (the “Target Shares”). The tables appearing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set forth the contingent number of shares of Common Stock which the Participant may actually earn under this Award, as a percentage of the Target Shares, based upon certain performances by the Company in achieving the EPS and average ROIC targets. To compute the actual number of shares of Common Stock, if any, which may be earned by the Participant, the cumulative EPS and average ROIC performances of the Company, each</w:t>
      </w:r>
    </w:p>
    <w:p>
      <w:pPr>
        <w:spacing w:after="0" w:line="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834" w:right="459" w:bottom="1440" w:gutter="0" w:footer="0" w:header="0"/>
        </w:sectPr>
      </w:pPr>
    </w:p>
    <w:bookmarkStart w:id="71" w:name="page72"/>
    <w:bookmarkEnd w:id="71"/>
    <w:p>
      <w:pPr>
        <w:jc w:val="both"/>
        <w:ind w:right="140"/>
        <w:spacing w:after="0" w:line="415" w:lineRule="auto"/>
        <w:rPr>
          <w:sz w:val="20"/>
          <w:szCs w:val="20"/>
          <w:color w:val="auto"/>
        </w:rPr>
      </w:pPr>
      <w:r>
        <w:rPr>
          <w:rFonts w:ascii="Arial" w:cs="Arial" w:eastAsia="Arial" w:hAnsi="Arial"/>
          <w:sz w:val="19"/>
          <w:szCs w:val="19"/>
          <w:color w:val="auto"/>
        </w:rPr>
        <w:t xml:space="preserve">weighted as 50%, are applied to the tables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then such number of shares of Common Stock, if any, is subject to a +/- 25% modifier for the Company’s TSR Performance against the TSR Comparator Group (as defined on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jc w:val="both"/>
        <w:ind w:right="120" w:firstLine="345"/>
        <w:spacing w:after="0" w:line="372" w:lineRule="auto"/>
        <w:rPr>
          <w:sz w:val="20"/>
          <w:szCs w:val="20"/>
          <w:color w:val="auto"/>
        </w:rPr>
      </w:pPr>
      <w:r>
        <w:rPr>
          <w:rFonts w:ascii="Arial" w:cs="Arial" w:eastAsia="Arial" w:hAnsi="Arial"/>
          <w:sz w:val="21"/>
          <w:szCs w:val="21"/>
          <w:color w:val="auto"/>
        </w:rPr>
        <w:t>On the date that the Company pays a cash dividend to holders of Common Stock, unless otherwise determined by the Committee in its sole discretion, the Company shall credit each Target Share with a dividend equivalent unit (“DEU”). DEUs will be calculated at the same dividend rate paid to other holders of shares of Common Stock and will equal the total number of Target Shares multiplied by the dollar amount of the cash dividend paid per share of Common Stock by the Company on such date divided by the Fair Market Value (as defined in the Plan) of a share of Common Stock on such date. DEUs will be credited in whole shares only and any residual amount that cannot be converted to a whole share shall be aggregated with the immediately following dividend and used to calculate the DEUs attributable to such dividend, as described above. DEUs shall be subject to the same terms and conditions as the underlying Target Shares and will vest in accordance with the vesting schedule applicable to the shares subject to this Award. The Participant shall not be entitled to any voting rights with respect to the DEUs prior to vesting.</w:t>
      </w:r>
    </w:p>
    <w:p>
      <w:pPr>
        <w:spacing w:after="0" w:line="10" w:lineRule="exact"/>
        <w:rPr>
          <w:sz w:val="20"/>
          <w:szCs w:val="20"/>
          <w:color w:val="auto"/>
        </w:rPr>
      </w:pPr>
    </w:p>
    <w:p>
      <w:pPr>
        <w:jc w:val="both"/>
        <w:ind w:right="140" w:firstLine="289"/>
        <w:spacing w:after="0" w:line="411" w:lineRule="auto"/>
        <w:tabs>
          <w:tab w:leader="none" w:pos="499" w:val="left"/>
        </w:tabs>
        <w:numPr>
          <w:ilvl w:val="0"/>
          <w:numId w:val="54"/>
        </w:numPr>
        <w:rPr>
          <w:rFonts w:ascii="Arial" w:cs="Arial" w:eastAsia="Arial" w:hAnsi="Arial"/>
          <w:sz w:val="19"/>
          <w:szCs w:val="19"/>
          <w:color w:val="auto"/>
        </w:rPr>
      </w:pPr>
      <w:r>
        <w:rPr>
          <w:rFonts w:ascii="Arial" w:cs="Arial" w:eastAsia="Arial" w:hAnsi="Arial"/>
          <w:sz w:val="19"/>
          <w:szCs w:val="19"/>
          <w:color w:val="auto"/>
        </w:rPr>
        <w:t>Subject to the terms of this Agreement, once the Company has determined the actual number of shares of Common Stock, if any, which have been earned by the Participant, the Company or its designee will as promptly as possible after the Vesting</w:t>
      </w:r>
    </w:p>
    <w:p>
      <w:pPr>
        <w:ind w:right="140"/>
        <w:spacing w:after="0" w:line="362" w:lineRule="auto"/>
        <w:rPr>
          <w:rFonts w:ascii="Arial" w:cs="Arial" w:eastAsia="Arial" w:hAnsi="Arial"/>
          <w:sz w:val="19"/>
          <w:szCs w:val="19"/>
          <w:color w:val="auto"/>
        </w:rPr>
      </w:pPr>
      <w:r>
        <w:rPr>
          <w:rFonts w:ascii="Arial" w:cs="Arial" w:eastAsia="Arial" w:hAnsi="Arial"/>
          <w:sz w:val="20"/>
          <w:szCs w:val="20"/>
          <w:color w:val="auto"/>
        </w:rPr>
        <w:t>Date, but in all events not later than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month following the end of the calendar year in which the Performance Period ends, issue any such shares of Common Stock which have been deemed earned to the Participant.</w:t>
      </w:r>
    </w:p>
    <w:p>
      <w:pPr>
        <w:spacing w:after="0" w:line="19" w:lineRule="exact"/>
        <w:rPr>
          <w:rFonts w:ascii="Arial" w:cs="Arial" w:eastAsia="Arial" w:hAnsi="Arial"/>
          <w:sz w:val="19"/>
          <w:szCs w:val="19"/>
          <w:color w:val="auto"/>
        </w:rPr>
      </w:pPr>
    </w:p>
    <w:p>
      <w:pPr>
        <w:jc w:val="both"/>
        <w:ind w:firstLine="300"/>
        <w:spacing w:after="0" w:line="504" w:lineRule="auto"/>
        <w:tabs>
          <w:tab w:leader="none" w:pos="526"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Participant shall consult with the Company or its designee in advance of the issuance of any shares pursuant to this Award so as to designate the manner in which the Participant wishes to pay any withholding taxes due, and any such Participant’s designation must be made by the Participant affirmatively to the Company, in the manner specified by the Company, and on or before the date selected by the Company. Each Participant who elects to pay withholding taxes in cash shall deliver to the Company or its designee, a check payable to Hasbro, Inc. or its designee, or a wire transfer to such account of the Company or its designee, as the Company may designate, in United States dollars, in the amount of any withholding required by law for any and all federal, state, local or foreign taxes payable as a result of the Participant</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34" w:right="339" w:bottom="1440" w:gutter="0" w:footer="0" w:header="0"/>
        </w:sectPr>
      </w:pPr>
    </w:p>
    <w:bookmarkStart w:id="72" w:name="page73"/>
    <w:bookmarkEnd w:id="72"/>
    <w:p>
      <w:pPr>
        <w:jc w:val="both"/>
        <w:spacing w:after="0" w:line="554" w:lineRule="auto"/>
        <w:rPr>
          <w:sz w:val="20"/>
          <w:szCs w:val="20"/>
          <w:color w:val="auto"/>
        </w:rPr>
      </w:pPr>
      <w:r>
        <w:rPr>
          <w:rFonts w:ascii="Arial" w:cs="Arial" w:eastAsia="Arial" w:hAnsi="Arial"/>
          <w:sz w:val="19"/>
          <w:szCs w:val="19"/>
          <w:color w:val="auto"/>
        </w:rPr>
        <w:t>earning any shares under this Award or being issued any shares pursuant to the provisions below based on certain other events. Alternatively, a Participant may elect to satisfy the minimum withholding taxes required by law payable as a result of the issuance of any shares pursuant to this Award (the "Taxes"), in whole or in part, either (i) by having the Company withhold from the shares of Common Stock to be issued pursuant to this Award or (ii) delivering to the Company or its designee shares of Common Stock already owned by the Participant and held by the Participant for at least six (6) months (represented by stock certificates duly endorsed to the Company or its designee or accompanied by an executed stock power in each case with signatures guaranteed by a bank or broker to the extent required by the Company or its designee), in each case in an amount whose Fair Market Value on the date the Participant has become entitled to such shares pursuant to this Award is either equal to the Taxes or less than the Taxes, provided that a check payable to Hasbro, Inc. or its designee, or a wire transfer to such account of the Company or its designee as the Company may designate, in United States dollars for the balance of the Taxes is also delivered to the Company, or its designee, at the time of issuance. If the Participant fails to timely elect to pay the withholding taxes in some other manner pursuant to the preceding provisions, or otherwise does not timely remit payment of the required withholding taxes, then the Participant’s tax withholding requirements will be satisfied through the withholding of shares of Common Stock and to the extent a fractional share needs to be withheld, the Company or its designee will withhold the next highest number of full shares and will remit the value of the fraction of a share which exceeds the required withholding to the Participant. As soon as practicable after receipt of the withholding taxes and any other materials or information reasonably required by the Company or its designee, the Company or its designee shall deliver or cause to be delivered to the Participant, using the method of delivery determined by the Company or its designee, the shares payable pursuant to the Award (less any shares deducted to pay Taxes).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01" w:right="339" w:bottom="1440" w:gutter="0" w:footer="0" w:header="0"/>
        </w:sectPr>
      </w:pPr>
    </w:p>
    <w:bookmarkStart w:id="73" w:name="page74"/>
    <w:bookmarkEnd w:id="73"/>
    <w:p>
      <w:pPr>
        <w:jc w:val="both"/>
        <w:ind w:firstLine="270"/>
        <w:spacing w:after="0" w:line="551" w:lineRule="auto"/>
        <w:tabs>
          <w:tab w:leader="none" w:pos="687" w:val="left"/>
        </w:tabs>
        <w:numPr>
          <w:ilvl w:val="1"/>
          <w:numId w:val="55"/>
        </w:numPr>
        <w:rPr>
          <w:rFonts w:ascii="Arial" w:cs="Arial" w:eastAsia="Arial" w:hAnsi="Arial"/>
          <w:sz w:val="19"/>
          <w:szCs w:val="19"/>
          <w:color w:val="auto"/>
        </w:rPr>
      </w:pPr>
      <w:r>
        <w:rPr>
          <w:rFonts w:ascii="Arial" w:cs="Arial" w:eastAsia="Arial" w:hAnsi="Arial"/>
          <w:sz w:val="19"/>
          <w:szCs w:val="19"/>
          <w:color w:val="auto"/>
        </w:rPr>
        <w:t>Until such time, if any, that actual shares of Common Stock become due and are issued to the Participant in accordance with the terms of this Agreement, the Participant will not receive any dividends and will not have any voting rights with respect to any shares which may be issuable in the future pursuant to this Award. The Participant’s rights under this Award shall be no greater than those of an unsecured general creditor of the Company, and nothing herein shall be construed as requiring the Company or any other person to establish a trust or to set aside assets to meet the Company’s obligations hereunder.</w:t>
      </w:r>
    </w:p>
    <w:p>
      <w:pPr>
        <w:spacing w:after="0" w:line="2" w:lineRule="exact"/>
        <w:rPr>
          <w:rFonts w:ascii="Arial" w:cs="Arial" w:eastAsia="Arial" w:hAnsi="Arial"/>
          <w:sz w:val="19"/>
          <w:szCs w:val="19"/>
          <w:color w:val="auto"/>
        </w:rPr>
      </w:pPr>
    </w:p>
    <w:p>
      <w:pPr>
        <w:jc w:val="both"/>
        <w:ind w:firstLine="224"/>
        <w:spacing w:after="0" w:line="549" w:lineRule="auto"/>
        <w:tabs>
          <w:tab w:leader="none" w:pos="59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If a Participant who is an employee of the Company or of a direct or indirect subsidiary of the Company dies before the Performance Period is completed, then the Company will issue the number of shares of Common Stock to the executor, administrator or trustee of the Participant’s estate, or the Participant’s legal representative, as the case may be, that is computed by multiplying: (i) the number of shares of Common Stock which would have been issuable to the Participant pursuant to the Award assuming completion of the Performance Period and the Company’s achievement over the Performance Period of cumulative EPS and average ROIC equal to target in each case by (ii) a fraction, the numerator of which is the number of days from the start of the Performance Period to the date that the Participant died and the denominator of which is the total number of days in the Performance Period. This pro-rated target award will be payable as soon following the Participant’s death as is reasonably practicable. If a Participant dies after the end of the Performance Period, but prior to the delivery of any shares of Common Stock issuable pursuant to this Award, then the Company or its designee will issue to the Participant’s estate, or the Participant’s legal representative, as the case may be, the number of shares of Common Stock, if any, which would have otherwise been issuable to the Participant if the Participant had not died.</w:t>
      </w:r>
    </w:p>
    <w:p>
      <w:pPr>
        <w:spacing w:after="0" w:line="10" w:lineRule="exact"/>
        <w:rPr>
          <w:rFonts w:ascii="Arial" w:cs="Arial" w:eastAsia="Arial" w:hAnsi="Arial"/>
          <w:sz w:val="19"/>
          <w:szCs w:val="19"/>
          <w:color w:val="auto"/>
        </w:rPr>
      </w:pPr>
    </w:p>
    <w:p>
      <w:pPr>
        <w:jc w:val="both"/>
        <w:ind w:firstLine="644"/>
        <w:spacing w:after="0" w:line="484" w:lineRule="auto"/>
        <w:tabs>
          <w:tab w:leader="none" w:pos="967" w:val="left"/>
        </w:tabs>
        <w:numPr>
          <w:ilvl w:val="2"/>
          <w:numId w:val="56"/>
        </w:numPr>
        <w:rPr>
          <w:rFonts w:ascii="Arial" w:cs="Arial" w:eastAsia="Arial" w:hAnsi="Arial"/>
          <w:sz w:val="22"/>
          <w:szCs w:val="22"/>
          <w:color w:val="auto"/>
        </w:rPr>
      </w:pPr>
      <w:r>
        <w:rPr>
          <w:rFonts w:ascii="Arial" w:cs="Arial" w:eastAsia="Arial" w:hAnsi="Arial"/>
          <w:sz w:val="22"/>
          <w:szCs w:val="22"/>
          <w:color w:val="auto"/>
        </w:rPr>
        <w:t>If a Participant with at least one year of Credited Service of the Company suffers a permanent physical or mental disability (as defined below), before the Performance Period is completed, then the Participant’s Award will remain outstanding during the remaining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01" w:right="339" w:bottom="1440" w:gutter="0" w:footer="0" w:header="0"/>
        </w:sectPr>
      </w:pPr>
    </w:p>
    <w:bookmarkStart w:id="74" w:name="page75"/>
    <w:bookmarkEnd w:id="74"/>
    <w:p>
      <w:pPr>
        <w:jc w:val="both"/>
        <w:spacing w:after="0" w:line="550" w:lineRule="auto"/>
        <w:rPr>
          <w:sz w:val="20"/>
          <w:szCs w:val="20"/>
          <w:color w:val="auto"/>
        </w:rPr>
      </w:pPr>
      <w:r>
        <w:rPr>
          <w:rFonts w:ascii="Arial" w:cs="Arial" w:eastAsia="Arial" w:hAnsi="Arial"/>
          <w:sz w:val="19"/>
          <w:szCs w:val="19"/>
          <w:color w:val="auto"/>
        </w:rPr>
        <w:t>portion of the Performance Period. At the end of the Performance Period the Committee will compute how many, if any, shares of Common Stock would be issuable pursuant to the Award based on the Company’s performance against its cumulative EPS and average ROIC targets, as adjusted by the TSR Modifier. That actual number of shares of Common Stock which would have been earned under the Award over the entire Performance Period, as adjusted by the TSR Modifier, will then be multiplied by a fraction the numerator of which is the number of days from the start of the Performance Period to the date that the Participant became disabled and the denominator of which is the total number of days in the Performance Period. This pro-rated number of shares will then be issuable to the Participant in the same manner as shares are issued to other Participants.</w:t>
      </w:r>
    </w:p>
    <w:p>
      <w:pPr>
        <w:spacing w:after="0" w:line="5" w:lineRule="exact"/>
        <w:rPr>
          <w:sz w:val="20"/>
          <w:szCs w:val="20"/>
          <w:color w:val="auto"/>
        </w:rPr>
      </w:pPr>
    </w:p>
    <w:p>
      <w:pPr>
        <w:jc w:val="both"/>
        <w:ind w:firstLine="476"/>
        <w:spacing w:after="0" w:line="497" w:lineRule="auto"/>
        <w:tabs>
          <w:tab w:leader="none" w:pos="766" w:val="left"/>
        </w:tabs>
        <w:numPr>
          <w:ilvl w:val="0"/>
          <w:numId w:val="57"/>
        </w:numPr>
        <w:rPr>
          <w:rFonts w:ascii="Arial" w:cs="Arial" w:eastAsia="Arial" w:hAnsi="Arial"/>
          <w:sz w:val="21"/>
          <w:szCs w:val="21"/>
          <w:color w:val="auto"/>
        </w:rPr>
      </w:pPr>
      <w:r>
        <w:rPr>
          <w:rFonts w:ascii="Arial" w:cs="Arial" w:eastAsia="Arial" w:hAnsi="Arial"/>
          <w:sz w:val="21"/>
          <w:szCs w:val="21"/>
          <w:color w:val="auto"/>
        </w:rPr>
        <w:t>If a Participant who is an employee of the Company or of a direct or indirect subsidiary of the Company retires at either an Early Retirement Date or a Normal Retirement Date (each as defined below),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on the Company’s performance against its cumulative EPS and average ROIC targets, as adjusted by the TSR Modifier. That actual number of shares of Common Stock which would have been earned under the Award over the entire Performance Period, as adjusted by the TSR Modifier, will then be multiplied by a fraction the numerator of which is the number of days from the start of the Performance Period to the date that the Participant retired and the denominator of which is the total number of days in the Performance Period. This pro-rated number of shares will then be issuable to the Participant in the same manner as shares are issued to other Participants.</w:t>
      </w:r>
    </w:p>
    <w:p>
      <w:pPr>
        <w:spacing w:after="0" w:line="7" w:lineRule="exact"/>
        <w:rPr>
          <w:rFonts w:ascii="Arial" w:cs="Arial" w:eastAsia="Arial" w:hAnsi="Arial"/>
          <w:sz w:val="21"/>
          <w:szCs w:val="21"/>
          <w:color w:val="auto"/>
        </w:rPr>
      </w:pPr>
    </w:p>
    <w:p>
      <w:pPr>
        <w:jc w:val="both"/>
        <w:ind w:firstLine="622"/>
        <w:spacing w:after="0" w:line="484" w:lineRule="auto"/>
        <w:tabs>
          <w:tab w:leader="none" w:pos="1174" w:val="left"/>
        </w:tabs>
        <w:numPr>
          <w:ilvl w:val="1"/>
          <w:numId w:val="57"/>
        </w:numPr>
        <w:rPr>
          <w:rFonts w:ascii="Arial" w:cs="Arial" w:eastAsia="Arial" w:hAnsi="Arial"/>
          <w:sz w:val="22"/>
          <w:szCs w:val="22"/>
          <w:color w:val="auto"/>
        </w:rPr>
      </w:pPr>
      <w:r>
        <w:rPr>
          <w:rFonts w:ascii="Arial" w:cs="Arial" w:eastAsia="Arial" w:hAnsi="Arial"/>
          <w:sz w:val="22"/>
          <w:szCs w:val="22"/>
          <w:color w:val="auto"/>
        </w:rPr>
        <w:t>Except as otherwise determined by the Committee (or, if delegated by the Committee, by a subcommittee of the Committee or an officer of the Company), if a Participant ceases to be employed by the Company or by a direct or indirect subsidiary of the Company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01" w:right="339" w:bottom="1440" w:gutter="0" w:footer="0" w:header="0"/>
        </w:sectPr>
      </w:pPr>
    </w:p>
    <w:bookmarkStart w:id="75" w:name="page76"/>
    <w:bookmarkEnd w:id="75"/>
    <w:p>
      <w:pPr>
        <w:jc w:val="both"/>
        <w:spacing w:after="0" w:line="531" w:lineRule="auto"/>
        <w:rPr>
          <w:sz w:val="20"/>
          <w:szCs w:val="20"/>
          <w:color w:val="auto"/>
        </w:rPr>
      </w:pPr>
      <w:r>
        <w:rPr>
          <w:rFonts w:ascii="Arial" w:cs="Arial" w:eastAsia="Arial" w:hAnsi="Arial"/>
          <w:sz w:val="19"/>
          <w:szCs w:val="19"/>
          <w:color w:val="auto"/>
        </w:rPr>
        <w:t>before the Vesting Date for any reason other than the reasons set forth in subsections (a), (b) and (c) of this Section 9, including, without limitation, if Participant resigns from the Company (or a direct or indirect subsidiary of the Company) or the Participant’s employment is terminated by the Company (or a direct or indirect subsidiary of the Company) without cause or for cause or for any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in the Plan), the Award will be forfeited and the Participant will not have any further rights under the Award, including, without limitation, any rights to receive shares of Common Stock.</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For purposes of subsections (a), (b) and (c) above:</w:t>
      </w:r>
    </w:p>
    <w:p>
      <w:pPr>
        <w:spacing w:after="0" w:line="368" w:lineRule="exact"/>
        <w:rPr>
          <w:sz w:val="20"/>
          <w:szCs w:val="20"/>
          <w:color w:val="auto"/>
        </w:rPr>
      </w:pPr>
    </w:p>
    <w:p>
      <w:pPr>
        <w:ind w:left="660" w:hanging="4"/>
        <w:spacing w:after="0" w:line="473" w:lineRule="auto"/>
        <w:tabs>
          <w:tab w:leader="none" w:pos="1039"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year of "Credited Service" shall mean a calendar year in which the Participant is paid for at least 1,000 hours of employment with the Company or of a subsidiary of the Company.</w:t>
      </w:r>
    </w:p>
    <w:p>
      <w:pPr>
        <w:spacing w:after="0" w:line="1" w:lineRule="exact"/>
        <w:rPr>
          <w:rFonts w:ascii="Arial" w:cs="Arial" w:eastAsia="Arial" w:hAnsi="Arial"/>
          <w:sz w:val="22"/>
          <w:szCs w:val="22"/>
          <w:color w:val="auto"/>
        </w:rPr>
      </w:pPr>
    </w:p>
    <w:p>
      <w:pPr>
        <w:jc w:val="both"/>
        <w:ind w:left="660" w:hanging="4"/>
        <w:spacing w:after="0" w:line="476" w:lineRule="auto"/>
        <w:tabs>
          <w:tab w:leader="none" w:pos="1026"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"Early Retirement Date" shall mean: the day on which a Participant who has attained age fifty-five (55), but has not reached age sixty-five (65), with ten (l0) or more years of Credited Service, retires. A Participant is eligible for early retirement on the first day of the calendar month coincidental with or immediately following the attainment of age fifty-five (55) and the completion of ten (l0) years of Credited Service, and "early retirement" shall mean retirement by an eligible Participant at the Early Retirement Date.</w:t>
      </w:r>
    </w:p>
    <w:p>
      <w:pPr>
        <w:spacing w:after="0" w:line="2" w:lineRule="exact"/>
        <w:rPr>
          <w:rFonts w:ascii="Arial" w:cs="Arial" w:eastAsia="Arial" w:hAnsi="Arial"/>
          <w:sz w:val="22"/>
          <w:szCs w:val="22"/>
          <w:color w:val="auto"/>
        </w:rPr>
      </w:pPr>
    </w:p>
    <w:p>
      <w:pPr>
        <w:ind w:left="1020" w:hanging="364"/>
        <w:spacing w:after="0"/>
        <w:tabs>
          <w:tab w:leader="none" w:pos="10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"Normal Retirement Date" shall mean: the day on which a Participant who has attained age sixty-five (65) with five</w:t>
      </w:r>
    </w:p>
    <w:p>
      <w:pPr>
        <w:spacing w:after="0" w:line="281" w:lineRule="exact"/>
        <w:rPr>
          <w:rFonts w:ascii="Arial" w:cs="Arial" w:eastAsia="Arial" w:hAnsi="Arial"/>
          <w:sz w:val="19"/>
          <w:szCs w:val="19"/>
          <w:color w:val="auto"/>
        </w:rPr>
      </w:pPr>
    </w:p>
    <w:p>
      <w:pPr>
        <w:jc w:val="both"/>
        <w:ind w:left="660"/>
        <w:spacing w:after="0" w:line="484" w:lineRule="auto"/>
        <w:rPr>
          <w:rFonts w:ascii="Arial" w:cs="Arial" w:eastAsia="Arial" w:hAnsi="Arial"/>
          <w:sz w:val="19"/>
          <w:szCs w:val="19"/>
          <w:color w:val="auto"/>
        </w:rPr>
      </w:pPr>
      <w:r>
        <w:rPr>
          <w:rFonts w:ascii="Arial" w:cs="Arial" w:eastAsia="Arial" w:hAnsi="Arial"/>
          <w:sz w:val="22"/>
          <w:szCs w:val="22"/>
          <w:color w:val="auto"/>
        </w:rPr>
        <w:t>(5) or more years of Credited Service, retires. A Participant is eligible for normal retirement on the first day of the calendar month coincident with or immediately following the Participant's attainment of age sixty-five (65) and completion of five (5) or more years of Credited Service, and "normal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01" w:right="339" w:bottom="1440" w:gutter="0" w:footer="0" w:header="0"/>
        </w:sectPr>
      </w:pPr>
    </w:p>
    <w:bookmarkStart w:id="76" w:name="page77"/>
    <w:bookmarkEnd w:id="76"/>
    <w:p>
      <w:pPr>
        <w:ind w:left="660"/>
        <w:spacing w:after="0"/>
        <w:rPr>
          <w:sz w:val="20"/>
          <w:szCs w:val="20"/>
          <w:color w:val="auto"/>
        </w:rPr>
      </w:pPr>
      <w:r>
        <w:rPr>
          <w:rFonts w:ascii="Arial" w:cs="Arial" w:eastAsia="Arial" w:hAnsi="Arial"/>
          <w:sz w:val="22"/>
          <w:szCs w:val="22"/>
          <w:color w:val="auto"/>
        </w:rPr>
        <w:t>retirement" shall mean the retirement by an eligible Participant at the Normal Retirement Date.</w:t>
      </w:r>
    </w:p>
    <w:p>
      <w:pPr>
        <w:spacing w:after="0" w:line="247" w:lineRule="exact"/>
        <w:rPr>
          <w:sz w:val="20"/>
          <w:szCs w:val="20"/>
          <w:color w:val="auto"/>
        </w:rPr>
      </w:pPr>
    </w:p>
    <w:p>
      <w:pPr>
        <w:jc w:val="both"/>
        <w:ind w:left="660" w:hanging="4"/>
        <w:spacing w:after="0" w:line="477" w:lineRule="auto"/>
        <w:tabs>
          <w:tab w:leader="none" w:pos="994" w:val="left"/>
        </w:tabs>
        <w:numPr>
          <w:ilvl w:val="3"/>
          <w:numId w:val="59"/>
        </w:numPr>
        <w:rPr>
          <w:rFonts w:ascii="Arial" w:cs="Arial" w:eastAsia="Arial" w:hAnsi="Arial"/>
          <w:sz w:val="22"/>
          <w:szCs w:val="22"/>
          <w:color w:val="auto"/>
        </w:rPr>
      </w:pPr>
      <w:r>
        <w:rPr>
          <w:rFonts w:ascii="Arial" w:cs="Arial" w:eastAsia="Arial" w:hAnsi="Arial"/>
          <w:sz w:val="22"/>
          <w:szCs w:val="22"/>
          <w:color w:val="auto"/>
        </w:rPr>
        <w:t>"permanent physical or mental disability" shall mean: a Participant's inability to perform his or her job or any position which the Participant can reasonably perform with his or her background and training by reason of any medically determinable physical or mental impairment which can be expected to result in death or to be of long, continued and indefinite duration, all as determined by the Committee in its discretion.</w:t>
      </w:r>
    </w:p>
    <w:p>
      <w:pPr>
        <w:jc w:val="both"/>
        <w:ind w:firstLine="327"/>
        <w:spacing w:after="0" w:line="496" w:lineRule="auto"/>
        <w:tabs>
          <w:tab w:leader="none" w:pos="8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In the event of a Change in Control (as defined in the Plan) prior to the Vesting Date, this Award will be treated in accordance with the provisions of the Plan applicable to a Change in Control, provided, however, that for purposes of computing the payment due to the Participant as a result of a termination of employment following a Change in Control under the terms set forth in the Plan, (i) the full number of Target Shares will be used (as opposed to the actual number of shares, if any, that may be issuable based on performance through the date of the termination of employment following the Change in Control) and (ii) no pro-ration of the Award will be applied to account for less than the full Performance Period having had elapsed as of the date of the termination of employment following a Change in Control.</w:t>
      </w:r>
    </w:p>
    <w:p>
      <w:pPr>
        <w:spacing w:after="0" w:line="3" w:lineRule="exact"/>
        <w:rPr>
          <w:rFonts w:ascii="Arial" w:cs="Arial" w:eastAsia="Arial" w:hAnsi="Arial"/>
          <w:sz w:val="21"/>
          <w:szCs w:val="21"/>
          <w:color w:val="auto"/>
        </w:rPr>
      </w:pPr>
    </w:p>
    <w:p>
      <w:pPr>
        <w:ind w:left="700" w:hanging="476"/>
        <w:spacing w:after="0"/>
        <w:tabs>
          <w:tab w:leader="none" w:pos="7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adjustment provisions set forth in Section 8 of the Plan shall apply to this Award.</w:t>
      </w:r>
    </w:p>
    <w:p>
      <w:pPr>
        <w:spacing w:after="0" w:line="246" w:lineRule="exact"/>
        <w:rPr>
          <w:rFonts w:ascii="Arial" w:cs="Arial" w:eastAsia="Arial" w:hAnsi="Arial"/>
          <w:sz w:val="22"/>
          <w:szCs w:val="22"/>
          <w:color w:val="auto"/>
        </w:rPr>
      </w:pPr>
    </w:p>
    <w:p>
      <w:pPr>
        <w:jc w:val="both"/>
        <w:ind w:firstLine="272"/>
        <w:spacing w:after="0" w:line="477" w:lineRule="auto"/>
        <w:tabs>
          <w:tab w:leader="none" w:pos="787"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This Award shall not be transferable by the Participant, in whole or in part, except in accordance with Section 7 of the Plan. Any purported assignment, transfer, pledge, hypothecation or other disposition of the Award or any interest therein contrary to the provisions of the Plan, and the levy of any execution to, or the attachment or similar process upon, the Award or any interest therein, shall be null and void and without effect.</w:t>
      </w:r>
    </w:p>
    <w:p>
      <w:pPr>
        <w:jc w:val="both"/>
        <w:ind w:firstLine="230"/>
        <w:spacing w:after="0" w:line="484" w:lineRule="auto"/>
        <w:tabs>
          <w:tab w:leader="none" w:pos="714" w:val="left"/>
        </w:tabs>
        <w:numPr>
          <w:ilvl w:val="1"/>
          <w:numId w:val="59"/>
        </w:numPr>
        <w:rPr>
          <w:rFonts w:ascii="Arial" w:cs="Arial" w:eastAsia="Arial" w:hAnsi="Arial"/>
          <w:sz w:val="22"/>
          <w:szCs w:val="22"/>
          <w:color w:val="auto"/>
        </w:rPr>
      </w:pPr>
      <w:r>
        <w:rPr>
          <w:rFonts w:ascii="Arial" w:cs="Arial" w:eastAsia="Arial" w:hAnsi="Arial"/>
          <w:sz w:val="22"/>
          <w:szCs w:val="22"/>
          <w:color w:val="auto"/>
        </w:rPr>
        <w:t>Subject to the applicable provisions of the Plan, and particularly to Section 7 of the Plan, this Agreement shall be binding upon and shall inure to the benefit of Participant, Participant’s successors and permitted assigns, and the Company and its successors and assigns.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01" w:right="339" w:bottom="1440" w:gutter="0" w:footer="0" w:header="0"/>
        </w:sectPr>
      </w:pPr>
    </w:p>
    <w:bookmarkStart w:id="77" w:name="page78"/>
    <w:bookmarkEnd w:id="77"/>
    <w:p>
      <w:pPr>
        <w:ind w:firstLine="274"/>
        <w:spacing w:after="0" w:line="473" w:lineRule="auto"/>
        <w:tabs>
          <w:tab w:leader="none" w:pos="798"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This Agreement shall be construed and enforced in accordance with the internal laws of the State of Rhode Island and Providence Plantations and applicable Federal law.</w:t>
      </w:r>
    </w:p>
    <w:p>
      <w:pPr>
        <w:spacing w:after="0" w:line="1" w:lineRule="exact"/>
        <w:rPr>
          <w:rFonts w:ascii="Arial" w:cs="Arial" w:eastAsia="Arial" w:hAnsi="Arial"/>
          <w:sz w:val="22"/>
          <w:szCs w:val="22"/>
          <w:color w:val="auto"/>
        </w:rPr>
      </w:pPr>
    </w:p>
    <w:p>
      <w:pPr>
        <w:jc w:val="both"/>
        <w:ind w:firstLine="380"/>
        <w:spacing w:after="0" w:line="477" w:lineRule="auto"/>
        <w:tabs>
          <w:tab w:leader="none" w:pos="1014" w:val="left"/>
        </w:tabs>
        <w:numPr>
          <w:ilvl w:val="2"/>
          <w:numId w:val="60"/>
        </w:numPr>
        <w:rPr>
          <w:rFonts w:ascii="Arial" w:cs="Arial" w:eastAsia="Arial" w:hAnsi="Arial"/>
          <w:sz w:val="22"/>
          <w:szCs w:val="22"/>
          <w:color w:val="auto"/>
        </w:rPr>
      </w:pPr>
      <w:r>
        <w:rPr>
          <w:rFonts w:ascii="Arial" w:cs="Arial" w:eastAsia="Arial" w:hAnsi="Arial"/>
          <w:sz w:val="22"/>
          <w:szCs w:val="22"/>
          <w:color w:val="auto"/>
        </w:rPr>
        <w:t>In the event of any inconsistency between the provisions of this Agreement and, if applicable, the terms of the Participant’s Employment Agreement, the provisions set forth in the Employment Agreement shall control, provided that to the extent the provisions of this Agreement or the Participant’s Employment Agreement are inconsistent with the terms of the Plan, then the terms of the Plan shall control.</w:t>
      </w:r>
    </w:p>
    <w:p>
      <w:pPr>
        <w:jc w:val="both"/>
        <w:ind w:firstLine="284"/>
        <w:spacing w:after="0" w:line="558" w:lineRule="auto"/>
        <w:tabs>
          <w:tab w:leader="none" w:pos="823" w:val="left"/>
        </w:tabs>
        <w:numPr>
          <w:ilvl w:val="1"/>
          <w:numId w:val="60"/>
        </w:numPr>
        <w:rPr>
          <w:rFonts w:ascii="Arial" w:cs="Arial" w:eastAsia="Arial" w:hAnsi="Arial"/>
          <w:sz w:val="19"/>
          <w:szCs w:val="19"/>
          <w:color w:val="auto"/>
        </w:rPr>
      </w:pPr>
      <w:r>
        <w:rPr>
          <w:rFonts w:ascii="Arial" w:cs="Arial" w:eastAsia="Arial" w:hAnsi="Arial"/>
          <w:sz w:val="19"/>
          <w:szCs w:val="19"/>
          <w:color w:val="auto"/>
        </w:rPr>
        <w:t>Notwithstanding any other terms and conditions of the Plan or this Agreement, unless there is an available exemption from any registration, qualification or other legal requirement applicable to the issuance of this Award or any shares of Common Stock and the Participant may become entitled to under the Award in the future, the Company shall not be required to deliver any such securities prior to the completion of any registration or qualification of any such securities under any non-U.S. securities, exchange control or other law, or under the ruling or regulations of any governmental regulatory body, or prior to obtaining any approval or other clearance from any governmental agency, which registration, qualification or approval the Company shall, in its absolute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his or her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01" w:right="339" w:bottom="1440" w:gutter="0" w:footer="0" w:header="0"/>
        </w:sectPr>
      </w:pPr>
    </w:p>
    <w:bookmarkStart w:id="78" w:name="page79"/>
    <w:bookmarkEnd w:id="78"/>
    <w:p>
      <w:pPr>
        <w:jc w:val="both"/>
        <w:ind w:firstLine="232"/>
        <w:spacing w:after="0" w:line="480" w:lineRule="auto"/>
        <w:rPr>
          <w:sz w:val="20"/>
          <w:szCs w:val="20"/>
          <w:color w:val="auto"/>
        </w:rPr>
      </w:pPr>
      <w:r>
        <w:rPr>
          <w:rFonts w:ascii="Arial" w:cs="Arial" w:eastAsia="Arial" w:hAnsi="Arial"/>
          <w:sz w:val="22"/>
          <w:szCs w:val="22"/>
          <w:color w:val="auto"/>
        </w:rPr>
        <w:t>IN WITNESS WHEREOF, the Company and the Participant have entered this Agreement effective as of the day and year first above written. By accepting the terms of the award represented by this Agreement through an electronic form offered by the Company, or the Company’s designee, the Participant hereby agrees to the terms of this Agreement with the same effect as if the Participant had signed this Agreement.</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HASBRO, INC.</w:t>
      </w:r>
    </w:p>
    <w:p>
      <w:pPr>
        <w:spacing w:after="0" w:line="33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Chris Cocks</w:t>
      </w:r>
    </w:p>
    <w:p>
      <w:pPr>
        <w:ind w:left="280"/>
        <w:spacing w:after="0" w:line="204" w:lineRule="auto"/>
        <w:rPr>
          <w:sz w:val="20"/>
          <w:szCs w:val="20"/>
          <w:color w:val="auto"/>
        </w:rPr>
      </w:pPr>
      <w:r>
        <w:rPr>
          <w:rFonts w:ascii="Arial" w:cs="Arial" w:eastAsia="Arial" w:hAnsi="Arial"/>
          <w:sz w:val="22"/>
          <w:szCs w:val="22"/>
          <w:color w:val="auto"/>
        </w:rPr>
        <w:t>Chris Cocks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By: _________________________</w:t>
      </w:r>
    </w:p>
    <w:p>
      <w:pPr>
        <w:ind w:left="108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01"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jc w:val="center"/>
        <w:ind w:right="-19"/>
        <w:spacing w:after="0"/>
        <w:rPr>
          <w:sz w:val="20"/>
          <w:szCs w:val="20"/>
          <w:color w:val="auto"/>
        </w:rPr>
      </w:pPr>
      <w:r>
        <w:rPr>
          <w:rFonts w:ascii="Arial" w:cs="Arial" w:eastAsia="Arial" w:hAnsi="Arial"/>
          <w:sz w:val="22"/>
          <w:szCs w:val="22"/>
          <w:b w:val="1"/>
          <w:bCs w:val="1"/>
          <w:u w:val="single" w:color="auto"/>
          <w:color w:val="auto"/>
        </w:rPr>
        <w:t>Performance Criteria and Conditions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Targets</w:t>
      </w:r>
      <w:r>
        <w:rPr>
          <w:rFonts w:ascii="Arial" w:cs="Arial" w:eastAsia="Arial" w:hAnsi="Arial"/>
          <w:sz w:val="22"/>
          <w:szCs w:val="22"/>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cumulative EPS and ROIC targets for the Performance Period are:</w:t>
      </w: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EPS:</w:t>
      </w:r>
      <w:r>
        <w:rPr>
          <w:sz w:val="20"/>
          <w:szCs w:val="20"/>
          <w:color w:val="auto"/>
        </w:rPr>
        <w:tab/>
      </w:r>
      <w:r>
        <w:rPr>
          <w:rFonts w:ascii="Arial" w:cs="Arial" w:eastAsia="Arial" w:hAnsi="Arial"/>
          <w:sz w:val="22"/>
          <w:szCs w:val="22"/>
          <w:color w:val="auto"/>
        </w:rPr>
        <w:t>$______</w:t>
      </w:r>
    </w:p>
    <w:p>
      <w:pPr>
        <w:spacing w:after="0"/>
        <w:tabs>
          <w:tab w:leader="none" w:pos="1760" w:val="left"/>
        </w:tabs>
        <w:rPr>
          <w:sz w:val="20"/>
          <w:szCs w:val="20"/>
          <w:color w:val="auto"/>
        </w:rPr>
      </w:pPr>
      <w:r>
        <w:rPr>
          <w:rFonts w:ascii="Arial" w:cs="Arial" w:eastAsia="Arial" w:hAnsi="Arial"/>
          <w:sz w:val="22"/>
          <w:szCs w:val="22"/>
          <w:color w:val="auto"/>
        </w:rPr>
        <w:t>Average ROIC:</w:t>
      </w:r>
      <w:r>
        <w:rPr>
          <w:sz w:val="20"/>
          <w:szCs w:val="20"/>
          <w:color w:val="auto"/>
        </w:rPr>
        <w:tab/>
      </w:r>
      <w:r>
        <w:rPr>
          <w:rFonts w:ascii="Arial" w:cs="Arial" w:eastAsia="Arial" w:hAnsi="Arial"/>
          <w:sz w:val="19"/>
          <w:szCs w:val="19"/>
          <w:color w:val="auto"/>
        </w:rPr>
        <w:t>_______%</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For purposes of this Agreement, the Company’s cumulative EPS and average ROIC over the Performance Period will be computed on a consolidated basis in the same manner used by the Company in computing its consolidated financial performance under generally accepted accounting principles (“GAAP”), except for the deviations from GAAP which are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this Agreement. Further, EPS will be calculated based on actual results translated at exchange rates established at the beginning of the Performance Period. Average ROIC shall be computed as Net Income plus after-tax interest expense divided by the sum of net debt (calculated by subtracting the Company’s total cash and cash equivalents from its total short-term and long-term debt) plus Shareholder’s Equity, averaged over the three fiscal years in the Performance Period.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w:t>
      </w:r>
    </w:p>
    <w:p>
      <w:pPr>
        <w:spacing w:after="0" w:line="21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total number of shares of Common Stock which may be issuable under this Award will be equal to the product of the (i) the Target Shares and (ii) the Payout Factor set forth below, subject to adjustment for the TSR Modifier as described below (with any fractional shares rounded up to the next whole share).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Payout Factors for EPS and ROIC Metrics</w:t>
      </w:r>
      <w:r>
        <w:rPr>
          <w:rFonts w:ascii="Arial" w:cs="Arial" w:eastAsia="Arial" w:hAnsi="Arial"/>
          <w:sz w:val="22"/>
          <w:szCs w:val="22"/>
          <w:color w:val="auto"/>
        </w:rPr>
        <w:t>:</w:t>
      </w:r>
    </w:p>
    <w:p>
      <w:pPr>
        <w:jc w:val="both"/>
        <w:spacing w:after="0" w:line="245" w:lineRule="auto"/>
        <w:rPr>
          <w:sz w:val="20"/>
          <w:szCs w:val="20"/>
          <w:color w:val="auto"/>
        </w:rPr>
      </w:pPr>
      <w:r>
        <w:rPr>
          <w:rFonts w:ascii="Arial" w:cs="Arial" w:eastAsia="Arial" w:hAnsi="Arial"/>
          <w:sz w:val="19"/>
          <w:szCs w:val="19"/>
          <w:color w:val="auto"/>
        </w:rPr>
        <w:t>Each of the cumulative EPS and average ROIC metrics is weighted 50%. The payout percentage for each metric shall be determined separately, and then aggregated, resulting in a total payout factor (the “Payout Factor”), prior the adjustment for the TSR Modifier. By way of example, if performance for the cumulative EPS metric is achieved at 80% (i.e., threshold), then the payout for that metric would be 50%, and if the average ROIC metric is achieved at 100% (i.e., target), then the payout for that metric would be 100%, resulting in an overall Payout Factor (prior to adjustment for the TSR Modifier) of 75% (i.e., 50% weighting x 50% payout for the EPS metric, plus 50% weighing x 100% payout for the ROIC metric).</w:t>
      </w:r>
    </w:p>
    <w:p>
      <w:pPr>
        <w:spacing w:after="0" w:line="18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In the event that achievement for a metric is between threshold (80%) and target (100%) or between target (100%) and maximum (125% for cumulative EPS and average ROIC) performance, the applicable payout percentage will be determined by linear interpolation between threshold and target performance or target and maximum performance, as applicable. There is no payout for a metric if achievement is less than threshold.</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EPS</w:t>
            </w:r>
          </w:p>
        </w:tc>
        <w:tc>
          <w:tcPr>
            <w:tcW w:w="2180" w:type="dxa"/>
            <w:vAlign w:val="bottom"/>
            <w:tcBorders>
              <w:top w:val="single" w:sz="8" w:color="auto"/>
              <w:bottom w:val="single" w:sz="8" w:color="auto"/>
              <w:right w:val="single" w:sz="8" w:color="auto"/>
            </w:tcBorders>
          </w:tcPr>
          <w:p>
            <w:pPr>
              <w:jc w:val="right"/>
              <w:ind w:right="463"/>
              <w:spacing w:after="0"/>
              <w:rPr>
                <w:sz w:val="20"/>
                <w:szCs w:val="20"/>
                <w:color w:val="auto"/>
              </w:rPr>
            </w:pPr>
            <w:r>
              <w:rPr>
                <w:rFonts w:ascii="Arial" w:cs="Arial" w:eastAsia="Arial" w:hAnsi="Arial"/>
                <w:sz w:val="20"/>
                <w:szCs w:val="20"/>
                <w:b w:val="1"/>
                <w:bCs w:val="1"/>
                <w:color w:val="auto"/>
              </w:rPr>
              <w:t>Achievement</w:t>
            </w:r>
          </w:p>
        </w:tc>
        <w:tc>
          <w:tcPr>
            <w:tcW w:w="172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Payout</w:t>
            </w:r>
          </w:p>
        </w:tc>
      </w:tr>
      <w:tr>
        <w:trPr>
          <w:trHeight w:val="247"/>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Less than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&lt;80%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5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 (Threshold)</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r>
      <w:tr>
        <w:trPr>
          <w:trHeight w:val="25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 (Target)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25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 (Maximum)</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125%</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r>
      <w:tr>
        <w:trPr>
          <w:trHeight w:val="915"/>
        </w:trPr>
        <w:tc>
          <w:tcPr>
            <w:tcW w:w="4020" w:type="dxa"/>
            <w:vAlign w:val="bottom"/>
          </w:tcPr>
          <w:p>
            <w:pPr>
              <w:spacing w:after="0"/>
              <w:rPr>
                <w:sz w:val="24"/>
                <w:szCs w:val="24"/>
                <w:color w:val="auto"/>
              </w:rPr>
            </w:pPr>
          </w:p>
        </w:tc>
        <w:tc>
          <w:tcPr>
            <w:tcW w:w="2180" w:type="dxa"/>
            <w:vAlign w:val="bottom"/>
          </w:tcPr>
          <w:p>
            <w:pPr>
              <w:jc w:val="right"/>
              <w:ind w:right="383"/>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24"/>
                <w:szCs w:val="24"/>
                <w:color w:val="auto"/>
              </w:rPr>
            </w:pPr>
          </w:p>
        </w:tc>
      </w:tr>
    </w:tbl>
    <w:p>
      <w:pPr>
        <w:sectPr>
          <w:pgSz w:w="11900" w:h="16838" w:orient="portrait"/>
          <w:cols w:equalWidth="0" w:num="1">
            <w:col w:w="11240"/>
          </w:cols>
          <w:pgMar w:left="320" w:top="977" w:right="339" w:bottom="1440" w:gutter="0" w:footer="0" w:header="0"/>
        </w:sectPr>
      </w:pPr>
    </w:p>
    <w:bookmarkStart w:id="80" w:name="page81"/>
    <w:bookmarkEnd w:id="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ROIC</w:t>
            </w:r>
          </w:p>
        </w:tc>
        <w:tc>
          <w:tcPr>
            <w:tcW w:w="218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20"/>
                <w:szCs w:val="20"/>
                <w:b w:val="1"/>
                <w:bCs w:val="1"/>
                <w:color w:val="auto"/>
              </w:rPr>
              <w:t>Achievement</w:t>
            </w:r>
          </w:p>
        </w:tc>
        <w:tc>
          <w:tcPr>
            <w:tcW w:w="172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20"/>
                <w:szCs w:val="20"/>
                <w:b w:val="1"/>
                <w:bCs w:val="1"/>
                <w:color w:val="auto"/>
              </w:rPr>
              <w:t>Payout</w:t>
            </w:r>
          </w:p>
        </w:tc>
      </w:tr>
      <w:tr>
        <w:trPr>
          <w:trHeight w:val="247"/>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Less than %</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&lt;80%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5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 (Threshold)</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r>
      <w:tr>
        <w:trPr>
          <w:trHeight w:val="25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 (Target)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25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 (Maximum)</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125%</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 for TSR Modifier</w:t>
      </w:r>
      <w:r>
        <w:rPr>
          <w:rFonts w:ascii="Arial" w:cs="Arial" w:eastAsia="Arial" w:hAnsi="Arial"/>
          <w:sz w:val="22"/>
          <w:szCs w:val="22"/>
          <w:color w:val="auto"/>
        </w:rPr>
        <w:t>:</w:t>
      </w:r>
    </w:p>
    <w:p>
      <w:pPr>
        <w:spacing w:after="0" w:line="21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number of shares earned based on the Payout Factor, as determined above, is subject to a +/- 25% modifier based on the Company’s TSR Performance against the TSR Comparator Group over the TSR Performance Period.</w:t>
      </w:r>
    </w:p>
    <w:p>
      <w:pPr>
        <w:spacing w:after="0" w:line="186" w:lineRule="exact"/>
        <w:rPr>
          <w:sz w:val="20"/>
          <w:szCs w:val="20"/>
          <w:color w:val="auto"/>
        </w:rPr>
      </w:pPr>
    </w:p>
    <w:p>
      <w:pPr>
        <w:jc w:val="both"/>
        <w:ind w:left="660" w:hanging="328"/>
        <w:spacing w:after="0" w:line="223" w:lineRule="auto"/>
        <w:tabs>
          <w:tab w:leader="none" w:pos="655"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the Company’s TSR Performance is below the 25th percentile of the TSR Performance of the TSR Comparator Group over the TSR Performance Period, then the number of shares earned according to the Payout Factor will be reduced by 25%.</w:t>
      </w:r>
    </w:p>
    <w:p>
      <w:pPr>
        <w:spacing w:after="0" w:line="185" w:lineRule="exact"/>
        <w:rPr>
          <w:rFonts w:ascii="Arial" w:cs="Arial" w:eastAsia="Arial" w:hAnsi="Arial"/>
          <w:sz w:val="22"/>
          <w:szCs w:val="22"/>
          <w:color w:val="auto"/>
        </w:rPr>
      </w:pPr>
    </w:p>
    <w:p>
      <w:pPr>
        <w:jc w:val="both"/>
        <w:ind w:left="660" w:hanging="328"/>
        <w:spacing w:after="0" w:line="223" w:lineRule="auto"/>
        <w:tabs>
          <w:tab w:leader="none" w:pos="655"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the Company’s TSR Performance is greater than the 75th percentile of the TSR Performance of the TSR Comparator Group over the TSR Performance Period, then the number of shares earned according to the Payout Factor will be increased by 25%.</w:t>
      </w:r>
    </w:p>
    <w:p>
      <w:pPr>
        <w:spacing w:after="0" w:line="185" w:lineRule="exact"/>
        <w:rPr>
          <w:rFonts w:ascii="Arial" w:cs="Arial" w:eastAsia="Arial" w:hAnsi="Arial"/>
          <w:sz w:val="22"/>
          <w:szCs w:val="22"/>
          <w:color w:val="auto"/>
        </w:rPr>
      </w:pPr>
    </w:p>
    <w:p>
      <w:pPr>
        <w:ind w:left="660" w:hanging="328"/>
        <w:spacing w:after="0" w:line="247" w:lineRule="auto"/>
        <w:tabs>
          <w:tab w:leader="none" w:pos="655"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number of shares earned based on the Payout Factor will not be modified if the Company’s TSR Performance is between the 25th and 75th percentile of the TSR Performance of the TSR Comparator Group.</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shall apply for the purpose of applying the TSR Modifier: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TSR Performance Calculation</w:t>
      </w:r>
      <w:r>
        <w:rPr>
          <w:rFonts w:ascii="Arial" w:cs="Arial" w:eastAsia="Arial" w:hAnsi="Arial"/>
          <w:sz w:val="22"/>
          <w:szCs w:val="22"/>
          <w:color w:val="auto"/>
        </w:rPr>
        <w:t>:</w:t>
      </w:r>
    </w:p>
    <w:p>
      <w:pPr>
        <w:jc w:val="both"/>
        <w:spacing w:after="0" w:line="217" w:lineRule="auto"/>
        <w:rPr>
          <w:sz w:val="20"/>
          <w:szCs w:val="20"/>
          <w:color w:val="auto"/>
        </w:rPr>
      </w:pPr>
      <w:r>
        <w:rPr>
          <w:rFonts w:ascii="Arial" w:cs="Arial" w:eastAsia="Arial" w:hAnsi="Arial"/>
          <w:sz w:val="22"/>
          <w:szCs w:val="22"/>
          <w:color w:val="auto"/>
        </w:rPr>
        <w:t>Hasbro’s stock price change + Dividends (assumed reinvested) divided by the beginning stock price. The change in stock price will be calculated using a 20-trading average closing stock price including adjustments for cash and stock dividends prior to the beginning and the end of the performance period.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Beginning Stock Price</w:t>
      </w:r>
      <w:r>
        <w:rPr>
          <w:rFonts w:ascii="Arial" w:cs="Arial" w:eastAsia="Arial" w:hAnsi="Arial"/>
          <w:sz w:val="22"/>
          <w:szCs w:val="22"/>
          <w:color w:val="auto"/>
        </w:rPr>
        <w:t>:</w:t>
      </w:r>
    </w:p>
    <w:p>
      <w:pPr>
        <w:jc w:val="both"/>
        <w:ind w:right="20"/>
        <w:spacing w:after="0" w:line="224" w:lineRule="auto"/>
        <w:rPr>
          <w:sz w:val="20"/>
          <w:szCs w:val="20"/>
          <w:color w:val="auto"/>
        </w:rPr>
      </w:pPr>
      <w:r>
        <w:rPr>
          <w:rFonts w:ascii="Arial" w:cs="Arial" w:eastAsia="Arial" w:hAnsi="Arial"/>
          <w:sz w:val="22"/>
          <w:szCs w:val="22"/>
          <w:color w:val="auto"/>
        </w:rPr>
        <w:t>The beginning stock price will be determined using the 20-trading day average closing stock price ending on the first day of the performance period.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Ending Stock Price</w:t>
      </w:r>
      <w:r>
        <w:rPr>
          <w:rFonts w:ascii="Arial" w:cs="Arial" w:eastAsia="Arial" w:hAnsi="Arial"/>
          <w:sz w:val="22"/>
          <w:szCs w:val="22"/>
          <w:color w:val="auto"/>
        </w:rPr>
        <w:t>:</w:t>
      </w:r>
    </w:p>
    <w:p>
      <w:pPr>
        <w:jc w:val="both"/>
        <w:ind w:right="20"/>
        <w:spacing w:after="0" w:line="224" w:lineRule="auto"/>
        <w:rPr>
          <w:sz w:val="20"/>
          <w:szCs w:val="20"/>
          <w:color w:val="auto"/>
        </w:rPr>
      </w:pPr>
      <w:r>
        <w:rPr>
          <w:rFonts w:ascii="Arial" w:cs="Arial" w:eastAsia="Arial" w:hAnsi="Arial"/>
          <w:sz w:val="22"/>
          <w:szCs w:val="22"/>
          <w:color w:val="auto"/>
        </w:rPr>
        <w:t>The ending stock price will be determined using the 20-trading day average closing stock price ending on the last day of the performance period.</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20-Trading Day Average Closing Price</w:t>
      </w:r>
      <w:r>
        <w:rPr>
          <w:rFonts w:ascii="Arial" w:cs="Arial" w:eastAsia="Arial" w:hAnsi="Arial"/>
          <w:sz w:val="21"/>
          <w:szCs w:val="21"/>
          <w:color w:val="auto"/>
        </w:rPr>
        <w:t xml:space="preserve"> ” means the average of the closing transaction prices of a share of Common Stock of the Company, as reported on the principal national stock exchange on which such Common Stock is traded for the 20 business days immediately preceding the date for which the average stock price is being determined.</w:t>
      </w:r>
    </w:p>
    <w:p>
      <w:pPr>
        <w:spacing w:after="0" w:line="185"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TSR Comparator Group</w:t>
      </w:r>
      <w:r>
        <w:rPr>
          <w:rFonts w:ascii="Arial" w:cs="Arial" w:eastAsia="Arial" w:hAnsi="Arial"/>
          <w:sz w:val="21"/>
          <w:szCs w:val="21"/>
          <w:color w:val="auto"/>
        </w:rPr>
        <w:t>” means the S&amp;P 500. For purposes of determining TSR Performance with respect to the TSR Performance Period, the companies included in S&amp;P 500 shall be determined at the beginning of the TSR Performance Period, excluding those entities that are bankrupt, listed on the pink sheets or not listed at all. Should a company within the TSR Comparator Group become bankrupt after the start of the TSR Performance Period, they shall be assigned a TSR of -100%. Companies emerging from bankruptcy shall not be tracked for purposes of the current TSR Performance Period. If a company is acquired during the TSR Performance Period or is taken private, it will be eliminated for the entire measurement period. Companies with stock splits or recapitalizations during the TSR Performance Period will have their opening share price adjusted for the split or recapitalization. If two companies within the TSR Comparator Group merge, only the surviving entity shall be counted. Should a company within the TSR Comparator Group merge with a company outside of the TSR Comparator Group, then that entity shall be excluded from the final calculation.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95" w:right="339" w:bottom="1440" w:gutter="0" w:footer="0" w:header="0"/>
        </w:sectPr>
      </w:pPr>
    </w:p>
    <w:bookmarkStart w:id="81" w:name="page82"/>
    <w:bookmarkEnd w:id="81"/>
    <w:p>
      <w:pPr>
        <w:spacing w:after="0"/>
        <w:rPr>
          <w:sz w:val="20"/>
          <w:szCs w:val="20"/>
          <w:color w:val="auto"/>
        </w:rPr>
      </w:pPr>
      <w:r>
        <w:rPr>
          <w:rFonts w:ascii="Arial" w:cs="Arial" w:eastAsia="Arial" w:hAnsi="Arial"/>
          <w:sz w:val="22"/>
          <w:szCs w:val="22"/>
          <w:u w:val="single" w:color="auto"/>
          <w:color w:val="auto"/>
        </w:rPr>
        <w:t>Percentile Rank</w:t>
      </w:r>
      <w:r>
        <w:rPr>
          <w:rFonts w:ascii="Arial" w:cs="Arial" w:eastAsia="Arial" w:hAnsi="Arial"/>
          <w:sz w:val="22"/>
          <w:szCs w:val="22"/>
          <w:color w:val="auto"/>
        </w:rPr>
        <w:t>:</w:t>
      </w:r>
    </w:p>
    <w:p>
      <w:pPr>
        <w:spacing w:after="0" w:line="206"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Hasbro’s percentile rank compared to the comparator companies (excluding Hasbro) is determined by interpolating between the percentile ranks for the comparator companies immediately above and below them based on differences in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9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u w:val="single" w:color="auto"/>
          <w:color w:val="auto"/>
        </w:rPr>
        <w:t>Exhibit B</w:t>
      </w:r>
    </w:p>
    <w:p>
      <w:pPr>
        <w:jc w:val="center"/>
        <w:spacing w:after="0"/>
        <w:rPr>
          <w:sz w:val="20"/>
          <w:szCs w:val="20"/>
          <w:color w:val="auto"/>
        </w:rPr>
      </w:pPr>
      <w:r>
        <w:rPr>
          <w:rFonts w:ascii="Arial" w:cs="Arial" w:eastAsia="Arial" w:hAnsi="Arial"/>
          <w:sz w:val="22"/>
          <w:szCs w:val="22"/>
          <w:b w:val="1"/>
          <w:bCs w:val="1"/>
          <w:u w:val="single" w:color="auto"/>
          <w:color w:val="auto"/>
        </w:rPr>
        <w:t>Adjustments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Metrics (EPS and ROIC) will be computed excluding the impact of the following events or activities which occur during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w:t>
      </w:r>
    </w:p>
    <w:p>
      <w:pPr>
        <w:spacing w:after="0" w:line="242" w:lineRule="exact"/>
        <w:rPr>
          <w:sz w:val="20"/>
          <w:szCs w:val="20"/>
          <w:color w:val="auto"/>
        </w:rPr>
      </w:pPr>
    </w:p>
    <w:p>
      <w:pPr>
        <w:ind w:left="960" w:hanging="628"/>
        <w:spacing w:after="0"/>
        <w:tabs>
          <w:tab w:leader="none" w:pos="9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Non-GAAP adjustments, including but not limited to:</w:t>
      </w:r>
    </w:p>
    <w:p>
      <w:pPr>
        <w:spacing w:after="0" w:line="21" w:lineRule="exact"/>
        <w:rPr>
          <w:rFonts w:ascii="Arial" w:cs="Arial" w:eastAsia="Arial" w:hAnsi="Arial"/>
          <w:sz w:val="22"/>
          <w:szCs w:val="22"/>
          <w:color w:val="auto"/>
        </w:rPr>
      </w:pPr>
    </w:p>
    <w:p>
      <w:pPr>
        <w:ind w:left="1300" w:hanging="320"/>
        <w:spacing w:after="0" w:line="243" w:lineRule="auto"/>
        <w:tabs>
          <w:tab w:leader="none" w:pos="1288" w:val="left"/>
        </w:tabs>
        <w:numPr>
          <w:ilvl w:val="2"/>
          <w:numId w:val="62"/>
        </w:numPr>
        <w:rPr>
          <w:rFonts w:ascii="Arial" w:cs="Arial" w:eastAsia="Arial" w:hAnsi="Arial"/>
          <w:sz w:val="22"/>
          <w:szCs w:val="22"/>
          <w:color w:val="auto"/>
        </w:rPr>
      </w:pPr>
      <w:r>
        <w:rPr>
          <w:rFonts w:ascii="Arial" w:cs="Arial" w:eastAsia="Arial" w:hAnsi="Arial"/>
          <w:sz w:val="22"/>
          <w:szCs w:val="22"/>
          <w:color w:val="auto"/>
        </w:rPr>
        <w:t>Hasbro Transformation Office (“HTO”) charges, including severance, consulting fees and other one-time costs associated with the transformation program;</w:t>
      </w:r>
    </w:p>
    <w:p>
      <w:pPr>
        <w:ind w:left="1300" w:hanging="320"/>
        <w:spacing w:after="0"/>
        <w:tabs>
          <w:tab w:leader="none" w:pos="1300" w:val="left"/>
        </w:tabs>
        <w:numPr>
          <w:ilvl w:val="2"/>
          <w:numId w:val="62"/>
        </w:numPr>
        <w:rPr>
          <w:rFonts w:ascii="Arial" w:cs="Arial" w:eastAsia="Arial" w:hAnsi="Arial"/>
          <w:sz w:val="22"/>
          <w:szCs w:val="22"/>
          <w:color w:val="auto"/>
        </w:rPr>
      </w:pPr>
      <w:r>
        <w:rPr>
          <w:rFonts w:ascii="Arial" w:cs="Arial" w:eastAsia="Arial" w:hAnsi="Arial"/>
          <w:sz w:val="22"/>
          <w:szCs w:val="22"/>
          <w:color w:val="auto"/>
        </w:rPr>
        <w:t>eOne acquisition intangible amortization; and</w:t>
      </w:r>
    </w:p>
    <w:p>
      <w:pPr>
        <w:spacing w:after="0" w:line="3" w:lineRule="exact"/>
        <w:rPr>
          <w:rFonts w:ascii="Arial" w:cs="Arial" w:eastAsia="Arial" w:hAnsi="Arial"/>
          <w:sz w:val="22"/>
          <w:szCs w:val="22"/>
          <w:color w:val="auto"/>
        </w:rPr>
      </w:pPr>
    </w:p>
    <w:p>
      <w:pPr>
        <w:ind w:left="1300" w:hanging="320"/>
        <w:spacing w:after="0" w:line="243" w:lineRule="auto"/>
        <w:tabs>
          <w:tab w:leader="none" w:pos="1288" w:val="left"/>
        </w:tabs>
        <w:numPr>
          <w:ilvl w:val="2"/>
          <w:numId w:val="62"/>
        </w:numPr>
        <w:rPr>
          <w:rFonts w:ascii="Arial" w:cs="Arial" w:eastAsia="Arial" w:hAnsi="Arial"/>
          <w:sz w:val="22"/>
          <w:szCs w:val="22"/>
          <w:color w:val="auto"/>
        </w:rPr>
      </w:pPr>
      <w:r>
        <w:rPr>
          <w:rFonts w:ascii="Arial" w:cs="Arial" w:eastAsia="Arial" w:hAnsi="Arial"/>
          <w:sz w:val="22"/>
          <w:szCs w:val="22"/>
          <w:color w:val="auto"/>
        </w:rPr>
        <w:t>Other Non-GAAP adjustments not contemplated in the plan, including non-cash impairment charges, acquisition or divestiture costs, and other restructuring events outside of the HTO program.</w:t>
      </w:r>
    </w:p>
    <w:p>
      <w:pPr>
        <w:ind w:left="660" w:right="20" w:hanging="652"/>
        <w:spacing w:after="0" w:line="249" w:lineRule="auto"/>
        <w:tabs>
          <w:tab w:leader="none" w:pos="659"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results of any material divestiture or acquisition made by the Company in any fiscal year during the Performance Period.</w:t>
      </w:r>
    </w:p>
    <w:p>
      <w:pPr>
        <w:spacing w:after="0" w:line="1" w:lineRule="exact"/>
        <w:rPr>
          <w:rFonts w:ascii="Arial" w:cs="Arial" w:eastAsia="Arial" w:hAnsi="Arial"/>
          <w:sz w:val="22"/>
          <w:szCs w:val="22"/>
          <w:color w:val="auto"/>
        </w:rPr>
      </w:pPr>
    </w:p>
    <w:p>
      <w:pPr>
        <w:jc w:val="both"/>
        <w:ind w:left="660" w:hanging="652"/>
        <w:spacing w:after="0" w:line="243" w:lineRule="auto"/>
        <w:tabs>
          <w:tab w:leader="none" w:pos="643" w:val="left"/>
        </w:tabs>
        <w:numPr>
          <w:ilvl w:val="0"/>
          <w:numId w:val="63"/>
        </w:numPr>
        <w:rPr>
          <w:rFonts w:ascii="Arial" w:cs="Arial" w:eastAsia="Arial" w:hAnsi="Arial"/>
          <w:sz w:val="22"/>
          <w:szCs w:val="22"/>
          <w:color w:val="auto"/>
        </w:rPr>
      </w:pPr>
      <w:r>
        <w:rPr>
          <w:rFonts w:ascii="Arial" w:cs="Arial" w:eastAsia="Arial" w:hAnsi="Arial"/>
          <w:sz w:val="22"/>
          <w:szCs w:val="22"/>
          <w:color w:val="auto"/>
        </w:rPr>
        <w:t>Unusual, one-time, non-operating or other significant unbudgeted costs or expenses in excess of $25 million in any fiscal year during the Performance Period, which costs, or expenses are related to changes in accounting rules that are effective after the date of this Agreement.</w:t>
      </w:r>
    </w:p>
    <w:p>
      <w:pPr>
        <w:spacing w:after="0" w:line="1" w:lineRule="exact"/>
        <w:rPr>
          <w:rFonts w:ascii="Arial" w:cs="Arial" w:eastAsia="Arial" w:hAnsi="Arial"/>
          <w:sz w:val="22"/>
          <w:szCs w:val="22"/>
          <w:color w:val="auto"/>
        </w:rPr>
      </w:pPr>
    </w:p>
    <w:p>
      <w:pPr>
        <w:jc w:val="both"/>
        <w:ind w:left="660" w:hanging="652"/>
        <w:spacing w:after="0" w:line="247" w:lineRule="auto"/>
        <w:tabs>
          <w:tab w:leader="none" w:pos="634" w:val="left"/>
        </w:tabs>
        <w:numPr>
          <w:ilvl w:val="0"/>
          <w:numId w:val="63"/>
        </w:numPr>
        <w:rPr>
          <w:rFonts w:ascii="Arial" w:cs="Arial" w:eastAsia="Arial" w:hAnsi="Arial"/>
          <w:sz w:val="22"/>
          <w:szCs w:val="22"/>
          <w:color w:val="auto"/>
        </w:rPr>
      </w:pPr>
      <w:r>
        <w:rPr>
          <w:rFonts w:ascii="Arial" w:cs="Arial" w:eastAsia="Arial" w:hAnsi="Arial"/>
          <w:sz w:val="22"/>
          <w:szCs w:val="22"/>
          <w:color w:val="auto"/>
        </w:rPr>
        <w:t>Unusual, one-time, non-operating or other significant unbudgeted costs or expenses in excess of $25 million in any fiscal year during the Performance Period, which costs, or expenses relate to litigations, arbitrations, or regulatory matters, or cash settlements.</w:t>
      </w:r>
    </w:p>
    <w:p>
      <w:pPr>
        <w:spacing w:after="0" w:line="1" w:lineRule="exact"/>
        <w:rPr>
          <w:rFonts w:ascii="Arial" w:cs="Arial" w:eastAsia="Arial" w:hAnsi="Arial"/>
          <w:sz w:val="22"/>
          <w:szCs w:val="22"/>
          <w:color w:val="auto"/>
        </w:rPr>
      </w:pPr>
    </w:p>
    <w:p>
      <w:pPr>
        <w:ind w:left="660" w:hanging="652"/>
        <w:spacing w:after="0" w:line="281" w:lineRule="auto"/>
        <w:tabs>
          <w:tab w:leader="none" w:pos="614" w:val="left"/>
        </w:tabs>
        <w:numPr>
          <w:ilvl w:val="0"/>
          <w:numId w:val="63"/>
        </w:numPr>
        <w:rPr>
          <w:rFonts w:ascii="Arial" w:cs="Arial" w:eastAsia="Arial" w:hAnsi="Arial"/>
          <w:sz w:val="19"/>
          <w:szCs w:val="19"/>
          <w:color w:val="auto"/>
        </w:rPr>
      </w:pPr>
      <w:r>
        <w:rPr>
          <w:rFonts w:ascii="Arial" w:cs="Arial" w:eastAsia="Arial" w:hAnsi="Arial"/>
          <w:sz w:val="19"/>
          <w:szCs w:val="19"/>
          <w:color w:val="auto"/>
        </w:rPr>
        <w:t>Unanticipated one-time operational or tax costs associated with changes to the US or international tax code that impacts cash flow, operating profit and/or tax expenses in excess of $25 million in any fiscal year during the Performance Period.</w:t>
      </w:r>
    </w:p>
    <w:p>
      <w:pPr>
        <w:spacing w:after="0" w:line="1" w:lineRule="exact"/>
        <w:rPr>
          <w:rFonts w:ascii="Arial" w:cs="Arial" w:eastAsia="Arial" w:hAnsi="Arial"/>
          <w:sz w:val="19"/>
          <w:szCs w:val="19"/>
          <w:color w:val="auto"/>
        </w:rPr>
      </w:pPr>
    </w:p>
    <w:p>
      <w:pPr>
        <w:ind w:left="660" w:hanging="652"/>
        <w:spacing w:after="0" w:line="249" w:lineRule="auto"/>
        <w:tabs>
          <w:tab w:leader="none" w:pos="63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customer bankruptcy or significant financial issue that is estimated to have an impact on the Company’s net sales of $100,000,000 or more over the Performance Period.</w:t>
      </w:r>
    </w:p>
    <w:p>
      <w:pPr>
        <w:spacing w:after="0" w:line="1" w:lineRule="exact"/>
        <w:rPr>
          <w:rFonts w:ascii="Arial" w:cs="Arial" w:eastAsia="Arial" w:hAnsi="Arial"/>
          <w:sz w:val="22"/>
          <w:szCs w:val="22"/>
          <w:color w:val="auto"/>
        </w:rPr>
      </w:pPr>
    </w:p>
    <w:p>
      <w:pPr>
        <w:jc w:val="both"/>
        <w:ind w:left="660" w:hanging="652"/>
        <w:spacing w:after="0" w:line="262" w:lineRule="auto"/>
        <w:tabs>
          <w:tab w:leader="none" w:pos="766" w:val="left"/>
        </w:tabs>
        <w:numPr>
          <w:ilvl w:val="0"/>
          <w:numId w:val="63"/>
        </w:numPr>
        <w:rPr>
          <w:rFonts w:ascii="Arial" w:cs="Arial" w:eastAsia="Arial" w:hAnsi="Arial"/>
          <w:sz w:val="21"/>
          <w:szCs w:val="21"/>
          <w:color w:val="auto"/>
        </w:rPr>
      </w:pPr>
      <w:r>
        <w:rPr>
          <w:rFonts w:ascii="Arial" w:cs="Arial" w:eastAsia="Arial" w:hAnsi="Arial"/>
          <w:sz w:val="21"/>
          <w:szCs w:val="21"/>
          <w:color w:val="auto"/>
        </w:rPr>
        <w:t>Significant unanticipated or unbudgeted payments outside the normal course of business in any fiscal year during the Performance Period related to capital expenditures greater than $25 million, unanticipated tax payments greater than $25 million or contract amendments, renewals or arrangements greater than $25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3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Christian P. Cocks, certify that:</w:t>
      </w:r>
    </w:p>
    <w:p>
      <w:pPr>
        <w:spacing w:after="0" w:line="185"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00" w:right="140" w:hanging="244"/>
        <w:spacing w:after="0" w:line="263" w:lineRule="auto"/>
        <w:tabs>
          <w:tab w:leader="none" w:pos="891"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00" w:right="440" w:hanging="244"/>
        <w:spacing w:after="0" w:line="263" w:lineRule="auto"/>
        <w:tabs>
          <w:tab w:leader="none" w:pos="88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00" w:right="620" w:hanging="244"/>
        <w:spacing w:after="0" w:line="342" w:lineRule="auto"/>
        <w:tabs>
          <w:tab w:leader="none" w:pos="891"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00" w:right="140" w:hanging="244"/>
        <w:spacing w:after="0" w:line="263" w:lineRule="auto"/>
        <w:tabs>
          <w:tab w:leader="none" w:pos="88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3, 2023</w:t>
      </w:r>
    </w:p>
    <w:p>
      <w:pPr>
        <w:spacing w:after="0" w:line="144"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/s/ Christian P. Cocks</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Christian P. Cocks</w:t>
      </w:r>
    </w:p>
    <w:p>
      <w:pPr>
        <w:jc w:val="center"/>
        <w:ind w:righ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07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Deborah Thomas, certify that:</w:t>
      </w:r>
    </w:p>
    <w:p>
      <w:pPr>
        <w:spacing w:after="0" w:line="185" w:lineRule="exact"/>
        <w:rPr>
          <w:sz w:val="20"/>
          <w:szCs w:val="20"/>
          <w:color w:val="auto"/>
        </w:rPr>
      </w:pPr>
    </w:p>
    <w:p>
      <w:pPr>
        <w:ind w:left="420" w:hanging="412"/>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820" w:right="220" w:hanging="326"/>
        <w:spacing w:after="0" w:line="263" w:lineRule="auto"/>
        <w:tabs>
          <w:tab w:leader="none" w:pos="811"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20" w:right="520" w:hanging="326"/>
        <w:spacing w:after="0" w:line="263" w:lineRule="auto"/>
        <w:tabs>
          <w:tab w:leader="none" w:pos="80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20" w:right="700" w:hanging="326"/>
        <w:spacing w:after="0" w:line="342" w:lineRule="auto"/>
        <w:tabs>
          <w:tab w:leader="none" w:pos="811"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20" w:right="220" w:hanging="326"/>
        <w:spacing w:after="0" w:line="263" w:lineRule="auto"/>
        <w:tabs>
          <w:tab w:leader="none" w:pos="80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20" w:right="120" w:hanging="326"/>
        <w:spacing w:after="0" w:line="277" w:lineRule="auto"/>
        <w:tabs>
          <w:tab w:leader="none" w:pos="811"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20" w:right="100" w:hanging="326"/>
        <w:spacing w:after="0" w:line="277" w:lineRule="auto"/>
        <w:tabs>
          <w:tab w:leader="none" w:pos="80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2023</w:t>
      </w:r>
    </w:p>
    <w:p>
      <w:pPr>
        <w:spacing w:after="0" w:line="185" w:lineRule="exact"/>
        <w:rPr>
          <w:sz w:val="20"/>
          <w:szCs w:val="20"/>
          <w:color w:val="auto"/>
        </w:rPr>
      </w:pPr>
    </w:p>
    <w:p>
      <w:pPr>
        <w:ind w:left="6120"/>
        <w:spacing w:after="0"/>
        <w:rPr>
          <w:sz w:val="20"/>
          <w:szCs w:val="20"/>
          <w:color w:val="auto"/>
        </w:rPr>
      </w:pPr>
      <w:r>
        <w:rPr>
          <w:rFonts w:ascii="Arial" w:cs="Arial" w:eastAsia="Arial" w:hAnsi="Arial"/>
          <w:sz w:val="18"/>
          <w:szCs w:val="18"/>
          <w:u w:val="single" w:color="auto"/>
          <w:color w:val="auto"/>
        </w:rPr>
        <w:t>/s/ Deborah Thomas</w:t>
      </w:r>
    </w:p>
    <w:p>
      <w:pPr>
        <w:spacing w:after="0" w:line="4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Deborah Thomas</w:t>
      </w:r>
    </w:p>
    <w:p>
      <w:pPr>
        <w:ind w:left="6120"/>
        <w:spacing w:after="0" w:line="203" w:lineRule="auto"/>
        <w:rPr>
          <w:sz w:val="20"/>
          <w:szCs w:val="20"/>
          <w:color w:val="auto"/>
        </w:rPr>
      </w:pPr>
      <w:r>
        <w:rPr>
          <w:rFonts w:ascii="Arial" w:cs="Arial" w:eastAsia="Arial" w:hAnsi="Arial"/>
          <w:sz w:val="18"/>
          <w:szCs w:val="18"/>
          <w:color w:val="auto"/>
        </w:rPr>
        <w:t>Executive Vice President and</w:t>
      </w:r>
    </w:p>
    <w:p>
      <w:pPr>
        <w:ind w:left="6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7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57" w:lineRule="exact"/>
        <w:rPr>
          <w:sz w:val="20"/>
          <w:szCs w:val="20"/>
          <w:color w:val="auto"/>
        </w:rPr>
      </w:pPr>
    </w:p>
    <w:p>
      <w:pPr>
        <w:ind w:left="420" w:right="20" w:hanging="412"/>
        <w:spacing w:after="0" w:line="308" w:lineRule="auto"/>
        <w:tabs>
          <w:tab w:leader="none" w:pos="40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April 2, 2023,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2360"/>
        <w:spacing w:after="0"/>
        <w:rPr>
          <w:sz w:val="20"/>
          <w:szCs w:val="20"/>
          <w:color w:val="auto"/>
        </w:rPr>
      </w:pPr>
      <w:r>
        <w:rPr>
          <w:rFonts w:ascii="Arial" w:cs="Arial" w:eastAsia="Arial" w:hAnsi="Arial"/>
          <w:sz w:val="18"/>
          <w:szCs w:val="18"/>
          <w:u w:val="single" w:color="auto"/>
          <w:color w:val="auto"/>
        </w:rPr>
        <w:t>/s/ Christian P. Cocks</w:t>
      </w:r>
    </w:p>
    <w:p>
      <w:pPr>
        <w:ind w:left="2360"/>
        <w:spacing w:after="0" w:line="203" w:lineRule="auto"/>
        <w:rPr>
          <w:sz w:val="20"/>
          <w:szCs w:val="20"/>
          <w:color w:val="auto"/>
        </w:rPr>
      </w:pPr>
      <w:r>
        <w:rPr>
          <w:rFonts w:ascii="Arial" w:cs="Arial" w:eastAsia="Arial" w:hAnsi="Arial"/>
          <w:sz w:val="18"/>
          <w:szCs w:val="18"/>
          <w:color w:val="auto"/>
        </w:rPr>
        <w:t>Christian P. Cocks</w:t>
      </w:r>
    </w:p>
    <w:p>
      <w:pPr>
        <w:ind w:left="2360"/>
        <w:spacing w:after="0"/>
        <w:rPr>
          <w:sz w:val="20"/>
          <w:szCs w:val="20"/>
          <w:color w:val="auto"/>
        </w:rPr>
      </w:pPr>
      <w:r>
        <w:rPr>
          <w:rFonts w:ascii="Arial" w:cs="Arial" w:eastAsia="Arial" w:hAnsi="Arial"/>
          <w:sz w:val="18"/>
          <w:szCs w:val="18"/>
          <w:color w:val="auto"/>
        </w:rPr>
        <w:t>Chief Executive Officer of Hasbro, Inc.</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Dated: May 3, 2023</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57" w:lineRule="exact"/>
        <w:rPr>
          <w:sz w:val="20"/>
          <w:szCs w:val="20"/>
          <w:color w:val="auto"/>
        </w:rPr>
      </w:pPr>
    </w:p>
    <w:p>
      <w:pPr>
        <w:ind w:left="420" w:right="20" w:hanging="412"/>
        <w:spacing w:after="0" w:line="308" w:lineRule="auto"/>
        <w:tabs>
          <w:tab w:leader="none" w:pos="40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April 2, 2023,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3100"/>
        <w:spacing w:after="0"/>
        <w:rPr>
          <w:sz w:val="20"/>
          <w:szCs w:val="20"/>
          <w:color w:val="auto"/>
        </w:rPr>
      </w:pPr>
      <w:r>
        <w:rPr>
          <w:rFonts w:ascii="Arial" w:cs="Arial" w:eastAsia="Arial" w:hAnsi="Arial"/>
          <w:sz w:val="18"/>
          <w:szCs w:val="18"/>
          <w:u w:val="single" w:color="auto"/>
          <w:color w:val="auto"/>
        </w:rPr>
        <w:t>/s/ Deborah Thomas</w:t>
      </w:r>
    </w:p>
    <w:p>
      <w:pPr>
        <w:ind w:left="3100"/>
        <w:spacing w:after="0" w:line="203" w:lineRule="auto"/>
        <w:rPr>
          <w:sz w:val="20"/>
          <w:szCs w:val="20"/>
          <w:color w:val="auto"/>
        </w:rPr>
      </w:pPr>
      <w:r>
        <w:rPr>
          <w:rFonts w:ascii="Arial" w:cs="Arial" w:eastAsia="Arial" w:hAnsi="Arial"/>
          <w:sz w:val="18"/>
          <w:szCs w:val="18"/>
          <w:color w:val="auto"/>
        </w:rPr>
        <w:t>Deborah Thomas</w:t>
      </w:r>
    </w:p>
    <w:p>
      <w:pPr>
        <w:jc w:val="center"/>
        <w:ind w:right="40"/>
        <w:spacing w:after="0"/>
        <w:rPr>
          <w:sz w:val="20"/>
          <w:szCs w:val="20"/>
          <w:color w:val="auto"/>
        </w:rPr>
      </w:pPr>
      <w:r>
        <w:rPr>
          <w:rFonts w:ascii="Arial" w:cs="Arial" w:eastAsia="Arial" w:hAnsi="Arial"/>
          <w:sz w:val="18"/>
          <w:szCs w:val="18"/>
          <w:color w:val="auto"/>
        </w:rPr>
        <w:t>Executive Vice President and Chief Financial Officer of Hasbro, Inc.</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May 3, 2023</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2"/>
    </w:lvl>
  </w:abstractNum>
  <w:abstractNum w:abstractNumId="6">
    <w:nsid w:val="77465F01"/>
    <w:multiLevelType w:val="hybridMultilevel"/>
    <w:lvl w:ilvl="0">
      <w:lvlJc w:val="left"/>
      <w:lvlText w:val="(%1)"/>
      <w:numFmt w:val="decimal"/>
      <w:start w:val="3"/>
    </w:lvl>
  </w:abstractNum>
  <w:abstractNum w:abstractNumId="7">
    <w:nsid w:val="7724C67E"/>
    <w:multiLevelType w:val="hybridMultilevel"/>
    <w:lvl w:ilvl="0">
      <w:lvlJc w:val="left"/>
      <w:lvlText w:val="(%1)"/>
      <w:numFmt w:val="decimal"/>
      <w:start w:val="4"/>
    </w:lvl>
  </w:abstractNum>
  <w:abstractNum w:abstractNumId="8">
    <w:nsid w:val="5C482A97"/>
    <w:multiLevelType w:val="hybridMultilevel"/>
    <w:lvl w:ilvl="0">
      <w:lvlJc w:val="left"/>
      <w:lvlText w:val="(%1)"/>
      <w:numFmt w:val="decimal"/>
      <w:start w:val="5"/>
    </w:lvl>
  </w:abstractNum>
  <w:abstractNum w:abstractNumId="9">
    <w:nsid w:val="2463B9EA"/>
    <w:multiLevelType w:val="hybridMultilevel"/>
    <w:lvl w:ilvl="0">
      <w:lvlJc w:val="left"/>
      <w:lvlText w:val="(%1)"/>
      <w:numFmt w:val="decimal"/>
      <w:start w:val="6"/>
    </w:lvl>
  </w:abstractNum>
  <w:abstractNum w:abstractNumId="10">
    <w:nsid w:val="5E884ADC"/>
    <w:multiLevelType w:val="hybridMultilevel"/>
    <w:lvl w:ilvl="0">
      <w:lvlJc w:val="left"/>
      <w:lvlText w:val="(%1)"/>
      <w:numFmt w:val="decimal"/>
      <w:start w:val="7"/>
    </w:lvl>
  </w:abstractNum>
  <w:abstractNum w:abstractNumId="11">
    <w:nsid w:val="51EAD36B"/>
    <w:multiLevelType w:val="hybridMultilevel"/>
    <w:lvl w:ilvl="0">
      <w:lvlJc w:val="left"/>
      <w:lvlText w:val="&amp;"/>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1)"/>
      <w:numFmt w:val="decimal"/>
      <w:start w:val="8"/>
    </w:lvl>
  </w:abstractNum>
  <w:abstractNum w:abstractNumId="15">
    <w:nsid w:val="3855585C"/>
    <w:multiLevelType w:val="hybridMultilevel"/>
    <w:lvl w:ilvl="0">
      <w:lvlJc w:val="left"/>
      <w:lvlText w:val="(%1)"/>
      <w:numFmt w:val="decimal"/>
      <w:start w:val="9"/>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decimal"/>
      <w:start w:val="10"/>
    </w:lvl>
  </w:abstractNum>
  <w:abstractNum w:abstractNumId="18">
    <w:nsid w:val="2A487CB0"/>
    <w:multiLevelType w:val="hybridMultilevel"/>
    <w:lvl w:ilvl="0">
      <w:lvlJc w:val="left"/>
      <w:lvlText w:val="(%1)"/>
      <w:numFmt w:val="decimal"/>
      <w:start w:val="11"/>
    </w:lvl>
  </w:abstractNum>
  <w:abstractNum w:abstractNumId="19">
    <w:nsid w:val="1D4ED43B"/>
    <w:multiLevelType w:val="hybridMultilevel"/>
    <w:lvl w:ilvl="0">
      <w:lvlJc w:val="left"/>
      <w:lvlText w:val="(%1)"/>
      <w:numFmt w:val="decimal"/>
      <w:start w:val="12"/>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13"/>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decimal"/>
      <w:start w:val="14"/>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lvl w:ilvl="1">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2"/>
    </w:lvl>
    <w:lvl w:ilvl="1">
      <w:lvlJc w:val="left"/>
      <w:lvlText w:val="(%2)"/>
      <w:numFmt w:val="lowerRoman"/>
      <w:start w:val="1"/>
    </w:lvl>
  </w:abstractNum>
  <w:abstractNum w:abstractNumId="32">
    <w:nsid w:val="749ABB43"/>
    <w:multiLevelType w:val="hybridMultilevel"/>
    <w:lvl w:ilvl="0">
      <w:lvlJc w:val="left"/>
      <w:lvlText w:val="%1"/>
      <w:numFmt w:val="decimal"/>
      <w:start w:val="1"/>
    </w:lvl>
    <w:lvl w:ilvl="1">
      <w:lvlJc w:val="left"/>
      <w:lvlText w:val="(%2)"/>
      <w:numFmt w:val="lowerRoman"/>
      <w:start w:val="4"/>
    </w:lvl>
  </w:abstractNum>
  <w:abstractNum w:abstractNumId="33">
    <w:nsid w:val="3DC240FB"/>
    <w:multiLevelType w:val="hybridMultilevel"/>
    <w:lvl w:ilvl="0">
      <w:lvlJc w:val="left"/>
      <w:lvlText w:val="%1."/>
      <w:numFmt w:val="decimal"/>
      <w:start w:val="3"/>
    </w:lvl>
    <w:lvl w:ilvl="1">
      <w:lvlJc w:val="left"/>
      <w:lvlText w:val="%2"/>
      <w:numFmt w:val="lowerRoman"/>
      <w:start w:val="1"/>
    </w:lvl>
  </w:abstractNum>
  <w:abstractNum w:abstractNumId="34">
    <w:nsid w:val="1BA026FA"/>
    <w:multiLevelType w:val="hybridMultilevel"/>
    <w:lvl w:ilvl="0">
      <w:lvlJc w:val="left"/>
      <w:lvlText w:val="%1."/>
      <w:numFmt w:val="decimal"/>
      <w:start w:val="4"/>
    </w:lvl>
  </w:abstractNum>
  <w:abstractNum w:abstractNumId="35">
    <w:nsid w:val="79A1DEAA"/>
    <w:multiLevelType w:val="hybridMultilevel"/>
    <w:lvl w:ilvl="0">
      <w:lvlJc w:val="left"/>
      <w:lvlText w:val="%1."/>
      <w:numFmt w:val="decimal"/>
      <w:start w:val="5"/>
    </w:lvl>
    <w:lvl w:ilvl="1">
      <w:lvlJc w:val="left"/>
      <w:lvlText w:val="(%2)"/>
      <w:numFmt w:val="lowerLetter"/>
      <w:start w:val="2"/>
    </w:lvl>
  </w:abstractNum>
  <w:abstractNum w:abstractNumId="36">
    <w:nsid w:val="75C6C33A"/>
    <w:multiLevelType w:val="hybridMultilevel"/>
    <w:lvl w:ilvl="0">
      <w:lvlJc w:val="left"/>
      <w:lvlText w:val="(%1)"/>
      <w:numFmt w:val="lowerLetter"/>
      <w:start w:val="3"/>
    </w:lvl>
    <w:lvl w:ilvl="1">
      <w:lvlJc w:val="left"/>
      <w:lvlText w:val="(%2)"/>
      <w:numFmt w:val="decimal"/>
      <w:start w:val="5"/>
    </w:lvl>
  </w:abstractNum>
  <w:abstractNum w:abstractNumId="37">
    <w:nsid w:val="12E685F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
      <w:numFmt w:val="bullet"/>
      <w:start w:val="1"/>
    </w:lvl>
    <w:lvl w:ilvl="4">
      <w:lvlJc w:val="left"/>
      <w:lvlText w:val="(%5)"/>
      <w:numFmt w:val="lowerLetter"/>
      <w:start w:val="4"/>
    </w:lvl>
  </w:abstractNum>
  <w:abstractNum w:abstractNumId="38">
    <w:nsid w:val="70C6A529"/>
    <w:multiLevelType w:val="hybridMultilevel"/>
    <w:lvl w:ilvl="0">
      <w:lvlJc w:val="left"/>
      <w:lvlText w:val="%1."/>
      <w:numFmt w:val="decimal"/>
      <w:start w:val="6"/>
    </w:lvl>
    <w:lvl w:ilvl="1">
      <w:lvlJc w:val="left"/>
      <w:lvlText w:val="%2."/>
      <w:numFmt w:val="decimal"/>
      <w:start w:val="8"/>
    </w:lvl>
    <w:lvl w:ilvl="2">
      <w:lvlJc w:val="left"/>
      <w:lvlText w:val="%3."/>
      <w:numFmt w:val="decimal"/>
      <w:start w:val="9"/>
    </w:lvl>
    <w:lvl w:ilvl="3">
      <w:lvlJc w:val="left"/>
      <w:lvlText w:val="*"/>
      <w:numFmt w:val="bullet"/>
      <w:start w:val="1"/>
    </w:lvl>
    <w:lvl w:ilvl="4">
      <w:lvlJc w:val="left"/>
      <w:lvlText w:val="%5"/>
      <w:numFmt w:val="lowerLetter"/>
      <w:start w:val="1"/>
    </w:lvl>
  </w:abstractNum>
  <w:abstractNum w:abstractNumId="39">
    <w:nsid w:val="520EEDD1"/>
    <w:multiLevelType w:val="hybridMultilevel"/>
    <w:lvl w:ilvl="0">
      <w:lvlJc w:val="left"/>
      <w:lvlText w:val="%1."/>
      <w:numFmt w:val="decimal"/>
      <w:start w:val="10"/>
    </w:lvl>
  </w:abstractNum>
  <w:abstractNum w:abstractNumId="40">
    <w:nsid w:val="374A3FE6"/>
    <w:multiLevelType w:val="hybridMultilevel"/>
    <w:lvl w:ilvl="0">
      <w:lvlJc w:val="left"/>
      <w:lvlText w:val="%1."/>
      <w:numFmt w:val="decimal"/>
      <w:start w:val="1"/>
    </w:lvl>
    <w:lvl w:ilvl="1">
      <w:lvlJc w:val="left"/>
      <w:lvlText w:val="%2."/>
      <w:numFmt w:val="upperLetter"/>
      <w:start w:val="1"/>
    </w:lvl>
  </w:abstractNum>
  <w:abstractNum w:abstractNumId="41">
    <w:nsid w:val="4F4EF005"/>
    <w:multiLevelType w:val="hybridMultilevel"/>
    <w:lvl w:ilvl="0">
      <w:lvlJc w:val="left"/>
      <w:lvlText w:val="%1."/>
      <w:numFmt w:val="upperLetter"/>
      <w:start w:val="3"/>
    </w:lvl>
  </w:abstractNum>
  <w:abstractNum w:abstractNumId="42">
    <w:nsid w:val="23F9C13C"/>
    <w:multiLevelType w:val="hybridMultilevel"/>
    <w:lvl w:ilvl="0">
      <w:lvlJc w:val="left"/>
      <w:lvlText w:val="%1"/>
      <w:numFmt w:val="decimal"/>
      <w:start w:val="1"/>
    </w:lvl>
    <w:lvl w:ilvl="1">
      <w:lvlJc w:val="left"/>
      <w:lvlText w:val="%2."/>
      <w:numFmt w:val="upperLetter"/>
      <w:start w:val="5"/>
    </w:lvl>
  </w:abstractNum>
  <w:abstractNum w:abstractNumId="43">
    <w:nsid w:val="649BB77C"/>
    <w:multiLevelType w:val="hybridMultilevel"/>
    <w:lvl w:ilvl="0">
      <w:lvlJc w:val="left"/>
      <w:lvlText w:val="%1."/>
      <w:numFmt w:val="decimal"/>
      <w:start w:val="2"/>
    </w:lvl>
    <w:lvl w:ilvl="1">
      <w:lvlJc w:val="left"/>
      <w:lvlText w:val="%2"/>
      <w:numFmt w:val="upperLetter"/>
      <w:start w:val="1"/>
    </w:lvl>
  </w:abstractNum>
  <w:abstractNum w:abstractNumId="44">
    <w:nsid w:val="275AC794"/>
    <w:multiLevelType w:val="hybridMultilevel"/>
    <w:lvl w:ilvl="0">
      <w:lvlJc w:val="left"/>
      <w:lvlText w:val="%1"/>
      <w:numFmt w:val="decimal"/>
      <w:start w:val="1"/>
    </w:lvl>
    <w:lvl w:ilvl="1">
      <w:lvlJc w:val="left"/>
      <w:lvlText w:val="%2."/>
      <w:numFmt w:val="upperLetter"/>
      <w:start w:val="1"/>
    </w:lvl>
  </w:abstractNum>
  <w:abstractNum w:abstractNumId="45">
    <w:nsid w:val="39386575"/>
    <w:multiLevelType w:val="hybridMultilevel"/>
    <w:lvl w:ilvl="0">
      <w:lvlJc w:val="left"/>
      <w:lvlText w:val="%1."/>
      <w:numFmt w:val="decimal"/>
      <w:start w:val="4"/>
    </w:lvl>
    <w:lvl w:ilvl="1">
      <w:lvlJc w:val="left"/>
      <w:lvlText w:val="%2"/>
      <w:numFmt w:val="upperLetter"/>
      <w:start w:val="1"/>
    </w:lvl>
  </w:abstractNum>
  <w:abstractNum w:abstractNumId="46">
    <w:nsid w:val="1CF10FD8"/>
    <w:multiLevelType w:val="hybridMultilevel"/>
    <w:lvl w:ilvl="0">
      <w:lvlJc w:val="left"/>
      <w:lvlText w:val="%1."/>
      <w:numFmt w:val="decimal"/>
      <w:start w:val="5"/>
    </w:lvl>
    <w:lvl w:ilvl="1">
      <w:lvlJc w:val="left"/>
      <w:lvlText w:val="%2."/>
      <w:numFmt w:val="upperLetter"/>
      <w:start w:val="1"/>
    </w:lvl>
  </w:abstractNum>
  <w:abstractNum w:abstractNumId="47">
    <w:nsid w:val="180115BE"/>
    <w:multiLevelType w:val="hybridMultilevel"/>
    <w:lvl w:ilvl="0">
      <w:lvlJc w:val="left"/>
      <w:lvlText w:val="%1."/>
      <w:numFmt w:val="decimal"/>
      <w:start w:val="8"/>
    </w:lvl>
  </w:abstractNum>
  <w:abstractNum w:abstractNumId="48">
    <w:nsid w:val="235BA861"/>
    <w:multiLevelType w:val="hybridMultilevel"/>
    <w:lvl w:ilvl="0">
      <w:lvlJc w:val="left"/>
      <w:lvlText w:val="%1."/>
      <w:numFmt w:val="decimal"/>
      <w:start w:val="1"/>
    </w:lvl>
    <w:lvl w:ilvl="1">
      <w:lvlJc w:val="left"/>
      <w:lvlText w:val="(%2)"/>
      <w:numFmt w:val="lowerRoman"/>
      <w:start w:val="1"/>
    </w:lvl>
  </w:abstractNum>
  <w:abstractNum w:abstractNumId="49">
    <w:nsid w:val="47398C89"/>
    <w:multiLevelType w:val="hybridMultilevel"/>
    <w:lvl w:ilvl="0">
      <w:lvlJc w:val="left"/>
      <w:lvlText w:val="(%1)"/>
      <w:numFmt w:val="lowerRoman"/>
      <w:start w:val="2"/>
    </w:lvl>
  </w:abstractNum>
  <w:abstractNum w:abstractNumId="50">
    <w:nsid w:val="354FE9F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4"/>
    </w:lvl>
  </w:abstractNum>
  <w:abstractNum w:abstractNumId="51">
    <w:nsid w:val="15B5AF5C"/>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Roman"/>
      <w:start w:val="1"/>
    </w:lvl>
  </w:abstractNum>
  <w:abstractNum w:abstractNumId="52">
    <w:nsid w:val="741226BB"/>
    <w:multiLevelType w:val="hybridMultilevel"/>
    <w:lvl w:ilvl="0">
      <w:lvlJc w:val="left"/>
      <w:lvlText w:val="%1."/>
      <w:numFmt w:val="decimal"/>
      <w:start w:val="3"/>
    </w:lvl>
    <w:lvl w:ilvl="1">
      <w:lvlJc w:val="left"/>
      <w:lvlText w:val="%2"/>
      <w:numFmt w:val="decimal"/>
      <w:start w:val="1"/>
    </w:lvl>
    <w:lvl w:ilvl="2">
      <w:lvlJc w:val="left"/>
      <w:lvlText w:val="%3."/>
      <w:numFmt w:val="decimal"/>
      <w:start w:val="4"/>
    </w:lvl>
    <w:lvl w:ilvl="3">
      <w:lvlJc w:val="left"/>
      <w:lvlText w:val="%4"/>
      <w:numFmt w:val="lowerRoman"/>
      <w:start w:val="1"/>
    </w:lvl>
  </w:abstractNum>
  <w:abstractNum w:abstractNumId="53">
    <w:nsid w:val="D34B6A8"/>
    <w:multiLevelType w:val="hybridMultilevel"/>
    <w:lvl w:ilvl="0">
      <w:lvlJc w:val="left"/>
      <w:lvlText w:val="%1."/>
      <w:numFmt w:val="decimal"/>
      <w:start w:val="5"/>
    </w:lvl>
    <w:lvl w:ilvl="1">
      <w:lvlJc w:val="left"/>
      <w:lvlText w:val="%2."/>
      <w:numFmt w:val="decimal"/>
      <w:start w:val="6"/>
    </w:lvl>
  </w:abstractNum>
  <w:abstractNum w:abstractNumId="54">
    <w:nsid w:val="10233C99"/>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55">
    <w:nsid w:val="3F6AB60F"/>
    <w:multiLevelType w:val="hybridMultilevel"/>
    <w:lvl w:ilvl="0">
      <w:lvlJc w:val="left"/>
      <w:lvlText w:val="%1."/>
      <w:numFmt w:val="decimal"/>
      <w:start w:val="8"/>
    </w:lvl>
    <w:lvl w:ilvl="1">
      <w:lvlJc w:val="left"/>
      <w:lvlText w:val="%2"/>
      <w:numFmt w:val="decimal"/>
      <w:start w:val="1"/>
    </w:lvl>
    <w:lvl w:ilvl="2">
      <w:lvlJc w:val="left"/>
      <w:lvlText w:val="(%3)"/>
      <w:numFmt w:val="lowerLetter"/>
      <w:start w:val="2"/>
    </w:lvl>
  </w:abstractNum>
  <w:abstractNum w:abstractNumId="56">
    <w:nsid w:val="61574095"/>
    <w:multiLevelType w:val="hybridMultilevel"/>
    <w:lvl w:ilvl="0">
      <w:lvlJc w:val="left"/>
      <w:lvlText w:val="(%1)"/>
      <w:numFmt w:val="lowerLetter"/>
      <w:start w:val="3"/>
    </w:lvl>
    <w:lvl w:ilvl="1">
      <w:lvlJc w:val="left"/>
      <w:lvlText w:val="(%2)"/>
      <w:numFmt w:val="lowerLetter"/>
      <w:start w:val="4"/>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decimal"/>
      <w:start w:val="8"/>
    </w:lvl>
    <w:lvl w:ilvl="1">
      <w:lvlJc w:val="left"/>
      <w:lvlText w:val="%2."/>
      <w:numFmt w:val="decimal"/>
      <w:start w:val="11"/>
    </w:lvl>
    <w:lvl w:ilvl="2">
      <w:lvlJc w:val="left"/>
      <w:lvlText w:val="%3."/>
      <w:numFmt w:val="decimal"/>
      <w:start w:val="11"/>
    </w:lvl>
    <w:lvl w:ilvl="3">
      <w:lvlJc w:val="left"/>
      <w:lvlText w:val="*"/>
      <w:numFmt w:val="bullet"/>
      <w:start w:val="1"/>
    </w:lvl>
  </w:abstractNum>
  <w:abstractNum w:abstractNumId="59">
    <w:nsid w:val="579BE4F1"/>
    <w:multiLevelType w:val="hybridMultilevel"/>
    <w:lvl w:ilvl="0">
      <w:lvlJc w:val="left"/>
      <w:lvlText w:val="%1."/>
      <w:numFmt w:val="decimal"/>
      <w:start w:val="13"/>
    </w:lvl>
    <w:lvl w:ilvl="1">
      <w:lvlJc w:val="left"/>
      <w:lvlText w:val="%2."/>
      <w:numFmt w:val="decimal"/>
      <w:start w:val="14"/>
    </w:lvl>
    <w:lvl w:ilvl="2">
      <w:lvlJc w:val="left"/>
      <w:lvlText w:val="%3."/>
      <w:numFmt w:val="decimal"/>
      <w:start w:val="14"/>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62">
    <w:nsid w:val="2F305DEF"/>
    <w:multiLevelType w:val="hybridMultilevel"/>
    <w:lvl w:ilvl="0">
      <w:lvlJc w:val="left"/>
      <w:lvlText w:val="(%1)"/>
      <w:numFmt w:val="lowerRoman"/>
      <w:start w:val="2"/>
    </w:lvl>
    <w:lvl w:ilvl="1">
      <w:lvlJc w:val="left"/>
      <w:lvlText w:val="%2"/>
      <w:numFmt w:val="lowerRoman"/>
      <w:start w:val="1"/>
    </w:lvl>
    <w:lvl w:ilvl="2">
      <w:lvlJc w:val="left"/>
      <w:lvlText w:val="%3"/>
      <w:numFmt w:val="lowerLetter"/>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4"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jpeg"/><Relationship Id="rId101" Type="http://schemas.openxmlformats.org/officeDocument/2006/relationships/image" Target="media/image77.jpeg"/><Relationship Id="rId102" Type="http://schemas.openxmlformats.org/officeDocument/2006/relationships/image" Target="media/image78.jpeg"/><Relationship Id="rId103" Type="http://schemas.openxmlformats.org/officeDocument/2006/relationships/image" Target="media/image79.jpeg"/><Relationship Id="rId104" Type="http://schemas.openxmlformats.org/officeDocument/2006/relationships/image" Target="media/image80.jpeg"/><Relationship Id="rId105" Type="http://schemas.openxmlformats.org/officeDocument/2006/relationships/image" Target="media/image81.jpeg"/><Relationship Id="rId106" Type="http://schemas.openxmlformats.org/officeDocument/2006/relationships/image" Target="media/image82.jpe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79" Type="http://schemas.openxmlformats.org/officeDocument/2006/relationships/hyperlink" Target="http://www.sec.gov/Archives/edgar/data/46080/000004608000000013/0000046080-00-000013-0002.txt" TargetMode="External"/><Relationship Id="rId80" Type="http://schemas.openxmlformats.org/officeDocument/2006/relationships/hyperlink" Target="http://www.sec.gov/Archives/edgar/data/46080/000004608000000013/0000046080-00-000013-0005.txt" TargetMode="External"/><Relationship Id="rId81" Type="http://schemas.openxmlformats.org/officeDocument/2006/relationships/hyperlink" Target="http://www.sec.gov/Archives/edgar/data/46080/000004608003000022/ex3-3q203.htm" TargetMode="External"/><Relationship Id="rId82" Type="http://schemas.openxmlformats.org/officeDocument/2006/relationships/hyperlink" Target="http://www.sec.gov/Archives/edgar/data/46080/000004608022000109/0000046080-22-000109-index.htm" TargetMode="External"/><Relationship Id="rId83" Type="http://schemas.openxmlformats.org/officeDocument/2006/relationships/hyperlink" Target="http://www.sec.gov/Archives/edgar/data/46080/000004608000000013/0000046080-00-000013-0003.txt" TargetMode="External"/><Relationship Id="rId84" Type="http://schemas.openxmlformats.org/officeDocument/2006/relationships/hyperlink" Target="http://www.sec.gov/Archives/edgar/data/46080/000004608000000013/0000046080-00-000013-0004.txt" TargetMode="External"/><Relationship Id="rId85" Type="http://schemas.openxmlformats.org/officeDocument/2006/relationships/hyperlink" Target="http://www.sec.gov/Archives/edgar/data/46080/0000950172-98-000702.txt" TargetMode="External"/><Relationship Id="rId86" Type="http://schemas.openxmlformats.org/officeDocument/2006/relationships/hyperlink" Target="http://www.sec.gov/Archives/edgar/data/46080/000004608000000003/0000046080-00-000003.txt" TargetMode="External"/><Relationship Id="rId87" Type="http://schemas.openxmlformats.org/officeDocument/2006/relationships/hyperlink" Target="http://www.sec.gov/Archives/edgar/data/46080/000095013507005709/b66906hbexv4w1.htm" TargetMode="External"/><Relationship Id="rId88" Type="http://schemas.openxmlformats.org/officeDocument/2006/relationships/hyperlink" Target="http://www.sec.gov/Archives/edgar/data/46080/000095013509003948/b75462hiexv4w1.htm" TargetMode="External"/><Relationship Id="rId89" Type="http://schemas.openxmlformats.org/officeDocument/2006/relationships/hyperlink" Target="http://www.sec.gov/Archives/edgar/data/46080/000095012310023420/b80058exv4w1.htm" TargetMode="External"/><Relationship Id="rId90" Type="http://schemas.openxmlformats.org/officeDocument/2006/relationships/hyperlink" Target="http://www.sec.gov/Archives/edgar/data/46080/000119312514196726/d727293dex41.htm" TargetMode="External"/><Relationship Id="rId91" Type="http://schemas.openxmlformats.org/officeDocument/2006/relationships/hyperlink" Target="http://www.sec.gov/Archives/edgar/data/46080/000119312517283854/d456734dex41.htm" TargetMode="External"/><Relationship Id="rId92" Type="http://schemas.openxmlformats.org/officeDocument/2006/relationships/hyperlink" Target="http://www.sec.gov/Archives/edgar/data/46080/000119312519295544/d822953dex12.htm" TargetMode="External"/><Relationship Id="rId93" Type="http://schemas.openxmlformats.org/officeDocument/2006/relationships/hyperlink" Target="http://www.sec.gov/Archives/edgar/data/46080/000004608023000027/dthomastransitionaladvisor.htm" TargetMode="External"/><Relationship Id="rId95" Type="http://schemas.openxmlformats.org/officeDocument/2006/relationships/hyperlink" Target="http://www.sec.gov/Archives/edgar/data/46080/000095015723000364/ex10-1.htm" TargetMode="External"/><Relationship Id="rId96" Type="http://schemas.openxmlformats.org/officeDocument/2006/relationships/hyperlink" Target="http://www.sec.gov/Archives/edgar/data/46080/000095015723000364/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2023-05-03T15:56:16Z</dcterms:created>
  <dcterms:modified xsi:type="dcterms:W3CDTF">2023-05-03T15:56:16Z</dcterms:modified>
</cp:coreProperties>
</file>