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222250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264795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222250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(Rule 14a-101)</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SCHEDULE 14A INFORMATION</w:t>
      </w:r>
    </w:p>
    <w:p>
      <w:pPr>
        <w:spacing w:after="0" w:line="1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222250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1"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6"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48" w:lineRule="exact"/>
        <w:rPr>
          <w:sz w:val="24"/>
          <w:szCs w:val="24"/>
          <w:color w:val="auto"/>
        </w:rPr>
      </w:pPr>
    </w:p>
    <w:p>
      <w:pPr>
        <w:ind w:left="600" w:hanging="433"/>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3" w:lineRule="exact"/>
        <w:rPr>
          <w:rFonts w:ascii="MS PGothic" w:cs="MS PGothic" w:eastAsia="MS PGothic" w:hAnsi="MS PGothic"/>
          <w:sz w:val="18"/>
          <w:szCs w:val="18"/>
          <w:color w:val="auto"/>
        </w:rPr>
      </w:pPr>
    </w:p>
    <w:p>
      <w:pPr>
        <w:ind w:left="600" w:hanging="433"/>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2" w:lineRule="exact"/>
        <w:rPr>
          <w:sz w:val="24"/>
          <w:szCs w:val="24"/>
          <w:color w:val="auto"/>
        </w:rPr>
      </w:pPr>
    </w:p>
    <w:p>
      <w:pPr>
        <w:ind w:left="600" w:hanging="433"/>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48" w:lineRule="exact"/>
        <w:rPr>
          <w:sz w:val="24"/>
          <w:szCs w:val="24"/>
          <w:color w:val="auto"/>
        </w:rPr>
      </w:pPr>
    </w:p>
    <w:p>
      <w:pPr>
        <w:ind w:left="600" w:hanging="433"/>
        <w:spacing w:after="0"/>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HASBRO, INC.</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(Name of Registrant as Specified in its Charter)</w:t>
      </w:r>
    </w:p>
    <w:p>
      <w:pPr>
        <w:spacing w:after="0" w:line="1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2"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48" w:lineRule="exact"/>
        <w:rPr>
          <w:sz w:val="24"/>
          <w:szCs w:val="24"/>
          <w:color w:val="auto"/>
        </w:rPr>
      </w:pPr>
    </w:p>
    <w:p>
      <w:pPr>
        <w:ind w:left="600" w:hanging="433"/>
        <w:spacing w:after="0"/>
        <w:tabs>
          <w:tab w:leader="none" w:pos="6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48" w:lineRule="exact"/>
        <w:rPr>
          <w:sz w:val="24"/>
          <w:szCs w:val="24"/>
          <w:color w:val="auto"/>
        </w:rPr>
      </w:pPr>
    </w:p>
    <w:p>
      <w:pPr>
        <w:ind w:left="600" w:hanging="433"/>
        <w:spacing w:after="0"/>
        <w:tabs>
          <w:tab w:leader="none" w:pos="6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186055</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228600</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356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Letter to Our Shareholders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April 17, 2026</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Dear Hasbro Shareholders</w:t>
      </w:r>
      <w:r>
        <w:rPr>
          <w:rFonts w:ascii="Arial" w:cs="Arial" w:eastAsia="Arial" w:hAnsi="Arial"/>
          <w:sz w:val="16"/>
          <w:szCs w:val="16"/>
          <w:color w:val="auto"/>
        </w:rPr>
        <w:t>,</w:t>
      </w:r>
    </w:p>
    <w:p>
      <w:pPr>
        <w:spacing w:after="0" w:line="37" w:lineRule="exact"/>
        <w:rPr>
          <w:sz w:val="20"/>
          <w:szCs w:val="20"/>
          <w:color w:val="auto"/>
        </w:rPr>
      </w:pPr>
    </w:p>
    <w:p>
      <w:pPr>
        <w:ind w:left="160" w:right="60"/>
        <w:spacing w:after="0" w:line="257" w:lineRule="auto"/>
        <w:rPr>
          <w:sz w:val="20"/>
          <w:szCs w:val="20"/>
          <w:color w:val="auto"/>
        </w:rPr>
      </w:pPr>
      <w:r>
        <w:rPr>
          <w:rFonts w:ascii="Arial" w:cs="Arial" w:eastAsia="Arial" w:hAnsi="Arial"/>
          <w:sz w:val="16"/>
          <w:szCs w:val="16"/>
          <w:color w:val="auto"/>
        </w:rPr>
        <w:t>Hasbro continues to execute its “Playing to Win” strategy, anchored in its mission to create joy and community through the magic of play. As a games, intellectual property and toy company, Hasbro is focused on expanding consumer reach and delivering sustainable, profitable growth across a portfolio of gamified, entertainment-driven, multi-purchase, multi-generational franchises.</w:t>
      </w:r>
    </w:p>
    <w:p>
      <w:pPr>
        <w:spacing w:after="0" w:line="111" w:lineRule="exact"/>
        <w:rPr>
          <w:sz w:val="20"/>
          <w:szCs w:val="20"/>
          <w:color w:val="auto"/>
        </w:rPr>
      </w:pPr>
    </w:p>
    <w:p>
      <w:pPr>
        <w:ind w:left="160" w:right="360"/>
        <w:spacing w:after="0" w:line="262" w:lineRule="auto"/>
        <w:rPr>
          <w:sz w:val="20"/>
          <w:szCs w:val="20"/>
          <w:color w:val="auto"/>
        </w:rPr>
      </w:pPr>
      <w:r>
        <w:rPr>
          <w:rFonts w:ascii="Arial" w:cs="Arial" w:eastAsia="Arial" w:hAnsi="Arial"/>
          <w:sz w:val="16"/>
          <w:szCs w:val="16"/>
          <w:color w:val="auto"/>
        </w:rPr>
        <w:t>Over the past several years, the Company has undertaken a deliberate transformation to sharpen portfolio focus, strengthen operating discipline and improve financial performance. The reset initiated in 2023 established a stronger foundation. In 2024, the Company began rebuilding momentum. In 2025, the Company advanced execution with continued emphasis on margin expansion, cash generation and continued disciplined capital allocation.</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Strategy and Portfolio Focus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Company’s strategy is guided by five core pillars that shape decision-making and investment allocation:</w:t>
      </w:r>
    </w:p>
    <w:p>
      <w:pPr>
        <w:spacing w:after="0" w:line="124" w:lineRule="exact"/>
        <w:rPr>
          <w:sz w:val="20"/>
          <w:szCs w:val="20"/>
          <w:color w:val="auto"/>
        </w:rPr>
      </w:pPr>
    </w:p>
    <w:p>
      <w:pPr>
        <w:ind w:left="380" w:right="420" w:hanging="213"/>
        <w:spacing w:after="0" w:line="279"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Anytime is Playtime </w:t>
      </w:r>
      <w:r>
        <w:rPr>
          <w:rFonts w:ascii="Arial" w:cs="Arial" w:eastAsia="Arial" w:hAnsi="Arial"/>
          <w:sz w:val="16"/>
          <w:szCs w:val="16"/>
          <w:color w:val="auto"/>
        </w:rPr>
        <w:t>– Winning across play occasions and distribution points by ensuring accessible, relevant and engaging brands wherever and</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consumers choose to play.</w:t>
      </w:r>
    </w:p>
    <w:p>
      <w:pPr>
        <w:spacing w:after="0" w:line="67" w:lineRule="exact"/>
        <w:rPr>
          <w:rFonts w:ascii="Arial" w:cs="Arial" w:eastAsia="Arial" w:hAnsi="Arial"/>
          <w:sz w:val="16"/>
          <w:szCs w:val="16"/>
          <w:color w:val="auto"/>
        </w:rPr>
      </w:pPr>
    </w:p>
    <w:p>
      <w:pPr>
        <w:ind w:left="380" w:hanging="213"/>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Aging Up </w:t>
      </w:r>
      <w:r>
        <w:rPr>
          <w:rFonts w:ascii="Arial" w:cs="Arial" w:eastAsia="Arial" w:hAnsi="Arial"/>
          <w:sz w:val="16"/>
          <w:szCs w:val="16"/>
          <w:color w:val="auto"/>
        </w:rPr>
        <w:t>– Expanding play and collectible experiences for older fans, recognizing the increasing purchasing power of consumers aged 13 and above.</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Everyone Plays </w:t>
      </w:r>
      <w:r>
        <w:rPr>
          <w:rFonts w:ascii="Arial" w:cs="Arial" w:eastAsia="Arial" w:hAnsi="Arial"/>
          <w:sz w:val="16"/>
          <w:szCs w:val="16"/>
          <w:color w:val="auto"/>
        </w:rPr>
        <w:t>– Broadening reach across demographics and markets where the Company is under-indexed.</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Digital and Direct </w:t>
      </w:r>
      <w:r>
        <w:rPr>
          <w:rFonts w:ascii="Arial" w:cs="Arial" w:eastAsia="Arial" w:hAnsi="Arial"/>
          <w:sz w:val="16"/>
          <w:szCs w:val="16"/>
          <w:color w:val="auto"/>
        </w:rPr>
        <w:t>– Deepening consumer engagement through video games, digital platforms and direct-to-consumer capabilities.</w:t>
      </w:r>
    </w:p>
    <w:p>
      <w:pPr>
        <w:spacing w:after="0" w:line="123" w:lineRule="exact"/>
        <w:rPr>
          <w:rFonts w:ascii="Arial" w:cs="Arial" w:eastAsia="Arial" w:hAnsi="Arial"/>
          <w:sz w:val="16"/>
          <w:szCs w:val="16"/>
          <w:color w:val="auto"/>
        </w:rPr>
      </w:pPr>
    </w:p>
    <w:p>
      <w:pPr>
        <w:ind w:left="380" w:right="100" w:hanging="213"/>
        <w:spacing w:after="0" w:line="279"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Partner Scale </w:t>
      </w:r>
      <w:r>
        <w:rPr>
          <w:rFonts w:ascii="Arial" w:cs="Arial" w:eastAsia="Arial" w:hAnsi="Arial"/>
          <w:sz w:val="16"/>
          <w:szCs w:val="16"/>
          <w:color w:val="auto"/>
        </w:rPr>
        <w:t>– Leveraging strategic partnerships and licensing relationships to extend the reach and impact of the Company’s intellectual property in</w:t>
      </w:r>
      <w:r>
        <w:rPr>
          <w:rFonts w:ascii="Arial" w:cs="Arial" w:eastAsia="Arial" w:hAnsi="Arial"/>
          <w:sz w:val="16"/>
          <w:szCs w:val="16"/>
          <w:i w:val="1"/>
          <w:iCs w:val="1"/>
          <w:color w:val="auto"/>
        </w:rPr>
        <w:t xml:space="preserve"> </w:t>
      </w:r>
      <w:r>
        <w:rPr>
          <w:rFonts w:ascii="Arial" w:cs="Arial" w:eastAsia="Arial" w:hAnsi="Arial"/>
          <w:sz w:val="16"/>
          <w:szCs w:val="16"/>
          <w:color w:val="auto"/>
        </w:rPr>
        <w:t>capital-efficient ways.</w:t>
      </w:r>
    </w:p>
    <w:p>
      <w:pPr>
        <w:spacing w:after="0" w:line="94" w:lineRule="exact"/>
        <w:rPr>
          <w:sz w:val="20"/>
          <w:szCs w:val="20"/>
          <w:color w:val="auto"/>
        </w:rPr>
      </w:pPr>
    </w:p>
    <w:p>
      <w:pPr>
        <w:ind w:left="160" w:right="340"/>
        <w:spacing w:after="0" w:line="251" w:lineRule="auto"/>
        <w:rPr>
          <w:sz w:val="20"/>
          <w:szCs w:val="20"/>
          <w:color w:val="auto"/>
        </w:rPr>
      </w:pPr>
      <w:r>
        <w:rPr>
          <w:rFonts w:ascii="Arial" w:cs="Arial" w:eastAsia="Arial" w:hAnsi="Arial"/>
          <w:sz w:val="16"/>
          <w:szCs w:val="16"/>
          <w:color w:val="auto"/>
        </w:rPr>
        <w:t>In 2025, the Company continued to prioritize investment in high-margin, franchise-led opportunities while maintaining strict cost and working capital discipline. Wizards of the Coast and Digital Gaming delivered another strong year, underscoring the value of engagement-driven, recurring revenue streams within the Company’s portfolio. The Company’s licensing business further amplified the reach of the Company’s intellectual property through strategic, asset-light partnerships. The Company’s toy business showed improvement and resiliency in an unpredictable market. Lastly, the Company continued advancing its Operational Excellence program, designed to streamline processes, optimize the Company’s supply chain and structurally improve profitability. These efforts are critical to sustaining margin performance in a dynamic environment.</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Governance and Board Evolution</w:t>
      </w:r>
    </w:p>
    <w:p>
      <w:pPr>
        <w:spacing w:after="0" w:line="108"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auto"/>
        </w:rPr>
        <w:t>The Board remains committed to ensuring that its composition reflects the skills and experience necessary to support Hasbro’s strategy. In early 2026, we welcomed Carla Vernón and Doug Bowser to the Board. Carla has deep experience in global brand leadership and operational execution, and Doug adds significant expertise in digital gaming and global franchise management. Their perspectives strengthen our oversight of franchise growth and digital expansion. We also extend our sincere appreciation to Mary Beth West, who will retire from the Board at the annual meeting. Mary Beth’s leadership and counsel were invaluable during a period of significant transformation for Hasbro. We thank her for her dedicated service.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Looking Ahead</w:t>
      </w:r>
    </w:p>
    <w:p>
      <w:pPr>
        <w:spacing w:after="0" w:line="108" w:lineRule="exact"/>
        <w:rPr>
          <w:sz w:val="20"/>
          <w:szCs w:val="20"/>
          <w:color w:val="auto"/>
        </w:rPr>
      </w:pPr>
    </w:p>
    <w:p>
      <w:pPr>
        <w:jc w:val="both"/>
        <w:ind w:left="160" w:right="160"/>
        <w:spacing w:after="0" w:line="262" w:lineRule="auto"/>
        <w:rPr>
          <w:sz w:val="20"/>
          <w:szCs w:val="20"/>
          <w:color w:val="auto"/>
        </w:rPr>
      </w:pPr>
      <w:r>
        <w:rPr>
          <w:rFonts w:ascii="Arial" w:cs="Arial" w:eastAsia="Arial" w:hAnsi="Arial"/>
          <w:sz w:val="16"/>
          <w:szCs w:val="16"/>
          <w:color w:val="auto"/>
        </w:rPr>
        <w:t>Hasbro today is a more focused, franchise-driven and operationally disciplined organization. The Board is confident in the Company’s strategic direction and management’s execution, and we remain committed to long-term value creation for our shareholders. Thank you for your continued confidence and support.</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1791970" cy="883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197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Richard S. Stoddart</w:t>
      </w:r>
    </w:p>
    <w:p>
      <w:pPr>
        <w:spacing w:after="0" w:line="19" w:lineRule="exact"/>
        <w:rPr>
          <w:sz w:val="20"/>
          <w:szCs w:val="20"/>
          <w:color w:val="auto"/>
        </w:rPr>
      </w:pPr>
    </w:p>
    <w:p>
      <w:pPr>
        <w:ind w:left="1920"/>
        <w:spacing w:after="0"/>
        <w:rPr>
          <w:sz w:val="20"/>
          <w:szCs w:val="20"/>
          <w:color w:val="auto"/>
        </w:rPr>
      </w:pPr>
      <w:r>
        <w:rPr>
          <w:rFonts w:ascii="Arial" w:cs="Arial" w:eastAsia="Arial" w:hAnsi="Arial"/>
          <w:sz w:val="16"/>
          <w:szCs w:val="16"/>
          <w:i w:val="1"/>
          <w:iCs w:val="1"/>
          <w:color w:val="auto"/>
        </w:rPr>
        <w:t>Chair of the Hasbro Board of Directors</w:t>
      </w:r>
    </w:p>
    <w:p>
      <w:pPr>
        <w:sectPr>
          <w:pgSz w:w="11900" w:h="16838" w:orient="portrait"/>
          <w:cols w:equalWidth="0" w:num="1">
            <w:col w:w="11080"/>
          </w:cols>
          <w:pgMar w:left="320" w:top="478"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50"/>
          <w:szCs w:val="50"/>
          <w:color w:val="0060ED"/>
        </w:rPr>
        <w:t>Hasbro, Inc. Notice of 2026</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50"/>
          <w:szCs w:val="50"/>
          <w:b w:val="1"/>
          <w:bCs w:val="1"/>
          <w:color w:val="009BDE"/>
        </w:rPr>
        <w:t>Annual Meeting of Shareholders</w:t>
      </w:r>
    </w:p>
    <w:p>
      <w:pPr>
        <w:spacing w:after="0" w:line="200" w:lineRule="exact"/>
        <w:rPr>
          <w:sz w:val="20"/>
          <w:szCs w:val="20"/>
          <w:color w:val="auto"/>
        </w:rPr>
      </w:pPr>
    </w:p>
    <w:p>
      <w:pPr>
        <w:spacing w:after="0" w:line="268" w:lineRule="exact"/>
        <w:rPr>
          <w:sz w:val="20"/>
          <w:szCs w:val="20"/>
          <w:color w:val="auto"/>
        </w:rPr>
      </w:pPr>
    </w:p>
    <w:tbl>
      <w:tblPr>
        <w:tblLayout w:type="fixed"/>
        <w:tblInd w:w="160" w:type="dxa"/>
        <w:tblCellMar>
          <w:top w:w="0" w:type="dxa"/>
          <w:left w:w="0" w:type="dxa"/>
          <w:bottom w:w="0" w:type="dxa"/>
          <w:right w:w="0" w:type="dxa"/>
        </w:tblCellMar>
      </w:tblPr>
      <w:tr>
        <w:trPr>
          <w:trHeight w:val="269"/>
        </w:trPr>
        <w:tc>
          <w:tcPr>
            <w:tcW w:w="1840" w:type="dxa"/>
            <w:vAlign w:val="bottom"/>
          </w:tcPr>
          <w:p>
            <w:pPr>
              <w:spacing w:after="0"/>
              <w:rPr>
                <w:sz w:val="20"/>
                <w:szCs w:val="20"/>
                <w:color w:val="auto"/>
              </w:rPr>
            </w:pPr>
            <w:r>
              <w:rPr>
                <w:rFonts w:ascii="Arial" w:cs="Arial" w:eastAsia="Arial" w:hAnsi="Arial"/>
                <w:sz w:val="20"/>
                <w:szCs w:val="20"/>
                <w:b w:val="1"/>
                <w:bCs w:val="1"/>
                <w:color w:val="009BDE"/>
              </w:rPr>
              <w:t>Date:</w:t>
            </w:r>
          </w:p>
        </w:tc>
        <w:tc>
          <w:tcPr>
            <w:tcW w:w="9080" w:type="dxa"/>
            <w:vAlign w:val="bottom"/>
          </w:tcPr>
          <w:p>
            <w:pPr>
              <w:ind w:left="360"/>
              <w:spacing w:after="0"/>
              <w:rPr>
                <w:sz w:val="20"/>
                <w:szCs w:val="20"/>
                <w:color w:val="auto"/>
              </w:rPr>
            </w:pPr>
            <w:r>
              <w:rPr>
                <w:rFonts w:ascii="Arial" w:cs="Arial" w:eastAsia="Arial" w:hAnsi="Arial"/>
                <w:sz w:val="16"/>
                <w:szCs w:val="16"/>
                <w:color w:val="auto"/>
              </w:rPr>
              <w:t>Thursday, June 11, 2026</w:t>
            </w:r>
          </w:p>
        </w:tc>
      </w:tr>
      <w:tr>
        <w:trPr>
          <w:trHeight w:val="348"/>
        </w:trPr>
        <w:tc>
          <w:tcPr>
            <w:tcW w:w="1840" w:type="dxa"/>
            <w:vAlign w:val="bottom"/>
          </w:tcPr>
          <w:p>
            <w:pPr>
              <w:spacing w:after="0"/>
              <w:rPr>
                <w:sz w:val="20"/>
                <w:szCs w:val="20"/>
                <w:color w:val="auto"/>
              </w:rPr>
            </w:pPr>
            <w:r>
              <w:rPr>
                <w:rFonts w:ascii="Arial" w:cs="Arial" w:eastAsia="Arial" w:hAnsi="Arial"/>
                <w:sz w:val="20"/>
                <w:szCs w:val="20"/>
                <w:b w:val="1"/>
                <w:bCs w:val="1"/>
                <w:color w:val="009BDE"/>
              </w:rPr>
              <w:t>Time:</w:t>
            </w:r>
          </w:p>
        </w:tc>
        <w:tc>
          <w:tcPr>
            <w:tcW w:w="9080" w:type="dxa"/>
            <w:vAlign w:val="bottom"/>
          </w:tcPr>
          <w:p>
            <w:pPr>
              <w:ind w:left="360"/>
              <w:spacing w:after="0"/>
              <w:rPr>
                <w:sz w:val="20"/>
                <w:szCs w:val="20"/>
                <w:color w:val="auto"/>
              </w:rPr>
            </w:pPr>
            <w:r>
              <w:rPr>
                <w:rFonts w:ascii="Arial" w:cs="Arial" w:eastAsia="Arial" w:hAnsi="Arial"/>
                <w:sz w:val="16"/>
                <w:szCs w:val="16"/>
                <w:color w:val="auto"/>
              </w:rPr>
              <w:t>11:00 a.m. Eastern Time</w:t>
            </w:r>
          </w:p>
        </w:tc>
      </w:tr>
      <w:tr>
        <w:trPr>
          <w:trHeight w:val="276"/>
        </w:trPr>
        <w:tc>
          <w:tcPr>
            <w:tcW w:w="1840" w:type="dxa"/>
            <w:vAlign w:val="bottom"/>
          </w:tcPr>
          <w:p>
            <w:pPr>
              <w:spacing w:after="0"/>
              <w:rPr>
                <w:sz w:val="20"/>
                <w:szCs w:val="20"/>
                <w:color w:val="auto"/>
              </w:rPr>
            </w:pPr>
            <w:r>
              <w:rPr>
                <w:rFonts w:ascii="Arial" w:cs="Arial" w:eastAsia="Arial" w:hAnsi="Arial"/>
                <w:sz w:val="20"/>
                <w:szCs w:val="20"/>
                <w:b w:val="1"/>
                <w:bCs w:val="1"/>
                <w:color w:val="009BDE"/>
              </w:rPr>
              <w:t>Virtual Meeting:</w:t>
            </w:r>
          </w:p>
        </w:tc>
        <w:tc>
          <w:tcPr>
            <w:tcW w:w="9080" w:type="dxa"/>
            <w:vAlign w:val="bottom"/>
          </w:tcPr>
          <w:p>
            <w:pPr>
              <w:ind w:left="360"/>
              <w:spacing w:after="0"/>
              <w:rPr>
                <w:sz w:val="20"/>
                <w:szCs w:val="20"/>
                <w:color w:val="auto"/>
              </w:rPr>
            </w:pPr>
            <w:r>
              <w:rPr>
                <w:rFonts w:ascii="Arial" w:cs="Arial" w:eastAsia="Arial" w:hAnsi="Arial"/>
                <w:sz w:val="16"/>
                <w:szCs w:val="16"/>
                <w:color w:val="auto"/>
              </w:rPr>
              <w:t>The 2026 Annual Meeting of Shareholders (the “Annual Meeting”) will be held in a virtual format only. Shareholders will be</w:t>
            </w:r>
          </w:p>
        </w:tc>
      </w:tr>
      <w:tr>
        <w:trPr>
          <w:trHeight w:val="186"/>
        </w:trPr>
        <w:tc>
          <w:tcPr>
            <w:tcW w:w="184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6"/>
                <w:szCs w:val="16"/>
                <w:color w:val="auto"/>
              </w:rPr>
              <w:t>able to listen, vote, and submit questions during the Annual Meeting from any location that has Internet connectivity by</w:t>
            </w:r>
          </w:p>
        </w:tc>
      </w:tr>
      <w:tr>
        <w:trPr>
          <w:trHeight w:val="211"/>
        </w:trPr>
        <w:tc>
          <w:tcPr>
            <w:tcW w:w="1840" w:type="dxa"/>
            <w:vAlign w:val="bottom"/>
          </w:tcPr>
          <w:p>
            <w:pPr>
              <w:spacing w:after="0"/>
              <w:rPr>
                <w:sz w:val="18"/>
                <w:szCs w:val="18"/>
                <w:color w:val="auto"/>
              </w:rPr>
            </w:pPr>
          </w:p>
        </w:tc>
        <w:tc>
          <w:tcPr>
            <w:tcW w:w="9080" w:type="dxa"/>
            <w:vAlign w:val="bottom"/>
          </w:tcPr>
          <w:p>
            <w:pPr>
              <w:ind w:left="360"/>
              <w:spacing w:after="0"/>
              <w:rPr>
                <w:sz w:val="20"/>
                <w:szCs w:val="20"/>
                <w:color w:val="auto"/>
              </w:rPr>
            </w:pPr>
            <w:r>
              <w:rPr>
                <w:rFonts w:ascii="Arial" w:cs="Arial" w:eastAsia="Arial" w:hAnsi="Arial"/>
                <w:sz w:val="16"/>
                <w:szCs w:val="16"/>
                <w:color w:val="auto"/>
              </w:rPr>
              <w:t>registering to attend the meeting at www.meetnow.global/MHMKPY9.</w:t>
            </w:r>
          </w:p>
        </w:tc>
      </w:tr>
      <w:tr>
        <w:trPr>
          <w:trHeight w:val="298"/>
        </w:trPr>
        <w:tc>
          <w:tcPr>
            <w:tcW w:w="1840" w:type="dxa"/>
            <w:vAlign w:val="bottom"/>
          </w:tcPr>
          <w:p>
            <w:pPr>
              <w:spacing w:after="0"/>
              <w:rPr>
                <w:sz w:val="20"/>
                <w:szCs w:val="20"/>
                <w:color w:val="auto"/>
              </w:rPr>
            </w:pPr>
            <w:r>
              <w:rPr>
                <w:rFonts w:ascii="Arial" w:cs="Arial" w:eastAsia="Arial" w:hAnsi="Arial"/>
                <w:sz w:val="20"/>
                <w:szCs w:val="20"/>
                <w:b w:val="1"/>
                <w:bCs w:val="1"/>
                <w:color w:val="009BDE"/>
              </w:rPr>
              <w:t>Record Date:</w:t>
            </w:r>
          </w:p>
        </w:tc>
        <w:tc>
          <w:tcPr>
            <w:tcW w:w="9080" w:type="dxa"/>
            <w:vAlign w:val="bottom"/>
          </w:tcPr>
          <w:p>
            <w:pPr>
              <w:ind w:left="360"/>
              <w:spacing w:after="0"/>
              <w:rPr>
                <w:sz w:val="20"/>
                <w:szCs w:val="20"/>
                <w:color w:val="auto"/>
              </w:rPr>
            </w:pPr>
            <w:r>
              <w:rPr>
                <w:rFonts w:ascii="Arial" w:cs="Arial" w:eastAsia="Arial" w:hAnsi="Arial"/>
                <w:sz w:val="16"/>
                <w:szCs w:val="16"/>
                <w:color w:val="auto"/>
              </w:rPr>
              <w:t>Only shareholders of record of the Company’s common stock, par value $0.50 per share (“Common Stock”), at the close of</w:t>
            </w:r>
          </w:p>
        </w:tc>
      </w:tr>
      <w:tr>
        <w:trPr>
          <w:trHeight w:val="186"/>
        </w:trPr>
        <w:tc>
          <w:tcPr>
            <w:tcW w:w="184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6"/>
                <w:szCs w:val="16"/>
                <w:color w:val="auto"/>
              </w:rPr>
              <w:t>business on April 13, 2026 are entitled to notice of, and to vote at, the Annual Meeting or any adjournment or</w:t>
            </w:r>
          </w:p>
        </w:tc>
      </w:tr>
      <w:tr>
        <w:trPr>
          <w:trHeight w:val="211"/>
        </w:trPr>
        <w:tc>
          <w:tcPr>
            <w:tcW w:w="1840" w:type="dxa"/>
            <w:vAlign w:val="bottom"/>
          </w:tcPr>
          <w:p>
            <w:pPr>
              <w:spacing w:after="0"/>
              <w:rPr>
                <w:sz w:val="18"/>
                <w:szCs w:val="18"/>
                <w:color w:val="auto"/>
              </w:rPr>
            </w:pPr>
          </w:p>
        </w:tc>
        <w:tc>
          <w:tcPr>
            <w:tcW w:w="9080" w:type="dxa"/>
            <w:vAlign w:val="bottom"/>
          </w:tcPr>
          <w:p>
            <w:pPr>
              <w:ind w:left="360"/>
              <w:spacing w:after="0"/>
              <w:rPr>
                <w:sz w:val="20"/>
                <w:szCs w:val="20"/>
                <w:color w:val="auto"/>
              </w:rPr>
            </w:pPr>
            <w:r>
              <w:rPr>
                <w:rFonts w:ascii="Arial" w:cs="Arial" w:eastAsia="Arial" w:hAnsi="Arial"/>
                <w:sz w:val="16"/>
                <w:szCs w:val="16"/>
                <w:color w:val="auto"/>
              </w:rPr>
              <w:t>postponement thereof.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240030</wp:posOffset>
            </wp:positionV>
            <wp:extent cx="69297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975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426720</wp:posOffset>
            </wp:positionV>
            <wp:extent cx="6929755" cy="968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60"/>
        <w:spacing w:after="0"/>
        <w:tabs>
          <w:tab w:leader="none" w:pos="580" w:val="left"/>
          <w:tab w:leader="none" w:pos="10740" w:val="left"/>
        </w:tabs>
        <w:rPr>
          <w:sz w:val="20"/>
          <w:szCs w:val="20"/>
          <w:color w:val="auto"/>
        </w:rPr>
      </w:pPr>
      <w:r>
        <w:rPr>
          <w:rFonts w:ascii="Arial" w:cs="Arial" w:eastAsia="Arial" w:hAnsi="Arial"/>
          <w:sz w:val="16"/>
          <w:szCs w:val="16"/>
          <w:color w:val="auto"/>
        </w:rPr>
        <w:t xml:space="preserve">    </w:t>
      </w:r>
      <w:r>
        <w:rPr>
          <w:sz w:val="20"/>
          <w:szCs w:val="20"/>
          <w:color w:val="auto"/>
        </w:rPr>
        <w:tab/>
      </w:r>
      <w:r>
        <w:rPr>
          <w:rFonts w:ascii="Arial" w:cs="Arial" w:eastAsia="Arial" w:hAnsi="Arial"/>
          <w:sz w:val="20"/>
          <w:szCs w:val="20"/>
          <w:b w:val="1"/>
          <w:bCs w:val="1"/>
          <w:color w:val="009BDE"/>
        </w:rPr>
        <w:t>Items of Business</w:t>
      </w:r>
      <w:r>
        <w:rPr>
          <w:sz w:val="20"/>
          <w:szCs w:val="20"/>
          <w:color w:val="auto"/>
        </w:rPr>
        <w:tab/>
      </w:r>
      <w:r>
        <w:rPr>
          <w:rFonts w:ascii="Arial" w:cs="Arial" w:eastAsia="Arial" w:hAnsi="Arial"/>
          <w:sz w:val="16"/>
          <w:szCs w:val="16"/>
          <w:color w:val="auto"/>
        </w:rPr>
        <w:t xml:space="preserve">    </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       </w:t>
      </w:r>
      <w:r>
        <w:rPr>
          <w:sz w:val="1"/>
          <w:szCs w:val="1"/>
          <w:color w:val="auto"/>
        </w:rPr>
        <w:drawing>
          <wp:inline distT="0" distB="0" distL="0" distR="0">
            <wp:extent cx="93345" cy="76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345" cy="76200"/>
                    </a:xfrm>
                    <a:prstGeom prst="rect">
                      <a:avLst/>
                    </a:prstGeom>
                    <a:noFill/>
                    <a:ln>
                      <a:noFill/>
                    </a:ln>
                  </pic:spPr>
                </pic:pic>
              </a:graphicData>
            </a:graphic>
          </wp:inline>
        </w:drawing>
      </w:r>
      <w:r>
        <w:rPr>
          <w:rFonts w:ascii="Arial" w:cs="Arial" w:eastAsia="Arial" w:hAnsi="Arial"/>
          <w:sz w:val="16"/>
          <w:szCs w:val="16"/>
          <w:color w:val="auto"/>
        </w:rPr>
        <w:t xml:space="preserve">   Elect eleven (11) directors.</w:t>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Approve an advisory vote on the compensation of the Company’s named executive officers.</w:t>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Ratify the selection of KPMG LLP as the Company’s independent registered public accounting firm for fiscal 2026.</w:t>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Transact other business as may properly come before the meeting and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6929755" cy="399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9755" cy="39941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How to Vote</w:t>
      </w:r>
    </w:p>
    <w:p>
      <w:pPr>
        <w:spacing w:after="0" w:line="200" w:lineRule="exact"/>
        <w:rPr>
          <w:sz w:val="20"/>
          <w:szCs w:val="20"/>
          <w:color w:val="auto"/>
        </w:rPr>
      </w:pPr>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288"/>
        </w:trPr>
        <w:tc>
          <w:tcPr>
            <w:tcW w:w="8200" w:type="dxa"/>
            <w:vAlign w:val="bottom"/>
            <w:tcBorders>
              <w:bottom w:val="single" w:sz="8" w:color="009BDE"/>
            </w:tcBorders>
            <w:gridSpan w:val="3"/>
            <w:shd w:val="clear" w:color="auto" w:fill="009BDE"/>
          </w:tcPr>
          <w:p>
            <w:pPr>
              <w:ind w:left="2080"/>
              <w:spacing w:after="0"/>
              <w:rPr>
                <w:sz w:val="20"/>
                <w:szCs w:val="20"/>
                <w:color w:val="auto"/>
              </w:rPr>
            </w:pPr>
            <w:r>
              <w:rPr>
                <w:rFonts w:ascii="Arial" w:cs="Arial" w:eastAsia="Arial" w:hAnsi="Arial"/>
                <w:sz w:val="18"/>
                <w:szCs w:val="18"/>
                <w:color w:val="FFFFFF"/>
              </w:rPr>
              <w:t>Vote Right Away Through Advance Voting Methods</w:t>
            </w:r>
          </w:p>
        </w:tc>
        <w:tc>
          <w:tcPr>
            <w:tcW w:w="2720" w:type="dxa"/>
            <w:vAlign w:val="bottom"/>
            <w:tcBorders>
              <w:bottom w:val="single" w:sz="8" w:color="009BDE"/>
            </w:tcBorders>
            <w:shd w:val="clear" w:color="auto" w:fill="009BDE"/>
          </w:tcPr>
          <w:p>
            <w:pPr>
              <w:jc w:val="center"/>
              <w:ind w:left="34"/>
              <w:spacing w:after="0"/>
              <w:rPr>
                <w:sz w:val="20"/>
                <w:szCs w:val="20"/>
                <w:color w:val="auto"/>
              </w:rPr>
            </w:pPr>
            <w:r>
              <w:rPr>
                <w:rFonts w:ascii="Arial" w:cs="Arial" w:eastAsia="Arial" w:hAnsi="Arial"/>
                <w:sz w:val="18"/>
                <w:szCs w:val="18"/>
                <w:color w:val="FFFFFF"/>
                <w:w w:val="98"/>
              </w:rPr>
              <w:t>Vote During the Meeting</w:t>
            </w:r>
          </w:p>
        </w:tc>
      </w:tr>
      <w:tr>
        <w:trPr>
          <w:trHeight w:val="740"/>
        </w:trPr>
        <w:tc>
          <w:tcPr>
            <w:tcW w:w="2920" w:type="dxa"/>
            <w:vAlign w:val="bottom"/>
          </w:tcPr>
          <w:p>
            <w:pPr>
              <w:jc w:val="center"/>
              <w:ind w:right="14"/>
              <w:spacing w:after="0"/>
              <w:rPr>
                <w:sz w:val="20"/>
                <w:szCs w:val="20"/>
                <w:color w:val="auto"/>
              </w:rPr>
            </w:pPr>
            <w:r>
              <w:rPr>
                <w:rFonts w:ascii="Arial" w:cs="Arial" w:eastAsia="Arial" w:hAnsi="Arial"/>
                <w:sz w:val="18"/>
                <w:szCs w:val="18"/>
                <w:b w:val="1"/>
                <w:bCs w:val="1"/>
                <w:color w:val="009BDE"/>
                <w:w w:val="97"/>
              </w:rPr>
              <w:t>by Internet</w:t>
            </w:r>
          </w:p>
        </w:tc>
        <w:tc>
          <w:tcPr>
            <w:tcW w:w="2820" w:type="dxa"/>
            <w:vAlign w:val="bottom"/>
          </w:tcPr>
          <w:p>
            <w:pPr>
              <w:jc w:val="center"/>
              <w:ind w:right="134"/>
              <w:spacing w:after="0"/>
              <w:rPr>
                <w:sz w:val="20"/>
                <w:szCs w:val="20"/>
                <w:color w:val="auto"/>
              </w:rPr>
            </w:pPr>
            <w:r>
              <w:rPr>
                <w:rFonts w:ascii="Arial" w:cs="Arial" w:eastAsia="Arial" w:hAnsi="Arial"/>
                <w:sz w:val="18"/>
                <w:szCs w:val="18"/>
                <w:b w:val="1"/>
                <w:bCs w:val="1"/>
                <w:color w:val="009BDE"/>
                <w:w w:val="98"/>
              </w:rPr>
              <w:t>by Phone</w:t>
            </w:r>
          </w:p>
        </w:tc>
        <w:tc>
          <w:tcPr>
            <w:tcW w:w="2460" w:type="dxa"/>
            <w:vAlign w:val="bottom"/>
          </w:tcPr>
          <w:p>
            <w:pPr>
              <w:jc w:val="center"/>
              <w:ind w:right="35"/>
              <w:spacing w:after="0"/>
              <w:rPr>
                <w:sz w:val="20"/>
                <w:szCs w:val="20"/>
                <w:color w:val="auto"/>
              </w:rPr>
            </w:pPr>
            <w:r>
              <w:rPr>
                <w:rFonts w:ascii="Arial" w:cs="Arial" w:eastAsia="Arial" w:hAnsi="Arial"/>
                <w:sz w:val="18"/>
                <w:szCs w:val="18"/>
                <w:b w:val="1"/>
                <w:bCs w:val="1"/>
                <w:color w:val="009BDE"/>
              </w:rPr>
              <w:t>by Mail</w:t>
            </w:r>
          </w:p>
        </w:tc>
        <w:tc>
          <w:tcPr>
            <w:tcW w:w="2720" w:type="dxa"/>
            <w:vAlign w:val="bottom"/>
          </w:tcPr>
          <w:p>
            <w:pPr>
              <w:jc w:val="center"/>
              <w:ind w:left="34"/>
              <w:spacing w:after="0"/>
              <w:rPr>
                <w:sz w:val="20"/>
                <w:szCs w:val="20"/>
                <w:color w:val="auto"/>
              </w:rPr>
            </w:pPr>
            <w:r>
              <w:rPr>
                <w:rFonts w:ascii="Arial" w:cs="Arial" w:eastAsia="Arial" w:hAnsi="Arial"/>
                <w:sz w:val="17"/>
                <w:szCs w:val="17"/>
                <w:color w:val="auto"/>
                <w:w w:val="99"/>
              </w:rPr>
              <w:t>See the instructions in our Q&amp;A</w:t>
            </w:r>
          </w:p>
        </w:tc>
      </w:tr>
      <w:tr>
        <w:trPr>
          <w:trHeight w:val="187"/>
        </w:trPr>
        <w:tc>
          <w:tcPr>
            <w:tcW w:w="2920" w:type="dxa"/>
            <w:vAlign w:val="bottom"/>
          </w:tcPr>
          <w:p>
            <w:pPr>
              <w:jc w:val="center"/>
              <w:spacing w:after="0" w:line="187" w:lineRule="exact"/>
              <w:rPr>
                <w:sz w:val="20"/>
                <w:szCs w:val="20"/>
                <w:color w:val="auto"/>
              </w:rPr>
            </w:pPr>
            <w:r>
              <w:rPr>
                <w:rFonts w:ascii="Arial" w:cs="Arial" w:eastAsia="Arial" w:hAnsi="Arial"/>
                <w:sz w:val="17"/>
                <w:szCs w:val="17"/>
                <w:color w:val="auto"/>
                <w:w w:val="99"/>
              </w:rPr>
              <w:t>Go to the website</w:t>
            </w:r>
          </w:p>
        </w:tc>
        <w:tc>
          <w:tcPr>
            <w:tcW w:w="2820" w:type="dxa"/>
            <w:vAlign w:val="bottom"/>
          </w:tcPr>
          <w:p>
            <w:pPr>
              <w:jc w:val="center"/>
              <w:ind w:right="154"/>
              <w:spacing w:after="0" w:line="187" w:lineRule="exact"/>
              <w:rPr>
                <w:sz w:val="20"/>
                <w:szCs w:val="20"/>
                <w:color w:val="auto"/>
              </w:rPr>
            </w:pPr>
            <w:r>
              <w:rPr>
                <w:rFonts w:ascii="Arial" w:cs="Arial" w:eastAsia="Arial" w:hAnsi="Arial"/>
                <w:sz w:val="17"/>
                <w:szCs w:val="17"/>
                <w:color w:val="auto"/>
                <w:w w:val="98"/>
              </w:rPr>
              <w:t>Call the number on</w:t>
            </w:r>
          </w:p>
        </w:tc>
        <w:tc>
          <w:tcPr>
            <w:tcW w:w="2460" w:type="dxa"/>
            <w:vAlign w:val="bottom"/>
          </w:tcPr>
          <w:p>
            <w:pPr>
              <w:jc w:val="center"/>
              <w:ind w:right="35"/>
              <w:spacing w:after="0" w:line="187" w:lineRule="exact"/>
              <w:rPr>
                <w:sz w:val="20"/>
                <w:szCs w:val="20"/>
                <w:color w:val="auto"/>
              </w:rPr>
            </w:pPr>
            <w:r>
              <w:rPr>
                <w:rFonts w:ascii="Arial" w:cs="Arial" w:eastAsia="Arial" w:hAnsi="Arial"/>
                <w:sz w:val="17"/>
                <w:szCs w:val="17"/>
                <w:color w:val="auto"/>
                <w:w w:val="99"/>
              </w:rPr>
              <w:t>Sign, date and return</w:t>
            </w:r>
          </w:p>
        </w:tc>
        <w:tc>
          <w:tcPr>
            <w:tcW w:w="2720" w:type="dxa"/>
            <w:vAlign w:val="bottom"/>
          </w:tcPr>
          <w:p>
            <w:pPr>
              <w:jc w:val="center"/>
              <w:ind w:left="34"/>
              <w:spacing w:after="0" w:line="187" w:lineRule="exact"/>
              <w:rPr>
                <w:sz w:val="20"/>
                <w:szCs w:val="20"/>
                <w:color w:val="auto"/>
              </w:rPr>
            </w:pPr>
            <w:r>
              <w:rPr>
                <w:rFonts w:ascii="Arial" w:cs="Arial" w:eastAsia="Arial" w:hAnsi="Arial"/>
                <w:sz w:val="17"/>
                <w:szCs w:val="17"/>
                <w:color w:val="auto"/>
                <w:w w:val="99"/>
              </w:rPr>
              <w:t>about the Proxy Materials and the</w:t>
            </w:r>
          </w:p>
        </w:tc>
      </w:tr>
      <w:tr>
        <w:trPr>
          <w:trHeight w:val="187"/>
        </w:trPr>
        <w:tc>
          <w:tcPr>
            <w:tcW w:w="2920" w:type="dxa"/>
            <w:vAlign w:val="bottom"/>
          </w:tcPr>
          <w:p>
            <w:pPr>
              <w:jc w:val="center"/>
              <w:spacing w:after="0" w:line="187" w:lineRule="exact"/>
              <w:rPr>
                <w:sz w:val="20"/>
                <w:szCs w:val="20"/>
                <w:color w:val="auto"/>
              </w:rPr>
            </w:pPr>
            <w:r>
              <w:rPr>
                <w:rFonts w:ascii="Arial" w:cs="Arial" w:eastAsia="Arial" w:hAnsi="Arial"/>
                <w:sz w:val="17"/>
                <w:szCs w:val="17"/>
                <w:color w:val="auto"/>
                <w:w w:val="99"/>
              </w:rPr>
              <w:t>identified on the enclosed proxy card</w:t>
            </w:r>
          </w:p>
        </w:tc>
        <w:tc>
          <w:tcPr>
            <w:tcW w:w="2820" w:type="dxa"/>
            <w:vAlign w:val="bottom"/>
          </w:tcPr>
          <w:p>
            <w:pPr>
              <w:jc w:val="center"/>
              <w:ind w:right="134"/>
              <w:spacing w:after="0" w:line="187" w:lineRule="exact"/>
              <w:rPr>
                <w:sz w:val="20"/>
                <w:szCs w:val="20"/>
                <w:color w:val="auto"/>
              </w:rPr>
            </w:pPr>
            <w:r>
              <w:rPr>
                <w:rFonts w:ascii="Arial" w:cs="Arial" w:eastAsia="Arial" w:hAnsi="Arial"/>
                <w:sz w:val="17"/>
                <w:szCs w:val="17"/>
                <w:color w:val="auto"/>
                <w:w w:val="99"/>
              </w:rPr>
              <w:t>the enclosed</w:t>
            </w:r>
          </w:p>
        </w:tc>
        <w:tc>
          <w:tcPr>
            <w:tcW w:w="2460" w:type="dxa"/>
            <w:vAlign w:val="bottom"/>
          </w:tcPr>
          <w:p>
            <w:pPr>
              <w:jc w:val="center"/>
              <w:ind w:right="55"/>
              <w:spacing w:after="0" w:line="187" w:lineRule="exact"/>
              <w:rPr>
                <w:sz w:val="20"/>
                <w:szCs w:val="20"/>
                <w:color w:val="auto"/>
              </w:rPr>
            </w:pPr>
            <w:r>
              <w:rPr>
                <w:rFonts w:ascii="Arial" w:cs="Arial" w:eastAsia="Arial" w:hAnsi="Arial"/>
                <w:sz w:val="17"/>
                <w:szCs w:val="17"/>
                <w:color w:val="auto"/>
                <w:w w:val="99"/>
              </w:rPr>
              <w:t>the enclosed</w:t>
            </w:r>
          </w:p>
        </w:tc>
        <w:tc>
          <w:tcPr>
            <w:tcW w:w="2720" w:type="dxa"/>
            <w:vAlign w:val="bottom"/>
          </w:tcPr>
          <w:p>
            <w:pPr>
              <w:jc w:val="center"/>
              <w:ind w:left="34"/>
              <w:spacing w:after="0" w:line="187" w:lineRule="exact"/>
              <w:rPr>
                <w:sz w:val="20"/>
                <w:szCs w:val="20"/>
                <w:color w:val="auto"/>
              </w:rPr>
            </w:pPr>
            <w:r>
              <w:rPr>
                <w:rFonts w:ascii="Arial" w:cs="Arial" w:eastAsia="Arial" w:hAnsi="Arial"/>
                <w:sz w:val="17"/>
                <w:szCs w:val="17"/>
                <w:color w:val="auto"/>
                <w:w w:val="99"/>
              </w:rPr>
              <w:t>Annual Meeting explaining how to</w:t>
            </w:r>
          </w:p>
        </w:tc>
      </w:tr>
      <w:tr>
        <w:trPr>
          <w:trHeight w:val="201"/>
        </w:trPr>
        <w:tc>
          <w:tcPr>
            <w:tcW w:w="2920" w:type="dxa"/>
            <w:vAlign w:val="bottom"/>
          </w:tcPr>
          <w:p>
            <w:pPr>
              <w:jc w:val="center"/>
              <w:ind w:right="14"/>
              <w:spacing w:after="0"/>
              <w:rPr>
                <w:sz w:val="20"/>
                <w:szCs w:val="20"/>
                <w:color w:val="auto"/>
              </w:rPr>
            </w:pPr>
            <w:r>
              <w:rPr>
                <w:rFonts w:ascii="Arial" w:cs="Arial" w:eastAsia="Arial" w:hAnsi="Arial"/>
                <w:sz w:val="17"/>
                <w:szCs w:val="17"/>
                <w:color w:val="auto"/>
                <w:w w:val="99"/>
              </w:rPr>
              <w:t>or voting instruction form.</w:t>
            </w:r>
          </w:p>
        </w:tc>
        <w:tc>
          <w:tcPr>
            <w:tcW w:w="2820" w:type="dxa"/>
            <w:vAlign w:val="bottom"/>
          </w:tcPr>
          <w:p>
            <w:pPr>
              <w:jc w:val="center"/>
              <w:ind w:right="154"/>
              <w:spacing w:after="0"/>
              <w:rPr>
                <w:sz w:val="20"/>
                <w:szCs w:val="20"/>
                <w:color w:val="auto"/>
              </w:rPr>
            </w:pPr>
            <w:r>
              <w:rPr>
                <w:rFonts w:ascii="Arial" w:cs="Arial" w:eastAsia="Arial" w:hAnsi="Arial"/>
                <w:sz w:val="17"/>
                <w:szCs w:val="17"/>
                <w:color w:val="auto"/>
                <w:w w:val="99"/>
              </w:rPr>
              <w:t>proxy card or voting instruction</w:t>
            </w:r>
          </w:p>
        </w:tc>
        <w:tc>
          <w:tcPr>
            <w:tcW w:w="2460" w:type="dxa"/>
            <w:vAlign w:val="bottom"/>
          </w:tcPr>
          <w:p>
            <w:pPr>
              <w:jc w:val="center"/>
              <w:ind w:right="35"/>
              <w:spacing w:after="0"/>
              <w:rPr>
                <w:sz w:val="20"/>
                <w:szCs w:val="20"/>
                <w:color w:val="auto"/>
              </w:rPr>
            </w:pPr>
            <w:r>
              <w:rPr>
                <w:rFonts w:ascii="Arial" w:cs="Arial" w:eastAsia="Arial" w:hAnsi="Arial"/>
                <w:sz w:val="17"/>
                <w:szCs w:val="17"/>
                <w:color w:val="auto"/>
              </w:rPr>
              <w:t>proxy card or voting</w:t>
            </w:r>
          </w:p>
        </w:tc>
        <w:tc>
          <w:tcPr>
            <w:tcW w:w="2720" w:type="dxa"/>
            <w:vAlign w:val="bottom"/>
          </w:tcPr>
          <w:p>
            <w:pPr>
              <w:jc w:val="center"/>
              <w:ind w:left="14"/>
              <w:spacing w:after="0"/>
              <w:rPr>
                <w:sz w:val="20"/>
                <w:szCs w:val="20"/>
                <w:color w:val="auto"/>
              </w:rPr>
            </w:pPr>
            <w:r>
              <w:rPr>
                <w:rFonts w:ascii="Arial" w:cs="Arial" w:eastAsia="Arial" w:hAnsi="Arial"/>
                <w:sz w:val="17"/>
                <w:szCs w:val="17"/>
                <w:color w:val="auto"/>
                <w:w w:val="99"/>
              </w:rPr>
              <w:t>vote during the meeting.</w:t>
            </w:r>
          </w:p>
        </w:tc>
      </w:tr>
      <w:tr>
        <w:trPr>
          <w:trHeight w:val="187"/>
        </w:trPr>
        <w:tc>
          <w:tcPr>
            <w:tcW w:w="2920" w:type="dxa"/>
            <w:vAlign w:val="bottom"/>
          </w:tcPr>
          <w:p>
            <w:pPr>
              <w:spacing w:after="0"/>
              <w:rPr>
                <w:sz w:val="16"/>
                <w:szCs w:val="16"/>
                <w:color w:val="auto"/>
              </w:rPr>
            </w:pPr>
          </w:p>
        </w:tc>
        <w:tc>
          <w:tcPr>
            <w:tcW w:w="2820" w:type="dxa"/>
            <w:vAlign w:val="bottom"/>
          </w:tcPr>
          <w:p>
            <w:pPr>
              <w:jc w:val="center"/>
              <w:ind w:right="154"/>
              <w:spacing w:after="0" w:line="187" w:lineRule="exact"/>
              <w:rPr>
                <w:sz w:val="20"/>
                <w:szCs w:val="20"/>
                <w:color w:val="auto"/>
              </w:rPr>
            </w:pPr>
            <w:r>
              <w:rPr>
                <w:rFonts w:ascii="Arial" w:cs="Arial" w:eastAsia="Arial" w:hAnsi="Arial"/>
                <w:sz w:val="17"/>
                <w:szCs w:val="17"/>
                <w:color w:val="auto"/>
                <w:w w:val="97"/>
              </w:rPr>
              <w:t>form.</w:t>
            </w:r>
          </w:p>
        </w:tc>
        <w:tc>
          <w:tcPr>
            <w:tcW w:w="2460" w:type="dxa"/>
            <w:vAlign w:val="bottom"/>
          </w:tcPr>
          <w:p>
            <w:pPr>
              <w:jc w:val="center"/>
              <w:ind w:right="35"/>
              <w:spacing w:after="0" w:line="187" w:lineRule="exact"/>
              <w:rPr>
                <w:sz w:val="20"/>
                <w:szCs w:val="20"/>
                <w:color w:val="auto"/>
              </w:rPr>
            </w:pPr>
            <w:r>
              <w:rPr>
                <w:rFonts w:ascii="Arial" w:cs="Arial" w:eastAsia="Arial" w:hAnsi="Arial"/>
                <w:sz w:val="17"/>
                <w:szCs w:val="17"/>
                <w:color w:val="auto"/>
                <w:w w:val="99"/>
              </w:rPr>
              <w:t>instruction form in the</w:t>
            </w:r>
          </w:p>
        </w:tc>
        <w:tc>
          <w:tcPr>
            <w:tcW w:w="2720" w:type="dxa"/>
            <w:vAlign w:val="bottom"/>
          </w:tcPr>
          <w:p>
            <w:pPr>
              <w:spacing w:after="0"/>
              <w:rPr>
                <w:sz w:val="16"/>
                <w:szCs w:val="16"/>
                <w:color w:val="auto"/>
              </w:rPr>
            </w:pPr>
          </w:p>
        </w:tc>
      </w:tr>
      <w:tr>
        <w:trPr>
          <w:trHeight w:val="187"/>
        </w:trPr>
        <w:tc>
          <w:tcPr>
            <w:tcW w:w="2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60" w:type="dxa"/>
            <w:vAlign w:val="bottom"/>
          </w:tcPr>
          <w:p>
            <w:pPr>
              <w:jc w:val="center"/>
              <w:ind w:right="35"/>
              <w:spacing w:after="0" w:line="187" w:lineRule="exact"/>
              <w:rPr>
                <w:sz w:val="20"/>
                <w:szCs w:val="20"/>
                <w:color w:val="auto"/>
              </w:rPr>
            </w:pPr>
            <w:r>
              <w:rPr>
                <w:rFonts w:ascii="Arial" w:cs="Arial" w:eastAsia="Arial" w:hAnsi="Arial"/>
                <w:sz w:val="17"/>
                <w:szCs w:val="17"/>
                <w:color w:val="auto"/>
              </w:rPr>
              <w:t>accompanying</w:t>
            </w:r>
          </w:p>
        </w:tc>
        <w:tc>
          <w:tcPr>
            <w:tcW w:w="2720" w:type="dxa"/>
            <w:vAlign w:val="bottom"/>
          </w:tcPr>
          <w:p>
            <w:pPr>
              <w:spacing w:after="0"/>
              <w:rPr>
                <w:sz w:val="16"/>
                <w:szCs w:val="16"/>
                <w:color w:val="auto"/>
              </w:rPr>
            </w:pPr>
          </w:p>
        </w:tc>
      </w:tr>
      <w:tr>
        <w:trPr>
          <w:trHeight w:val="187"/>
        </w:trPr>
        <w:tc>
          <w:tcPr>
            <w:tcW w:w="2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60" w:type="dxa"/>
            <w:vAlign w:val="bottom"/>
          </w:tcPr>
          <w:p>
            <w:pPr>
              <w:jc w:val="center"/>
              <w:ind w:right="35"/>
              <w:spacing w:after="0" w:line="187" w:lineRule="exact"/>
              <w:rPr>
                <w:sz w:val="20"/>
                <w:szCs w:val="20"/>
                <w:color w:val="auto"/>
              </w:rPr>
            </w:pPr>
            <w:r>
              <w:rPr>
                <w:rFonts w:ascii="Arial" w:cs="Arial" w:eastAsia="Arial" w:hAnsi="Arial"/>
                <w:sz w:val="17"/>
                <w:szCs w:val="17"/>
                <w:color w:val="auto"/>
              </w:rPr>
              <w:t>pre-addressed</w:t>
            </w:r>
          </w:p>
        </w:tc>
        <w:tc>
          <w:tcPr>
            <w:tcW w:w="2720" w:type="dxa"/>
            <w:vAlign w:val="bottom"/>
          </w:tcPr>
          <w:p>
            <w:pPr>
              <w:spacing w:after="0"/>
              <w:rPr>
                <w:sz w:val="16"/>
                <w:szCs w:val="16"/>
                <w:color w:val="auto"/>
              </w:rPr>
            </w:pPr>
          </w:p>
        </w:tc>
      </w:tr>
      <w:tr>
        <w:trPr>
          <w:trHeight w:val="223"/>
        </w:trPr>
        <w:tc>
          <w:tcPr>
            <w:tcW w:w="29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460" w:type="dxa"/>
            <w:vAlign w:val="bottom"/>
          </w:tcPr>
          <w:p>
            <w:pPr>
              <w:jc w:val="center"/>
              <w:ind w:right="35"/>
              <w:spacing w:after="0"/>
              <w:rPr>
                <w:sz w:val="20"/>
                <w:szCs w:val="20"/>
                <w:color w:val="auto"/>
              </w:rPr>
            </w:pPr>
            <w:r>
              <w:rPr>
                <w:rFonts w:ascii="Arial" w:cs="Arial" w:eastAsia="Arial" w:hAnsi="Arial"/>
                <w:sz w:val="17"/>
                <w:szCs w:val="17"/>
                <w:color w:val="auto"/>
              </w:rPr>
              <w:t>envelope.</w:t>
            </w:r>
          </w:p>
        </w:tc>
        <w:tc>
          <w:tcPr>
            <w:tcW w:w="2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-1332865</wp:posOffset>
            </wp:positionV>
            <wp:extent cx="5477510" cy="1333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77510" cy="1333500"/>
                    </a:xfrm>
                    <a:prstGeom prst="rect">
                      <a:avLst/>
                    </a:prstGeom>
                    <a:noFill/>
                  </pic:spPr>
                </pic:pic>
              </a:graphicData>
            </a:graphic>
          </wp:anchor>
        </w:drawing>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to be held on June 11, 2026</w:t>
      </w:r>
    </w:p>
    <w:p>
      <w:pPr>
        <w:spacing w:after="0" w:line="134"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b w:val="1"/>
          <w:bCs w:val="1"/>
          <w:color w:val="auto"/>
        </w:rPr>
        <w:t>On or about April 17, 2026, we will begin mailing a Notice of Internet Availability of Hasbro’s Proxy Materials to shareholders informing them that this Proxy Statement for the Annual Meeting and the Company’s Annual Report on Form 10-K for the fiscal year ended December 28, 2025 and voting instructions are available, free of charge, at https://investor.hasbro.com/financial-information/annual-meeting. As described in that Notice, all shareholders may choose to access our proxy materials on the Internet or may request to receive paper copies of the proxy materials.</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976630" cy="339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6630" cy="33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Tarrant Sibley</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Vice President, Chief Legal Officer &amp;</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Corporate Secretary</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April 17, 2026</w:t>
      </w:r>
    </w:p>
    <w:p>
      <w:pPr>
        <w:sectPr>
          <w:pgSz w:w="11900" w:h="16838" w:orient="portrait"/>
          <w:cols w:equalWidth="0" w:num="1">
            <w:col w:w="11080"/>
          </w:cols>
          <w:pgMar w:left="320" w:top="478"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50"/>
          <w:szCs w:val="50"/>
          <w:color w:val="0060ED"/>
        </w:rPr>
        <w:t>Table of Contents</w:t>
      </w:r>
    </w:p>
    <w:p>
      <w:pPr>
        <w:spacing w:after="0" w:line="385"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4740" w:type="dxa"/>
            <w:vAlign w:val="bottom"/>
            <w:gridSpan w:val="21"/>
          </w:tcPr>
          <w:p>
            <w:pPr>
              <w:ind w:left="80"/>
              <w:spacing w:after="0"/>
              <w:rPr>
                <w:sz w:val="20"/>
                <w:szCs w:val="20"/>
                <w:color w:val="auto"/>
              </w:rPr>
            </w:pPr>
            <w:r>
              <w:rPr>
                <w:rFonts w:ascii="Arial" w:cs="Arial" w:eastAsia="Arial" w:hAnsi="Arial"/>
                <w:sz w:val="16"/>
                <w:szCs w:val="16"/>
                <w:color w:val="0000EE"/>
              </w:rPr>
              <w:t>Proxy Statement Highlights</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009BDE"/>
              </w:rPr>
              <w:t>i</w:t>
            </w: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30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180" w:type="dxa"/>
            <w:vAlign w:val="bottom"/>
            <w:tcBorders>
              <w:bottom w:val="single" w:sz="8" w:color="009BDE"/>
            </w:tcBorders>
          </w:tcPr>
          <w:p>
            <w:pPr>
              <w:spacing w:after="0"/>
              <w:rPr>
                <w:sz w:val="6"/>
                <w:szCs w:val="6"/>
                <w:color w:val="auto"/>
              </w:rPr>
            </w:pPr>
          </w:p>
        </w:tc>
        <w:tc>
          <w:tcPr>
            <w:tcW w:w="10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4740" w:type="dxa"/>
            <w:vAlign w:val="bottom"/>
            <w:gridSpan w:val="21"/>
          </w:tcPr>
          <w:p>
            <w:pPr>
              <w:ind w:left="80"/>
              <w:spacing w:after="0"/>
              <w:rPr>
                <w:sz w:val="20"/>
                <w:szCs w:val="20"/>
                <w:color w:val="auto"/>
              </w:rPr>
            </w:pPr>
            <w:r>
              <w:rPr>
                <w:rFonts w:ascii="Arial" w:cs="Arial" w:eastAsia="Arial" w:hAnsi="Arial"/>
                <w:sz w:val="16"/>
                <w:szCs w:val="16"/>
                <w:color w:val="0000EE"/>
              </w:rPr>
              <w:t>Election of Directors (Proposal 1)</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009BDE"/>
              </w:rPr>
              <w:t>1</w:t>
            </w: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00" w:type="dxa"/>
            <w:vAlign w:val="bottom"/>
            <w:tcBorders>
              <w:top w:val="single" w:sz="8" w:color="0000EE"/>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180" w:type="dxa"/>
            <w:vAlign w:val="bottom"/>
            <w:tcBorders>
              <w:bottom w:val="single" w:sz="8" w:color="009BDE"/>
            </w:tcBorders>
          </w:tcPr>
          <w:p>
            <w:pPr>
              <w:spacing w:after="0"/>
              <w:rPr>
                <w:sz w:val="6"/>
                <w:szCs w:val="6"/>
                <w:color w:val="auto"/>
              </w:rPr>
            </w:pPr>
          </w:p>
        </w:tc>
        <w:tc>
          <w:tcPr>
            <w:tcW w:w="10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4740" w:type="dxa"/>
            <w:vAlign w:val="bottom"/>
            <w:gridSpan w:val="21"/>
          </w:tcPr>
          <w:p>
            <w:pPr>
              <w:ind w:left="80"/>
              <w:spacing w:after="0"/>
              <w:rPr>
                <w:sz w:val="20"/>
                <w:szCs w:val="20"/>
                <w:color w:val="auto"/>
              </w:rPr>
            </w:pPr>
            <w:r>
              <w:rPr>
                <w:rFonts w:ascii="Arial" w:cs="Arial" w:eastAsia="Arial" w:hAnsi="Arial"/>
                <w:sz w:val="16"/>
                <w:szCs w:val="16"/>
                <w:color w:val="0000EE"/>
              </w:rPr>
              <w:t>Governance of the Company</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009BDE"/>
              </w:rPr>
              <w:t>16</w:t>
            </w: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0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180" w:type="dxa"/>
            <w:vAlign w:val="bottom"/>
            <w:tcBorders>
              <w:bottom w:val="single" w:sz="8" w:color="009BDE"/>
            </w:tcBorders>
          </w:tcPr>
          <w:p>
            <w:pPr>
              <w:spacing w:after="0"/>
              <w:rPr>
                <w:sz w:val="6"/>
                <w:szCs w:val="6"/>
                <w:color w:val="auto"/>
              </w:rPr>
            </w:pPr>
          </w:p>
        </w:tc>
        <w:tc>
          <w:tcPr>
            <w:tcW w:w="10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4740" w:type="dxa"/>
            <w:vAlign w:val="bottom"/>
            <w:gridSpan w:val="21"/>
          </w:tcPr>
          <w:p>
            <w:pPr>
              <w:ind w:left="80"/>
              <w:spacing w:after="0"/>
              <w:rPr>
                <w:sz w:val="20"/>
                <w:szCs w:val="20"/>
                <w:color w:val="auto"/>
              </w:rPr>
            </w:pPr>
            <w:r>
              <w:rPr>
                <w:rFonts w:ascii="Arial" w:cs="Arial" w:eastAsia="Arial" w:hAnsi="Arial"/>
                <w:sz w:val="16"/>
                <w:szCs w:val="16"/>
                <w:color w:val="0000EE"/>
              </w:rPr>
              <w:t>Compensation and Talent Committee Report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009BDE"/>
              </w:rPr>
              <w:t>22</w:t>
            </w: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0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10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4740" w:type="dxa"/>
            <w:vAlign w:val="bottom"/>
            <w:gridSpan w:val="21"/>
          </w:tcPr>
          <w:p>
            <w:pPr>
              <w:ind w:left="80"/>
              <w:spacing w:after="0"/>
              <w:rPr>
                <w:sz w:val="20"/>
                <w:szCs w:val="20"/>
                <w:color w:val="auto"/>
              </w:rPr>
            </w:pPr>
            <w:r>
              <w:rPr>
                <w:rFonts w:ascii="Arial" w:cs="Arial" w:eastAsia="Arial" w:hAnsi="Arial"/>
                <w:sz w:val="16"/>
                <w:szCs w:val="16"/>
                <w:color w:val="0000EE"/>
              </w:rPr>
              <w:t>Compensation Discussion and Analysis</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009BDE"/>
              </w:rPr>
              <w:t>23</w:t>
            </w: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0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10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4660" w:type="dxa"/>
            <w:vAlign w:val="bottom"/>
            <w:gridSpan w:val="20"/>
          </w:tcPr>
          <w:p>
            <w:pPr>
              <w:ind w:left="260"/>
              <w:spacing w:after="0"/>
              <w:rPr>
                <w:sz w:val="20"/>
                <w:szCs w:val="20"/>
                <w:color w:val="auto"/>
              </w:rPr>
            </w:pPr>
            <w:r>
              <w:rPr>
                <w:rFonts w:ascii="Arial" w:cs="Arial" w:eastAsia="Arial" w:hAnsi="Arial"/>
                <w:sz w:val="16"/>
                <w:szCs w:val="16"/>
                <w:color w:val="0000EE"/>
              </w:rPr>
              <w:t>–  Executive Compensation Philosophy and Objectives</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009BDE"/>
              </w:rPr>
              <w:t>27</w:t>
            </w: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0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10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40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440" w:type="dxa"/>
            <w:vAlign w:val="bottom"/>
            <w:tcBorders>
              <w:top w:val="single" w:sz="8" w:color="0000EE"/>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4660" w:type="dxa"/>
            <w:vAlign w:val="bottom"/>
            <w:gridSpan w:val="20"/>
          </w:tcPr>
          <w:p>
            <w:pPr>
              <w:ind w:left="260"/>
              <w:spacing w:after="0"/>
              <w:rPr>
                <w:sz w:val="20"/>
                <w:szCs w:val="20"/>
                <w:color w:val="auto"/>
              </w:rPr>
            </w:pPr>
            <w:r>
              <w:rPr>
                <w:rFonts w:ascii="Arial" w:cs="Arial" w:eastAsia="Arial" w:hAnsi="Arial"/>
                <w:sz w:val="16"/>
                <w:szCs w:val="16"/>
                <w:color w:val="0000EE"/>
              </w:rPr>
              <w:t>–  Compensation Process</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009BDE"/>
              </w:rPr>
              <w:t>28</w:t>
            </w: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0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180" w:type="dxa"/>
            <w:vAlign w:val="bottom"/>
            <w:tcBorders>
              <w:bottom w:val="single" w:sz="8" w:color="009BDE"/>
            </w:tcBorders>
          </w:tcPr>
          <w:p>
            <w:pPr>
              <w:spacing w:after="0"/>
              <w:rPr>
                <w:sz w:val="6"/>
                <w:szCs w:val="6"/>
                <w:color w:val="auto"/>
              </w:rPr>
            </w:pPr>
          </w:p>
        </w:tc>
        <w:tc>
          <w:tcPr>
            <w:tcW w:w="10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4660" w:type="dxa"/>
            <w:vAlign w:val="bottom"/>
            <w:gridSpan w:val="20"/>
          </w:tcPr>
          <w:p>
            <w:pPr>
              <w:ind w:left="260"/>
              <w:spacing w:after="0"/>
              <w:rPr>
                <w:sz w:val="20"/>
                <w:szCs w:val="20"/>
                <w:color w:val="auto"/>
              </w:rPr>
            </w:pPr>
            <w:r>
              <w:rPr>
                <w:rFonts w:ascii="Arial" w:cs="Arial" w:eastAsia="Arial" w:hAnsi="Arial"/>
                <w:sz w:val="16"/>
                <w:szCs w:val="16"/>
                <w:color w:val="0000EE"/>
              </w:rPr>
              <w:t>–  Executive Compensation Program Elements</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009BDE"/>
              </w:rPr>
              <w:t>30</w:t>
            </w: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0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10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400" w:type="dxa"/>
            <w:vAlign w:val="bottom"/>
            <w:tcBorders>
              <w:top w:val="single" w:sz="8" w:color="0000EE"/>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4660" w:type="dxa"/>
            <w:vAlign w:val="bottom"/>
            <w:gridSpan w:val="20"/>
          </w:tcPr>
          <w:p>
            <w:pPr>
              <w:ind w:left="260"/>
              <w:spacing w:after="0"/>
              <w:rPr>
                <w:sz w:val="20"/>
                <w:szCs w:val="20"/>
                <w:color w:val="auto"/>
              </w:rPr>
            </w:pPr>
            <w:r>
              <w:rPr>
                <w:rFonts w:ascii="Arial" w:cs="Arial" w:eastAsia="Arial" w:hAnsi="Arial"/>
                <w:sz w:val="16"/>
                <w:szCs w:val="16"/>
                <w:color w:val="0000EE"/>
              </w:rPr>
              <w:t>–  Other Compensation Considerations</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009BDE"/>
              </w:rPr>
              <w:t>39</w:t>
            </w: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0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10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4740" w:type="dxa"/>
            <w:vAlign w:val="bottom"/>
            <w:gridSpan w:val="21"/>
          </w:tcPr>
          <w:p>
            <w:pPr>
              <w:ind w:left="80"/>
              <w:spacing w:after="0"/>
              <w:rPr>
                <w:sz w:val="20"/>
                <w:szCs w:val="20"/>
                <w:color w:val="auto"/>
              </w:rPr>
            </w:pPr>
            <w:r>
              <w:rPr>
                <w:rFonts w:ascii="Arial" w:cs="Arial" w:eastAsia="Arial" w:hAnsi="Arial"/>
                <w:sz w:val="16"/>
                <w:szCs w:val="16"/>
                <w:color w:val="0000EE"/>
              </w:rPr>
              <w:t>Executive Compensation</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009BDE"/>
              </w:rPr>
              <w:t>40</w:t>
            </w: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30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180" w:type="dxa"/>
            <w:vAlign w:val="bottom"/>
            <w:tcBorders>
              <w:bottom w:val="single" w:sz="8" w:color="009BDE"/>
            </w:tcBorders>
          </w:tcPr>
          <w:p>
            <w:pPr>
              <w:spacing w:after="0"/>
              <w:rPr>
                <w:sz w:val="6"/>
                <w:szCs w:val="6"/>
                <w:color w:val="auto"/>
              </w:rPr>
            </w:pPr>
          </w:p>
        </w:tc>
        <w:tc>
          <w:tcPr>
            <w:tcW w:w="10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4660" w:type="dxa"/>
            <w:vAlign w:val="bottom"/>
            <w:gridSpan w:val="20"/>
          </w:tcPr>
          <w:p>
            <w:pPr>
              <w:ind w:left="260"/>
              <w:spacing w:after="0"/>
              <w:rPr>
                <w:sz w:val="20"/>
                <w:szCs w:val="20"/>
                <w:color w:val="auto"/>
              </w:rPr>
            </w:pPr>
            <w:r>
              <w:rPr>
                <w:rFonts w:ascii="Arial" w:cs="Arial" w:eastAsia="Arial" w:hAnsi="Arial"/>
                <w:sz w:val="16"/>
                <w:szCs w:val="16"/>
                <w:color w:val="0000EE"/>
              </w:rPr>
              <w:t>–  Summary Compensation Table</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009BDE"/>
              </w:rPr>
              <w:t>40</w:t>
            </w: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0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180" w:type="dxa"/>
            <w:vAlign w:val="bottom"/>
            <w:tcBorders>
              <w:bottom w:val="single" w:sz="8" w:color="009BDE"/>
            </w:tcBorders>
          </w:tcPr>
          <w:p>
            <w:pPr>
              <w:spacing w:after="0"/>
              <w:rPr>
                <w:sz w:val="6"/>
                <w:szCs w:val="6"/>
                <w:color w:val="auto"/>
              </w:rPr>
            </w:pPr>
          </w:p>
        </w:tc>
        <w:tc>
          <w:tcPr>
            <w:tcW w:w="10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4660" w:type="dxa"/>
            <w:vAlign w:val="bottom"/>
            <w:gridSpan w:val="20"/>
          </w:tcPr>
          <w:p>
            <w:pPr>
              <w:ind w:left="260"/>
              <w:spacing w:after="0"/>
              <w:rPr>
                <w:sz w:val="20"/>
                <w:szCs w:val="20"/>
                <w:color w:val="auto"/>
              </w:rPr>
            </w:pPr>
            <w:r>
              <w:rPr>
                <w:rFonts w:ascii="Arial" w:cs="Arial" w:eastAsia="Arial" w:hAnsi="Arial"/>
                <w:sz w:val="16"/>
                <w:szCs w:val="16"/>
                <w:color w:val="0000EE"/>
              </w:rPr>
              <w:t>–  Grants of Plan-Based Awards</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009BDE"/>
              </w:rPr>
              <w:t>43</w:t>
            </w: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0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180" w:type="dxa"/>
            <w:vAlign w:val="bottom"/>
            <w:tcBorders>
              <w:bottom w:val="single" w:sz="8" w:color="009BDE"/>
            </w:tcBorders>
          </w:tcPr>
          <w:p>
            <w:pPr>
              <w:spacing w:after="0"/>
              <w:rPr>
                <w:sz w:val="6"/>
                <w:szCs w:val="6"/>
                <w:color w:val="auto"/>
              </w:rPr>
            </w:pPr>
          </w:p>
        </w:tc>
        <w:tc>
          <w:tcPr>
            <w:tcW w:w="10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4660" w:type="dxa"/>
            <w:vAlign w:val="bottom"/>
            <w:gridSpan w:val="20"/>
          </w:tcPr>
          <w:p>
            <w:pPr>
              <w:ind w:left="260"/>
              <w:spacing w:after="0"/>
              <w:rPr>
                <w:sz w:val="20"/>
                <w:szCs w:val="20"/>
                <w:color w:val="auto"/>
              </w:rPr>
            </w:pPr>
            <w:r>
              <w:rPr>
                <w:rFonts w:ascii="Arial" w:cs="Arial" w:eastAsia="Arial" w:hAnsi="Arial"/>
                <w:sz w:val="16"/>
                <w:szCs w:val="16"/>
                <w:color w:val="0000EE"/>
              </w:rPr>
              <w:t>–  Outstanding Equity Awards at Fiscal Year-End</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009BDE"/>
              </w:rPr>
              <w:t>44</w:t>
            </w: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0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10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40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4660" w:type="dxa"/>
            <w:vAlign w:val="bottom"/>
            <w:gridSpan w:val="20"/>
          </w:tcPr>
          <w:p>
            <w:pPr>
              <w:ind w:left="260"/>
              <w:spacing w:after="0"/>
              <w:rPr>
                <w:sz w:val="20"/>
                <w:szCs w:val="20"/>
                <w:color w:val="auto"/>
              </w:rPr>
            </w:pPr>
            <w:r>
              <w:rPr>
                <w:rFonts w:ascii="Arial" w:cs="Arial" w:eastAsia="Arial" w:hAnsi="Arial"/>
                <w:sz w:val="16"/>
                <w:szCs w:val="16"/>
                <w:color w:val="0000EE"/>
              </w:rPr>
              <w:t>–  Option Exercises and Stock Vested</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009BDE"/>
              </w:rPr>
              <w:t>46</w:t>
            </w: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0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100" w:type="dxa"/>
            <w:vAlign w:val="bottom"/>
            <w:tcBorders>
              <w:top w:val="single" w:sz="8" w:color="0000EE"/>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4660" w:type="dxa"/>
            <w:vAlign w:val="bottom"/>
            <w:gridSpan w:val="20"/>
          </w:tcPr>
          <w:p>
            <w:pPr>
              <w:ind w:left="260"/>
              <w:spacing w:after="0"/>
              <w:rPr>
                <w:sz w:val="20"/>
                <w:szCs w:val="20"/>
                <w:color w:val="auto"/>
              </w:rPr>
            </w:pPr>
            <w:r>
              <w:rPr>
                <w:rFonts w:ascii="Arial" w:cs="Arial" w:eastAsia="Arial" w:hAnsi="Arial"/>
                <w:sz w:val="16"/>
                <w:szCs w:val="16"/>
                <w:color w:val="0000EE"/>
              </w:rPr>
              <w:t>–  Non-Qualified Deferred Compensation and Other Deferred</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009BDE"/>
              </w:rPr>
              <w:t>47</w:t>
            </w: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140" w:type="dxa"/>
            <w:vAlign w:val="bottom"/>
            <w:tcBorders>
              <w:top w:val="single" w:sz="8" w:color="0000EE"/>
            </w:tcBorders>
            <w:gridSpan w:val="16"/>
          </w:tcPr>
          <w:p>
            <w:pPr>
              <w:spacing w:after="0" w:line="168" w:lineRule="exact"/>
              <w:rPr>
                <w:sz w:val="20"/>
                <w:szCs w:val="20"/>
                <w:color w:val="auto"/>
              </w:rPr>
            </w:pPr>
            <w:r>
              <w:rPr>
                <w:rFonts w:ascii="Arial" w:cs="Arial" w:eastAsia="Arial" w:hAnsi="Arial"/>
                <w:sz w:val="16"/>
                <w:szCs w:val="16"/>
                <w:color w:val="0000EE"/>
              </w:rPr>
              <w:t>Compensation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30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180" w:type="dxa"/>
            <w:vAlign w:val="bottom"/>
            <w:tcBorders>
              <w:bottom w:val="single" w:sz="8" w:color="009BDE"/>
            </w:tcBorders>
          </w:tcPr>
          <w:p>
            <w:pPr>
              <w:spacing w:after="0"/>
              <w:rPr>
                <w:sz w:val="6"/>
                <w:szCs w:val="6"/>
                <w:color w:val="auto"/>
              </w:rPr>
            </w:pPr>
          </w:p>
        </w:tc>
        <w:tc>
          <w:tcPr>
            <w:tcW w:w="10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4660" w:type="dxa"/>
            <w:vAlign w:val="bottom"/>
            <w:gridSpan w:val="20"/>
          </w:tcPr>
          <w:p>
            <w:pPr>
              <w:ind w:left="260"/>
              <w:spacing w:after="0"/>
              <w:rPr>
                <w:sz w:val="20"/>
                <w:szCs w:val="20"/>
                <w:color w:val="auto"/>
              </w:rPr>
            </w:pPr>
            <w:r>
              <w:rPr>
                <w:rFonts w:ascii="Arial" w:cs="Arial" w:eastAsia="Arial" w:hAnsi="Arial"/>
                <w:sz w:val="16"/>
                <w:szCs w:val="16"/>
                <w:color w:val="0000EE"/>
              </w:rPr>
              <w:t>–  Potential Payments Upon Termination or Change in Control</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009BDE"/>
              </w:rPr>
              <w:t>48</w:t>
            </w: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0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10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40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440" w:type="dxa"/>
            <w:vAlign w:val="bottom"/>
            <w:tcBorders>
              <w:top w:val="single" w:sz="8" w:color="0000EE"/>
              <w:bottom w:val="single" w:sz="8" w:color="009BDE"/>
            </w:tcBorders>
          </w:tcPr>
          <w:p>
            <w:pPr>
              <w:spacing w:after="0"/>
              <w:rPr>
                <w:sz w:val="6"/>
                <w:szCs w:val="6"/>
                <w:color w:val="auto"/>
              </w:rPr>
            </w:pPr>
          </w:p>
        </w:tc>
        <w:tc>
          <w:tcPr>
            <w:tcW w:w="440" w:type="dxa"/>
            <w:vAlign w:val="bottom"/>
            <w:tcBorders>
              <w:top w:val="single" w:sz="8" w:color="0000EE"/>
              <w:bottom w:val="single" w:sz="8" w:color="009BDE"/>
            </w:tcBorders>
          </w:tcPr>
          <w:p>
            <w:pPr>
              <w:spacing w:after="0"/>
              <w:rPr>
                <w:sz w:val="6"/>
                <w:szCs w:val="6"/>
                <w:color w:val="auto"/>
              </w:rPr>
            </w:pPr>
          </w:p>
        </w:tc>
        <w:tc>
          <w:tcPr>
            <w:tcW w:w="60" w:type="dxa"/>
            <w:vAlign w:val="bottom"/>
            <w:tcBorders>
              <w:top w:val="single" w:sz="8" w:color="0000EE"/>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4660" w:type="dxa"/>
            <w:vAlign w:val="bottom"/>
            <w:gridSpan w:val="20"/>
          </w:tcPr>
          <w:p>
            <w:pPr>
              <w:ind w:left="260"/>
              <w:spacing w:after="0"/>
              <w:rPr>
                <w:sz w:val="20"/>
                <w:szCs w:val="20"/>
                <w:color w:val="auto"/>
              </w:rPr>
            </w:pPr>
            <w:r>
              <w:rPr>
                <w:rFonts w:ascii="Arial" w:cs="Arial" w:eastAsia="Arial" w:hAnsi="Arial"/>
                <w:sz w:val="16"/>
                <w:szCs w:val="16"/>
                <w:color w:val="0000EE"/>
                <w:w w:val="99"/>
              </w:rPr>
              <w:t>–  Agreements and Arrangements Providing Post-Employment</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009BDE"/>
              </w:rPr>
              <w:t>50</w:t>
            </w: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240" w:type="dxa"/>
            <w:vAlign w:val="bottom"/>
            <w:tcBorders>
              <w:top w:val="single" w:sz="8" w:color="0000EE"/>
            </w:tcBorders>
            <w:gridSpan w:val="18"/>
          </w:tcPr>
          <w:p>
            <w:pPr>
              <w:spacing w:after="0" w:line="168" w:lineRule="exact"/>
              <w:rPr>
                <w:sz w:val="20"/>
                <w:szCs w:val="20"/>
                <w:color w:val="auto"/>
              </w:rPr>
            </w:pPr>
            <w:r>
              <w:rPr>
                <w:rFonts w:ascii="Arial" w:cs="Arial" w:eastAsia="Arial" w:hAnsi="Arial"/>
                <w:sz w:val="16"/>
                <w:szCs w:val="16"/>
                <w:color w:val="0000EE"/>
              </w:rPr>
              <w:t>and Change in Control Benefits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1020" w:type="dxa"/>
            <w:vAlign w:val="bottom"/>
            <w:tcBorders>
              <w:top w:val="single" w:sz="8" w:color="0000EE"/>
              <w:bottom w:val="single" w:sz="8" w:color="009BDE"/>
            </w:tcBorders>
          </w:tcPr>
          <w:p>
            <w:pPr>
              <w:spacing w:after="0"/>
              <w:rPr>
                <w:sz w:val="6"/>
                <w:szCs w:val="6"/>
                <w:color w:val="auto"/>
              </w:rPr>
            </w:pPr>
          </w:p>
        </w:tc>
        <w:tc>
          <w:tcPr>
            <w:tcW w:w="34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0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80" w:type="dxa"/>
            <w:vAlign w:val="bottom"/>
            <w:tcBorders>
              <w:top w:val="single" w:sz="8" w:color="0000EE"/>
              <w:bottom w:val="single" w:sz="8" w:color="009BDE"/>
            </w:tcBorders>
          </w:tcPr>
          <w:p>
            <w:pPr>
              <w:spacing w:after="0"/>
              <w:rPr>
                <w:sz w:val="6"/>
                <w:szCs w:val="6"/>
                <w:color w:val="auto"/>
              </w:rPr>
            </w:pPr>
          </w:p>
        </w:tc>
        <w:tc>
          <w:tcPr>
            <w:tcW w:w="40" w:type="dxa"/>
            <w:vAlign w:val="bottom"/>
            <w:tcBorders>
              <w:top w:val="single" w:sz="8" w:color="0000EE"/>
              <w:bottom w:val="single" w:sz="8" w:color="009BDE"/>
            </w:tcBorders>
          </w:tcPr>
          <w:p>
            <w:pPr>
              <w:spacing w:after="0"/>
              <w:rPr>
                <w:sz w:val="6"/>
                <w:szCs w:val="6"/>
                <w:color w:val="auto"/>
              </w:rPr>
            </w:pPr>
          </w:p>
        </w:tc>
        <w:tc>
          <w:tcPr>
            <w:tcW w:w="180" w:type="dxa"/>
            <w:vAlign w:val="bottom"/>
            <w:tcBorders>
              <w:bottom w:val="single" w:sz="8" w:color="009BDE"/>
            </w:tcBorders>
          </w:tcPr>
          <w:p>
            <w:pPr>
              <w:spacing w:after="0"/>
              <w:rPr>
                <w:sz w:val="6"/>
                <w:szCs w:val="6"/>
                <w:color w:val="auto"/>
              </w:rPr>
            </w:pPr>
          </w:p>
        </w:tc>
        <w:tc>
          <w:tcPr>
            <w:tcW w:w="100" w:type="dxa"/>
            <w:vAlign w:val="bottom"/>
            <w:tcBorders>
              <w:bottom w:val="single" w:sz="8" w:color="009BDE"/>
            </w:tcBorders>
          </w:tcPr>
          <w:p>
            <w:pPr>
              <w:spacing w:after="0"/>
              <w:rPr>
                <w:sz w:val="6"/>
                <w:szCs w:val="6"/>
                <w:color w:val="auto"/>
              </w:rPr>
            </w:pPr>
          </w:p>
        </w:tc>
        <w:tc>
          <w:tcPr>
            <w:tcW w:w="8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44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50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4740" w:type="dxa"/>
            <w:vAlign w:val="bottom"/>
            <w:gridSpan w:val="21"/>
          </w:tcPr>
          <w:p>
            <w:pPr>
              <w:ind w:left="260"/>
              <w:spacing w:after="0"/>
              <w:rPr>
                <w:sz w:val="20"/>
                <w:szCs w:val="20"/>
                <w:color w:val="auto"/>
              </w:rPr>
            </w:pPr>
            <w:r>
              <w:rPr>
                <w:rFonts w:ascii="Arial" w:cs="Arial" w:eastAsia="Arial" w:hAnsi="Arial"/>
                <w:sz w:val="16"/>
                <w:szCs w:val="16"/>
                <w:color w:val="0000EE"/>
              </w:rPr>
              <w:t>–  CEO Pay Ratio</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009BDE"/>
              </w:rPr>
              <w:t>54</w:t>
            </w:r>
          </w:p>
        </w:tc>
        <w:tc>
          <w:tcPr>
            <w:tcW w:w="0" w:type="dxa"/>
            <w:vAlign w:val="bottom"/>
          </w:tcPr>
          <w:p>
            <w:pPr>
              <w:spacing w:after="0"/>
              <w:rPr>
                <w:sz w:val="1"/>
                <w:szCs w:val="1"/>
                <w:color w:val="auto"/>
              </w:rPr>
            </w:pPr>
          </w:p>
        </w:tc>
      </w:tr>
      <w:tr>
        <w:trPr>
          <w:trHeight w:val="74"/>
        </w:trPr>
        <w:tc>
          <w:tcPr>
            <w:tcW w:w="6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580" w:type="dxa"/>
            <w:vAlign w:val="bottom"/>
            <w:tcBorders>
              <w:top w:val="single" w:sz="8" w:color="0000EE"/>
              <w:bottom w:val="single" w:sz="8" w:color="009BDE"/>
            </w:tcBorders>
          </w:tcPr>
          <w:p>
            <w:pPr>
              <w:spacing w:after="0"/>
              <w:rPr>
                <w:sz w:val="6"/>
                <w:szCs w:val="6"/>
                <w:color w:val="auto"/>
              </w:rPr>
            </w:pPr>
          </w:p>
        </w:tc>
        <w:tc>
          <w:tcPr>
            <w:tcW w:w="1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20" w:type="dxa"/>
            <w:vAlign w:val="bottom"/>
            <w:tcBorders>
              <w:top w:val="single" w:sz="8" w:color="0000EE"/>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80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340" w:type="dxa"/>
            <w:vAlign w:val="bottom"/>
            <w:tcBorders>
              <w:bottom w:val="single" w:sz="8" w:color="009BDE"/>
            </w:tcBorders>
          </w:tcPr>
          <w:p>
            <w:pPr>
              <w:spacing w:after="0"/>
              <w:rPr>
                <w:sz w:val="6"/>
                <w:szCs w:val="6"/>
                <w:color w:val="auto"/>
              </w:rPr>
            </w:pPr>
          </w:p>
        </w:tc>
        <w:tc>
          <w:tcPr>
            <w:tcW w:w="2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740" w:type="dxa"/>
            <w:vAlign w:val="bottom"/>
            <w:gridSpan w:val="21"/>
          </w:tcPr>
          <w:p>
            <w:pPr>
              <w:ind w:left="260"/>
              <w:spacing w:after="0"/>
              <w:rPr>
                <w:sz w:val="20"/>
                <w:szCs w:val="20"/>
                <w:color w:val="auto"/>
              </w:rPr>
            </w:pPr>
            <w:r>
              <w:rPr>
                <w:rFonts w:ascii="Arial" w:cs="Arial" w:eastAsia="Arial" w:hAnsi="Arial"/>
                <w:sz w:val="16"/>
                <w:szCs w:val="16"/>
                <w:color w:val="0000EE"/>
              </w:rPr>
              <w:t>–  Pay Versus Performance</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009BDE"/>
              </w:rPr>
              <w:t>55</w:t>
            </w:r>
          </w:p>
        </w:tc>
        <w:tc>
          <w:tcPr>
            <w:tcW w:w="0" w:type="dxa"/>
            <w:vAlign w:val="bottom"/>
          </w:tcPr>
          <w:p>
            <w:pPr>
              <w:spacing w:after="0"/>
              <w:rPr>
                <w:sz w:val="1"/>
                <w:szCs w:val="1"/>
                <w:color w:val="auto"/>
              </w:rPr>
            </w:pPr>
          </w:p>
        </w:tc>
      </w:tr>
      <w:tr>
        <w:trPr>
          <w:trHeight w:val="74"/>
        </w:trPr>
        <w:tc>
          <w:tcPr>
            <w:tcW w:w="6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580" w:type="dxa"/>
            <w:vAlign w:val="bottom"/>
            <w:tcBorders>
              <w:top w:val="single" w:sz="8" w:color="0000EE"/>
              <w:bottom w:val="single" w:sz="8" w:color="009BDE"/>
            </w:tcBorders>
          </w:tcPr>
          <w:p>
            <w:pPr>
              <w:spacing w:after="0"/>
              <w:rPr>
                <w:sz w:val="6"/>
                <w:szCs w:val="6"/>
                <w:color w:val="auto"/>
              </w:rPr>
            </w:pPr>
          </w:p>
        </w:tc>
        <w:tc>
          <w:tcPr>
            <w:tcW w:w="1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20" w:type="dxa"/>
            <w:vAlign w:val="bottom"/>
            <w:tcBorders>
              <w:top w:val="single" w:sz="8" w:color="0000EE"/>
              <w:bottom w:val="single" w:sz="8" w:color="009BDE"/>
            </w:tcBorders>
          </w:tcPr>
          <w:p>
            <w:pPr>
              <w:spacing w:after="0"/>
              <w:rPr>
                <w:sz w:val="6"/>
                <w:szCs w:val="6"/>
                <w:color w:val="auto"/>
              </w:rPr>
            </w:pPr>
          </w:p>
        </w:tc>
        <w:tc>
          <w:tcPr>
            <w:tcW w:w="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200" w:type="dxa"/>
            <w:vAlign w:val="bottom"/>
            <w:tcBorders>
              <w:top w:val="single" w:sz="8" w:color="0000EE"/>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80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340" w:type="dxa"/>
            <w:vAlign w:val="bottom"/>
            <w:tcBorders>
              <w:bottom w:val="single" w:sz="8" w:color="009BDE"/>
            </w:tcBorders>
          </w:tcPr>
          <w:p>
            <w:pPr>
              <w:spacing w:after="0"/>
              <w:rPr>
                <w:sz w:val="6"/>
                <w:szCs w:val="6"/>
                <w:color w:val="auto"/>
              </w:rPr>
            </w:pPr>
          </w:p>
        </w:tc>
        <w:tc>
          <w:tcPr>
            <w:tcW w:w="2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740" w:type="dxa"/>
            <w:vAlign w:val="bottom"/>
            <w:gridSpan w:val="21"/>
          </w:tcPr>
          <w:p>
            <w:pPr>
              <w:ind w:left="260"/>
              <w:spacing w:after="0"/>
              <w:rPr>
                <w:sz w:val="20"/>
                <w:szCs w:val="20"/>
                <w:color w:val="auto"/>
              </w:rPr>
            </w:pPr>
            <w:r>
              <w:rPr>
                <w:rFonts w:ascii="Arial" w:cs="Arial" w:eastAsia="Arial" w:hAnsi="Arial"/>
                <w:sz w:val="16"/>
                <w:szCs w:val="16"/>
                <w:color w:val="0000EE"/>
              </w:rPr>
              <w:t>–  Compensation Committee Interlocks and Insider</w:t>
            </w: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009BDE"/>
              </w:rPr>
              <w:t>58</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420" w:type="dxa"/>
            <w:vAlign w:val="bottom"/>
            <w:tcBorders>
              <w:top w:val="single" w:sz="8" w:color="0000EE"/>
            </w:tcBorders>
            <w:gridSpan w:val="13"/>
          </w:tcPr>
          <w:p>
            <w:pPr>
              <w:spacing w:after="0" w:line="168" w:lineRule="exact"/>
              <w:rPr>
                <w:sz w:val="20"/>
                <w:szCs w:val="20"/>
                <w:color w:val="auto"/>
              </w:rPr>
            </w:pPr>
            <w:r>
              <w:rPr>
                <w:rFonts w:ascii="Arial" w:cs="Arial" w:eastAsia="Arial" w:hAnsi="Arial"/>
                <w:sz w:val="16"/>
                <w:szCs w:val="16"/>
                <w:color w:val="0000EE"/>
              </w:rPr>
              <w:t>Participation</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6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580" w:type="dxa"/>
            <w:vAlign w:val="bottom"/>
            <w:tcBorders>
              <w:top w:val="single" w:sz="8" w:color="0000EE"/>
              <w:bottom w:val="single" w:sz="8" w:color="009BDE"/>
            </w:tcBorders>
          </w:tcPr>
          <w:p>
            <w:pPr>
              <w:spacing w:after="0"/>
              <w:rPr>
                <w:sz w:val="6"/>
                <w:szCs w:val="6"/>
                <w:color w:val="auto"/>
              </w:rPr>
            </w:pPr>
          </w:p>
        </w:tc>
        <w:tc>
          <w:tcPr>
            <w:tcW w:w="140" w:type="dxa"/>
            <w:vAlign w:val="bottom"/>
            <w:tcBorders>
              <w:top w:val="single" w:sz="8" w:color="0000EE"/>
              <w:bottom w:val="single" w:sz="8" w:color="009BDE"/>
            </w:tcBorders>
          </w:tcPr>
          <w:p>
            <w:pPr>
              <w:spacing w:after="0"/>
              <w:rPr>
                <w:sz w:val="6"/>
                <w:szCs w:val="6"/>
                <w:color w:val="auto"/>
              </w:rPr>
            </w:pPr>
          </w:p>
        </w:tc>
        <w:tc>
          <w:tcPr>
            <w:tcW w:w="1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80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340" w:type="dxa"/>
            <w:vAlign w:val="bottom"/>
            <w:tcBorders>
              <w:bottom w:val="single" w:sz="8" w:color="009BDE"/>
            </w:tcBorders>
          </w:tcPr>
          <w:p>
            <w:pPr>
              <w:spacing w:after="0"/>
              <w:rPr>
                <w:sz w:val="6"/>
                <w:szCs w:val="6"/>
                <w:color w:val="auto"/>
              </w:rPr>
            </w:pPr>
          </w:p>
        </w:tc>
        <w:tc>
          <w:tcPr>
            <w:tcW w:w="2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74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w w:val="99"/>
              </w:rPr>
              <w:t>Shareholder Advisory Vote on Compensation for Named Executive</w:t>
            </w: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009BDE"/>
              </w:rPr>
              <w:t>59</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4740" w:type="dxa"/>
            <w:vAlign w:val="bottom"/>
            <w:gridSpan w:val="21"/>
          </w:tcPr>
          <w:p>
            <w:pPr>
              <w:spacing w:after="0" w:line="168" w:lineRule="exact"/>
              <w:rPr>
                <w:sz w:val="20"/>
                <w:szCs w:val="20"/>
                <w:color w:val="auto"/>
              </w:rPr>
            </w:pPr>
            <w:r>
              <w:rPr>
                <w:rFonts w:ascii="Arial" w:cs="Arial" w:eastAsia="Arial" w:hAnsi="Arial"/>
                <w:sz w:val="16"/>
                <w:szCs w:val="16"/>
                <w:color w:val="0000EE"/>
              </w:rPr>
              <w:t>Officers (Proposal 2)</w:t>
            </w: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6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580" w:type="dxa"/>
            <w:vAlign w:val="bottom"/>
            <w:tcBorders>
              <w:top w:val="single" w:sz="8" w:color="0000EE"/>
              <w:bottom w:val="single" w:sz="8" w:color="009BDE"/>
            </w:tcBorders>
          </w:tcPr>
          <w:p>
            <w:pPr>
              <w:spacing w:after="0"/>
              <w:rPr>
                <w:sz w:val="6"/>
                <w:szCs w:val="6"/>
                <w:color w:val="auto"/>
              </w:rPr>
            </w:pPr>
          </w:p>
        </w:tc>
        <w:tc>
          <w:tcPr>
            <w:tcW w:w="1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80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340" w:type="dxa"/>
            <w:vAlign w:val="bottom"/>
            <w:tcBorders>
              <w:bottom w:val="single" w:sz="8" w:color="009BDE"/>
            </w:tcBorders>
          </w:tcPr>
          <w:p>
            <w:pPr>
              <w:spacing w:after="0"/>
              <w:rPr>
                <w:sz w:val="6"/>
                <w:szCs w:val="6"/>
                <w:color w:val="auto"/>
              </w:rPr>
            </w:pPr>
          </w:p>
        </w:tc>
        <w:tc>
          <w:tcPr>
            <w:tcW w:w="2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0000EE"/>
              </w:rPr>
              <w:t>Proposal to Ratify the Selection of KPMG LLP as the Company’s</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4600" w:type="dxa"/>
            <w:vAlign w:val="bottom"/>
            <w:tcBorders>
              <w:top w:val="single" w:sz="8" w:color="0000EE"/>
            </w:tcBorders>
            <w:gridSpan w:val="19"/>
          </w:tcPr>
          <w:p>
            <w:pPr>
              <w:spacing w:after="0" w:line="168" w:lineRule="exact"/>
              <w:rPr>
                <w:sz w:val="20"/>
                <w:szCs w:val="20"/>
                <w:color w:val="auto"/>
              </w:rPr>
            </w:pPr>
            <w:r>
              <w:rPr>
                <w:rFonts w:ascii="Arial" w:cs="Arial" w:eastAsia="Arial" w:hAnsi="Arial"/>
                <w:sz w:val="16"/>
                <w:szCs w:val="16"/>
                <w:color w:val="0000EE"/>
              </w:rPr>
              <w:t>Independent Registered Public Accounting Firm for the 2026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009BDE"/>
              </w:rPr>
              <w:t>60</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4300" w:type="dxa"/>
            <w:vAlign w:val="bottom"/>
            <w:tcBorders>
              <w:top w:val="single" w:sz="8" w:color="0000EE"/>
            </w:tcBorders>
            <w:gridSpan w:val="17"/>
          </w:tcPr>
          <w:p>
            <w:pPr>
              <w:spacing w:after="0" w:line="168" w:lineRule="exact"/>
              <w:rPr>
                <w:sz w:val="20"/>
                <w:szCs w:val="20"/>
                <w:color w:val="auto"/>
              </w:rPr>
            </w:pPr>
            <w:r>
              <w:rPr>
                <w:rFonts w:ascii="Arial" w:cs="Arial" w:eastAsia="Arial" w:hAnsi="Arial"/>
                <w:sz w:val="16"/>
                <w:szCs w:val="16"/>
                <w:color w:val="0000EE"/>
              </w:rPr>
              <w:t>Fiscal Year (Proposal 3)</w:t>
            </w:r>
          </w:p>
        </w:tc>
        <w:tc>
          <w:tcPr>
            <w:tcW w:w="2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6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580" w:type="dxa"/>
            <w:vAlign w:val="bottom"/>
            <w:tcBorders>
              <w:top w:val="single" w:sz="8" w:color="0000EE"/>
              <w:bottom w:val="single" w:sz="8" w:color="009BDE"/>
            </w:tcBorders>
          </w:tcPr>
          <w:p>
            <w:pPr>
              <w:spacing w:after="0"/>
              <w:rPr>
                <w:sz w:val="6"/>
                <w:szCs w:val="6"/>
                <w:color w:val="auto"/>
              </w:rPr>
            </w:pPr>
          </w:p>
        </w:tc>
        <w:tc>
          <w:tcPr>
            <w:tcW w:w="1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20" w:type="dxa"/>
            <w:vAlign w:val="bottom"/>
            <w:tcBorders>
              <w:top w:val="single" w:sz="8" w:color="0000EE"/>
              <w:bottom w:val="single" w:sz="8" w:color="009BDE"/>
            </w:tcBorders>
          </w:tcPr>
          <w:p>
            <w:pPr>
              <w:spacing w:after="0"/>
              <w:rPr>
                <w:sz w:val="6"/>
                <w:szCs w:val="6"/>
                <w:color w:val="auto"/>
              </w:rPr>
            </w:pPr>
          </w:p>
        </w:tc>
        <w:tc>
          <w:tcPr>
            <w:tcW w:w="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80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340" w:type="dxa"/>
            <w:vAlign w:val="bottom"/>
            <w:tcBorders>
              <w:bottom w:val="single" w:sz="8" w:color="009BDE"/>
            </w:tcBorders>
          </w:tcPr>
          <w:p>
            <w:pPr>
              <w:spacing w:after="0"/>
              <w:rPr>
                <w:sz w:val="6"/>
                <w:szCs w:val="6"/>
                <w:color w:val="auto"/>
              </w:rPr>
            </w:pPr>
          </w:p>
        </w:tc>
        <w:tc>
          <w:tcPr>
            <w:tcW w:w="2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0000EE"/>
              </w:rPr>
              <w:t>Report of the Audit Committee of the Board of Directors</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009BDE"/>
              </w:rPr>
              <w:t>61</w:t>
            </w:r>
          </w:p>
        </w:tc>
        <w:tc>
          <w:tcPr>
            <w:tcW w:w="0" w:type="dxa"/>
            <w:vAlign w:val="bottom"/>
          </w:tcPr>
          <w:p>
            <w:pPr>
              <w:spacing w:after="0"/>
              <w:rPr>
                <w:sz w:val="1"/>
                <w:szCs w:val="1"/>
                <w:color w:val="auto"/>
              </w:rPr>
            </w:pPr>
          </w:p>
        </w:tc>
      </w:tr>
      <w:tr>
        <w:trPr>
          <w:trHeight w:val="74"/>
        </w:trPr>
        <w:tc>
          <w:tcPr>
            <w:tcW w:w="6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580" w:type="dxa"/>
            <w:vAlign w:val="bottom"/>
            <w:tcBorders>
              <w:top w:val="single" w:sz="8" w:color="0000EE"/>
              <w:bottom w:val="single" w:sz="8" w:color="009BDE"/>
            </w:tcBorders>
          </w:tcPr>
          <w:p>
            <w:pPr>
              <w:spacing w:after="0"/>
              <w:rPr>
                <w:sz w:val="6"/>
                <w:szCs w:val="6"/>
                <w:color w:val="auto"/>
              </w:rPr>
            </w:pPr>
          </w:p>
        </w:tc>
        <w:tc>
          <w:tcPr>
            <w:tcW w:w="1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20" w:type="dxa"/>
            <w:vAlign w:val="bottom"/>
            <w:tcBorders>
              <w:top w:val="single" w:sz="8" w:color="0000EE"/>
              <w:bottom w:val="single" w:sz="8" w:color="009BDE"/>
            </w:tcBorders>
          </w:tcPr>
          <w:p>
            <w:pPr>
              <w:spacing w:after="0"/>
              <w:rPr>
                <w:sz w:val="6"/>
                <w:szCs w:val="6"/>
                <w:color w:val="auto"/>
              </w:rPr>
            </w:pPr>
          </w:p>
        </w:tc>
        <w:tc>
          <w:tcPr>
            <w:tcW w:w="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200" w:type="dxa"/>
            <w:vAlign w:val="bottom"/>
            <w:tcBorders>
              <w:top w:val="single" w:sz="8" w:color="0000EE"/>
              <w:bottom w:val="single" w:sz="8" w:color="009BDE"/>
            </w:tcBorders>
          </w:tcPr>
          <w:p>
            <w:pPr>
              <w:spacing w:after="0"/>
              <w:rPr>
                <w:sz w:val="6"/>
                <w:szCs w:val="6"/>
                <w:color w:val="auto"/>
              </w:rPr>
            </w:pPr>
          </w:p>
        </w:tc>
        <w:tc>
          <w:tcPr>
            <w:tcW w:w="200" w:type="dxa"/>
            <w:vAlign w:val="bottom"/>
            <w:tcBorders>
              <w:top w:val="single" w:sz="8" w:color="0000EE"/>
              <w:bottom w:val="single" w:sz="8" w:color="009BDE"/>
            </w:tcBorders>
          </w:tcPr>
          <w:p>
            <w:pPr>
              <w:spacing w:after="0"/>
              <w:rPr>
                <w:sz w:val="6"/>
                <w:szCs w:val="6"/>
                <w:color w:val="auto"/>
              </w:rPr>
            </w:pPr>
          </w:p>
        </w:tc>
        <w:tc>
          <w:tcPr>
            <w:tcW w:w="400" w:type="dxa"/>
            <w:vAlign w:val="bottom"/>
            <w:tcBorders>
              <w:top w:val="single" w:sz="8" w:color="0000EE"/>
              <w:bottom w:val="single" w:sz="8" w:color="009BDE"/>
            </w:tcBorders>
          </w:tcPr>
          <w:p>
            <w:pPr>
              <w:spacing w:after="0"/>
              <w:rPr>
                <w:sz w:val="6"/>
                <w:szCs w:val="6"/>
                <w:color w:val="auto"/>
              </w:rPr>
            </w:pPr>
          </w:p>
        </w:tc>
        <w:tc>
          <w:tcPr>
            <w:tcW w:w="800" w:type="dxa"/>
            <w:vAlign w:val="bottom"/>
            <w:tcBorders>
              <w:top w:val="single" w:sz="8" w:color="0000EE"/>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40" w:type="dxa"/>
            <w:vAlign w:val="bottom"/>
            <w:tcBorders>
              <w:bottom w:val="single" w:sz="8" w:color="009BDE"/>
            </w:tcBorders>
          </w:tcPr>
          <w:p>
            <w:pPr>
              <w:spacing w:after="0"/>
              <w:rPr>
                <w:sz w:val="6"/>
                <w:szCs w:val="6"/>
                <w:color w:val="auto"/>
              </w:rPr>
            </w:pPr>
          </w:p>
        </w:tc>
        <w:tc>
          <w:tcPr>
            <w:tcW w:w="2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0000EE"/>
              </w:rPr>
              <w:t>Additional Information Regarding Independent Registered Public</w:t>
            </w: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009BDE"/>
              </w:rPr>
              <w:t>64</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4580" w:type="dxa"/>
            <w:vAlign w:val="bottom"/>
            <w:tcBorders>
              <w:top w:val="single" w:sz="8" w:color="0000EE"/>
            </w:tcBorders>
            <w:gridSpan w:val="18"/>
          </w:tcPr>
          <w:p>
            <w:pPr>
              <w:spacing w:after="0" w:line="168" w:lineRule="exact"/>
              <w:rPr>
                <w:sz w:val="20"/>
                <w:szCs w:val="20"/>
                <w:color w:val="auto"/>
              </w:rPr>
            </w:pPr>
            <w:r>
              <w:rPr>
                <w:rFonts w:ascii="Arial" w:cs="Arial" w:eastAsia="Arial" w:hAnsi="Arial"/>
                <w:sz w:val="16"/>
                <w:szCs w:val="16"/>
                <w:color w:val="0000EE"/>
              </w:rPr>
              <w:t>Accounting Firm</w:t>
            </w: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6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580" w:type="dxa"/>
            <w:vAlign w:val="bottom"/>
            <w:tcBorders>
              <w:top w:val="single" w:sz="8" w:color="0000EE"/>
              <w:bottom w:val="single" w:sz="8" w:color="009BDE"/>
            </w:tcBorders>
          </w:tcPr>
          <w:p>
            <w:pPr>
              <w:spacing w:after="0"/>
              <w:rPr>
                <w:sz w:val="6"/>
                <w:szCs w:val="6"/>
                <w:color w:val="auto"/>
              </w:rPr>
            </w:pPr>
          </w:p>
        </w:tc>
        <w:tc>
          <w:tcPr>
            <w:tcW w:w="140" w:type="dxa"/>
            <w:vAlign w:val="bottom"/>
            <w:tcBorders>
              <w:bottom w:val="single" w:sz="8" w:color="009BDE"/>
            </w:tcBorders>
          </w:tcPr>
          <w:p>
            <w:pPr>
              <w:spacing w:after="0"/>
              <w:rPr>
                <w:sz w:val="6"/>
                <w:szCs w:val="6"/>
                <w:color w:val="auto"/>
              </w:rPr>
            </w:pPr>
          </w:p>
        </w:tc>
        <w:tc>
          <w:tcPr>
            <w:tcW w:w="1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80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340" w:type="dxa"/>
            <w:vAlign w:val="bottom"/>
            <w:tcBorders>
              <w:bottom w:val="single" w:sz="8" w:color="009BDE"/>
            </w:tcBorders>
          </w:tcPr>
          <w:p>
            <w:pPr>
              <w:spacing w:after="0"/>
              <w:rPr>
                <w:sz w:val="6"/>
                <w:szCs w:val="6"/>
                <w:color w:val="auto"/>
              </w:rPr>
            </w:pPr>
          </w:p>
        </w:tc>
        <w:tc>
          <w:tcPr>
            <w:tcW w:w="2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0000EE"/>
              </w:rPr>
              <w:t>Voting Securities and Principal Holders</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009BDE"/>
              </w:rPr>
              <w:t>66</w:t>
            </w:r>
          </w:p>
        </w:tc>
        <w:tc>
          <w:tcPr>
            <w:tcW w:w="0" w:type="dxa"/>
            <w:vAlign w:val="bottom"/>
          </w:tcPr>
          <w:p>
            <w:pPr>
              <w:spacing w:after="0"/>
              <w:rPr>
                <w:sz w:val="1"/>
                <w:szCs w:val="1"/>
                <w:color w:val="auto"/>
              </w:rPr>
            </w:pPr>
          </w:p>
        </w:tc>
      </w:tr>
      <w:tr>
        <w:trPr>
          <w:trHeight w:val="74"/>
        </w:trPr>
        <w:tc>
          <w:tcPr>
            <w:tcW w:w="6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580" w:type="dxa"/>
            <w:vAlign w:val="bottom"/>
            <w:tcBorders>
              <w:top w:val="single" w:sz="8" w:color="0000EE"/>
              <w:bottom w:val="single" w:sz="8" w:color="009BDE"/>
            </w:tcBorders>
          </w:tcPr>
          <w:p>
            <w:pPr>
              <w:spacing w:after="0"/>
              <w:rPr>
                <w:sz w:val="6"/>
                <w:szCs w:val="6"/>
                <w:color w:val="auto"/>
              </w:rPr>
            </w:pPr>
          </w:p>
        </w:tc>
        <w:tc>
          <w:tcPr>
            <w:tcW w:w="1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20" w:type="dxa"/>
            <w:vAlign w:val="bottom"/>
            <w:tcBorders>
              <w:top w:val="single" w:sz="8" w:color="0000EE"/>
              <w:bottom w:val="single" w:sz="8" w:color="009BDE"/>
            </w:tcBorders>
          </w:tcPr>
          <w:p>
            <w:pPr>
              <w:spacing w:after="0"/>
              <w:rPr>
                <w:sz w:val="6"/>
                <w:szCs w:val="6"/>
                <w:color w:val="auto"/>
              </w:rPr>
            </w:pPr>
          </w:p>
        </w:tc>
        <w:tc>
          <w:tcPr>
            <w:tcW w:w="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200" w:type="dxa"/>
            <w:vAlign w:val="bottom"/>
            <w:tcBorders>
              <w:top w:val="single" w:sz="8" w:color="0000EE"/>
              <w:bottom w:val="single" w:sz="8" w:color="009BDE"/>
            </w:tcBorders>
          </w:tcPr>
          <w:p>
            <w:pPr>
              <w:spacing w:after="0"/>
              <w:rPr>
                <w:sz w:val="6"/>
                <w:szCs w:val="6"/>
                <w:color w:val="auto"/>
              </w:rPr>
            </w:pPr>
          </w:p>
        </w:tc>
        <w:tc>
          <w:tcPr>
            <w:tcW w:w="200" w:type="dxa"/>
            <w:vAlign w:val="bottom"/>
            <w:tcBorders>
              <w:top w:val="single" w:sz="8" w:color="0000EE"/>
              <w:bottom w:val="single" w:sz="8" w:color="009BDE"/>
            </w:tcBorders>
          </w:tcPr>
          <w:p>
            <w:pPr>
              <w:spacing w:after="0"/>
              <w:rPr>
                <w:sz w:val="6"/>
                <w:szCs w:val="6"/>
                <w:color w:val="auto"/>
              </w:rPr>
            </w:pPr>
          </w:p>
        </w:tc>
        <w:tc>
          <w:tcPr>
            <w:tcW w:w="400" w:type="dxa"/>
            <w:vAlign w:val="bottom"/>
            <w:tcBorders>
              <w:top w:val="single" w:sz="8" w:color="0000EE"/>
              <w:bottom w:val="single" w:sz="8" w:color="009BDE"/>
            </w:tcBorders>
          </w:tcPr>
          <w:p>
            <w:pPr>
              <w:spacing w:after="0"/>
              <w:rPr>
                <w:sz w:val="6"/>
                <w:szCs w:val="6"/>
                <w:color w:val="auto"/>
              </w:rPr>
            </w:pPr>
          </w:p>
        </w:tc>
        <w:tc>
          <w:tcPr>
            <w:tcW w:w="80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340" w:type="dxa"/>
            <w:vAlign w:val="bottom"/>
            <w:tcBorders>
              <w:bottom w:val="single" w:sz="8" w:color="009BDE"/>
            </w:tcBorders>
          </w:tcPr>
          <w:p>
            <w:pPr>
              <w:spacing w:after="0"/>
              <w:rPr>
                <w:sz w:val="6"/>
                <w:szCs w:val="6"/>
                <w:color w:val="auto"/>
              </w:rPr>
            </w:pPr>
          </w:p>
        </w:tc>
        <w:tc>
          <w:tcPr>
            <w:tcW w:w="2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0000EE"/>
              </w:rPr>
              <w:t>Equity Compensation Plans</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009BDE"/>
              </w:rPr>
              <w:t>68</w:t>
            </w:r>
          </w:p>
        </w:tc>
        <w:tc>
          <w:tcPr>
            <w:tcW w:w="0" w:type="dxa"/>
            <w:vAlign w:val="bottom"/>
          </w:tcPr>
          <w:p>
            <w:pPr>
              <w:spacing w:after="0"/>
              <w:rPr>
                <w:sz w:val="1"/>
                <w:szCs w:val="1"/>
                <w:color w:val="auto"/>
              </w:rPr>
            </w:pPr>
          </w:p>
        </w:tc>
      </w:tr>
      <w:tr>
        <w:trPr>
          <w:trHeight w:val="74"/>
        </w:trPr>
        <w:tc>
          <w:tcPr>
            <w:tcW w:w="6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580" w:type="dxa"/>
            <w:vAlign w:val="bottom"/>
            <w:tcBorders>
              <w:top w:val="single" w:sz="8" w:color="0000EE"/>
              <w:bottom w:val="single" w:sz="8" w:color="009BDE"/>
            </w:tcBorders>
          </w:tcPr>
          <w:p>
            <w:pPr>
              <w:spacing w:after="0"/>
              <w:rPr>
                <w:sz w:val="6"/>
                <w:szCs w:val="6"/>
                <w:color w:val="auto"/>
              </w:rPr>
            </w:pPr>
          </w:p>
        </w:tc>
        <w:tc>
          <w:tcPr>
            <w:tcW w:w="1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20" w:type="dxa"/>
            <w:vAlign w:val="bottom"/>
            <w:tcBorders>
              <w:top w:val="single" w:sz="8" w:color="0000EE"/>
              <w:bottom w:val="single" w:sz="8" w:color="009BDE"/>
            </w:tcBorders>
          </w:tcPr>
          <w:p>
            <w:pPr>
              <w:spacing w:after="0"/>
              <w:rPr>
                <w:sz w:val="6"/>
                <w:szCs w:val="6"/>
                <w:color w:val="auto"/>
              </w:rPr>
            </w:pPr>
          </w:p>
        </w:tc>
        <w:tc>
          <w:tcPr>
            <w:tcW w:w="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80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340" w:type="dxa"/>
            <w:vAlign w:val="bottom"/>
            <w:tcBorders>
              <w:bottom w:val="single" w:sz="8" w:color="009BDE"/>
            </w:tcBorders>
          </w:tcPr>
          <w:p>
            <w:pPr>
              <w:spacing w:after="0"/>
              <w:rPr>
                <w:sz w:val="6"/>
                <w:szCs w:val="6"/>
                <w:color w:val="auto"/>
              </w:rPr>
            </w:pPr>
          </w:p>
        </w:tc>
        <w:tc>
          <w:tcPr>
            <w:tcW w:w="2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0000EE"/>
              </w:rPr>
              <w:t>Delinquent Section 16(a) Reports</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009BDE"/>
              </w:rPr>
              <w:t>69</w:t>
            </w:r>
          </w:p>
        </w:tc>
        <w:tc>
          <w:tcPr>
            <w:tcW w:w="0" w:type="dxa"/>
            <w:vAlign w:val="bottom"/>
          </w:tcPr>
          <w:p>
            <w:pPr>
              <w:spacing w:after="0"/>
              <w:rPr>
                <w:sz w:val="1"/>
                <w:szCs w:val="1"/>
                <w:color w:val="auto"/>
              </w:rPr>
            </w:pPr>
          </w:p>
        </w:tc>
      </w:tr>
      <w:tr>
        <w:trPr>
          <w:trHeight w:val="74"/>
        </w:trPr>
        <w:tc>
          <w:tcPr>
            <w:tcW w:w="6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580" w:type="dxa"/>
            <w:vAlign w:val="bottom"/>
            <w:tcBorders>
              <w:top w:val="single" w:sz="8" w:color="0000EE"/>
              <w:bottom w:val="single" w:sz="8" w:color="009BDE"/>
            </w:tcBorders>
          </w:tcPr>
          <w:p>
            <w:pPr>
              <w:spacing w:after="0"/>
              <w:rPr>
                <w:sz w:val="6"/>
                <w:szCs w:val="6"/>
                <w:color w:val="auto"/>
              </w:rPr>
            </w:pPr>
          </w:p>
        </w:tc>
        <w:tc>
          <w:tcPr>
            <w:tcW w:w="1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20" w:type="dxa"/>
            <w:vAlign w:val="bottom"/>
            <w:tcBorders>
              <w:top w:val="single" w:sz="8" w:color="0000EE"/>
              <w:bottom w:val="single" w:sz="8" w:color="009BDE"/>
            </w:tcBorders>
          </w:tcPr>
          <w:p>
            <w:pPr>
              <w:spacing w:after="0"/>
              <w:rPr>
                <w:sz w:val="6"/>
                <w:szCs w:val="6"/>
                <w:color w:val="auto"/>
              </w:rPr>
            </w:pPr>
          </w:p>
        </w:tc>
        <w:tc>
          <w:tcPr>
            <w:tcW w:w="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200" w:type="dxa"/>
            <w:vAlign w:val="bottom"/>
            <w:tcBorders>
              <w:top w:val="single" w:sz="8" w:color="0000EE"/>
              <w:bottom w:val="single" w:sz="8" w:color="009BDE"/>
            </w:tcBorders>
          </w:tcPr>
          <w:p>
            <w:pPr>
              <w:spacing w:after="0"/>
              <w:rPr>
                <w:sz w:val="6"/>
                <w:szCs w:val="6"/>
                <w:color w:val="auto"/>
              </w:rPr>
            </w:pPr>
          </w:p>
        </w:tc>
        <w:tc>
          <w:tcPr>
            <w:tcW w:w="200" w:type="dxa"/>
            <w:vAlign w:val="bottom"/>
            <w:tcBorders>
              <w:top w:val="single" w:sz="8" w:color="0000EE"/>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80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340" w:type="dxa"/>
            <w:vAlign w:val="bottom"/>
            <w:tcBorders>
              <w:bottom w:val="single" w:sz="8" w:color="009BDE"/>
            </w:tcBorders>
          </w:tcPr>
          <w:p>
            <w:pPr>
              <w:spacing w:after="0"/>
              <w:rPr>
                <w:sz w:val="6"/>
                <w:szCs w:val="6"/>
                <w:color w:val="auto"/>
              </w:rPr>
            </w:pPr>
          </w:p>
        </w:tc>
        <w:tc>
          <w:tcPr>
            <w:tcW w:w="2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0000EE"/>
              </w:rPr>
              <w:t>Certain Relationships and Related Person Transactions</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009BDE"/>
              </w:rPr>
              <w:t>69</w:t>
            </w:r>
          </w:p>
        </w:tc>
        <w:tc>
          <w:tcPr>
            <w:tcW w:w="0" w:type="dxa"/>
            <w:vAlign w:val="bottom"/>
          </w:tcPr>
          <w:p>
            <w:pPr>
              <w:spacing w:after="0"/>
              <w:rPr>
                <w:sz w:val="1"/>
                <w:szCs w:val="1"/>
                <w:color w:val="auto"/>
              </w:rPr>
            </w:pPr>
          </w:p>
        </w:tc>
      </w:tr>
      <w:tr>
        <w:trPr>
          <w:trHeight w:val="74"/>
        </w:trPr>
        <w:tc>
          <w:tcPr>
            <w:tcW w:w="6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580" w:type="dxa"/>
            <w:vAlign w:val="bottom"/>
            <w:tcBorders>
              <w:top w:val="single" w:sz="8" w:color="0000EE"/>
              <w:bottom w:val="single" w:sz="8" w:color="009BDE"/>
            </w:tcBorders>
          </w:tcPr>
          <w:p>
            <w:pPr>
              <w:spacing w:after="0"/>
              <w:rPr>
                <w:sz w:val="6"/>
                <w:szCs w:val="6"/>
                <w:color w:val="auto"/>
              </w:rPr>
            </w:pPr>
          </w:p>
        </w:tc>
        <w:tc>
          <w:tcPr>
            <w:tcW w:w="1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20" w:type="dxa"/>
            <w:vAlign w:val="bottom"/>
            <w:tcBorders>
              <w:top w:val="single" w:sz="8" w:color="0000EE"/>
              <w:bottom w:val="single" w:sz="8" w:color="009BDE"/>
            </w:tcBorders>
          </w:tcPr>
          <w:p>
            <w:pPr>
              <w:spacing w:after="0"/>
              <w:rPr>
                <w:sz w:val="6"/>
                <w:szCs w:val="6"/>
                <w:color w:val="auto"/>
              </w:rPr>
            </w:pPr>
          </w:p>
        </w:tc>
        <w:tc>
          <w:tcPr>
            <w:tcW w:w="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200" w:type="dxa"/>
            <w:vAlign w:val="bottom"/>
            <w:tcBorders>
              <w:top w:val="single" w:sz="8" w:color="0000EE"/>
              <w:bottom w:val="single" w:sz="8" w:color="009BDE"/>
            </w:tcBorders>
          </w:tcPr>
          <w:p>
            <w:pPr>
              <w:spacing w:after="0"/>
              <w:rPr>
                <w:sz w:val="6"/>
                <w:szCs w:val="6"/>
                <w:color w:val="auto"/>
              </w:rPr>
            </w:pPr>
          </w:p>
        </w:tc>
        <w:tc>
          <w:tcPr>
            <w:tcW w:w="200" w:type="dxa"/>
            <w:vAlign w:val="bottom"/>
            <w:tcBorders>
              <w:top w:val="single" w:sz="8" w:color="0000EE"/>
              <w:bottom w:val="single" w:sz="8" w:color="009BDE"/>
            </w:tcBorders>
          </w:tcPr>
          <w:p>
            <w:pPr>
              <w:spacing w:after="0"/>
              <w:rPr>
                <w:sz w:val="6"/>
                <w:szCs w:val="6"/>
                <w:color w:val="auto"/>
              </w:rPr>
            </w:pPr>
          </w:p>
        </w:tc>
        <w:tc>
          <w:tcPr>
            <w:tcW w:w="400" w:type="dxa"/>
            <w:vAlign w:val="bottom"/>
            <w:tcBorders>
              <w:top w:val="single" w:sz="8" w:color="0000EE"/>
              <w:bottom w:val="single" w:sz="8" w:color="009BDE"/>
            </w:tcBorders>
          </w:tcPr>
          <w:p>
            <w:pPr>
              <w:spacing w:after="0"/>
              <w:rPr>
                <w:sz w:val="6"/>
                <w:szCs w:val="6"/>
                <w:color w:val="auto"/>
              </w:rPr>
            </w:pPr>
          </w:p>
        </w:tc>
        <w:tc>
          <w:tcPr>
            <w:tcW w:w="800" w:type="dxa"/>
            <w:vAlign w:val="bottom"/>
            <w:tcBorders>
              <w:top w:val="single" w:sz="8" w:color="0000EE"/>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20" w:type="dxa"/>
            <w:vAlign w:val="bottom"/>
            <w:tcBorders>
              <w:top w:val="single" w:sz="8" w:color="0000EE"/>
              <w:bottom w:val="single" w:sz="8" w:color="009BDE"/>
            </w:tcBorders>
          </w:tcPr>
          <w:p>
            <w:pPr>
              <w:spacing w:after="0"/>
              <w:rPr>
                <w:sz w:val="6"/>
                <w:szCs w:val="6"/>
                <w:color w:val="auto"/>
              </w:rPr>
            </w:pPr>
          </w:p>
        </w:tc>
        <w:tc>
          <w:tcPr>
            <w:tcW w:w="340" w:type="dxa"/>
            <w:vAlign w:val="bottom"/>
            <w:tcBorders>
              <w:bottom w:val="single" w:sz="8" w:color="009BDE"/>
            </w:tcBorders>
          </w:tcPr>
          <w:p>
            <w:pPr>
              <w:spacing w:after="0"/>
              <w:rPr>
                <w:sz w:val="6"/>
                <w:szCs w:val="6"/>
                <w:color w:val="auto"/>
              </w:rPr>
            </w:pPr>
          </w:p>
        </w:tc>
        <w:tc>
          <w:tcPr>
            <w:tcW w:w="2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0000EE"/>
              </w:rPr>
              <w:t>Questions and Answers About the Proxy Materials and the Annual</w:t>
            </w: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009BDE"/>
              </w:rPr>
              <w:t>70</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4720" w:type="dxa"/>
            <w:vAlign w:val="bottom"/>
            <w:tcBorders>
              <w:top w:val="single" w:sz="8" w:color="0000EE"/>
            </w:tcBorders>
            <w:gridSpan w:val="20"/>
          </w:tcPr>
          <w:p>
            <w:pPr>
              <w:spacing w:after="0" w:line="168" w:lineRule="exact"/>
              <w:rPr>
                <w:sz w:val="20"/>
                <w:szCs w:val="20"/>
                <w:color w:val="auto"/>
              </w:rPr>
            </w:pPr>
            <w:r>
              <w:rPr>
                <w:rFonts w:ascii="Arial" w:cs="Arial" w:eastAsia="Arial" w:hAnsi="Arial"/>
                <w:sz w:val="16"/>
                <w:szCs w:val="16"/>
                <w:color w:val="0000EE"/>
              </w:rPr>
              <w:t>Meeting</w:t>
            </w:r>
          </w:p>
        </w:tc>
        <w:tc>
          <w:tcPr>
            <w:tcW w:w="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6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580" w:type="dxa"/>
            <w:vAlign w:val="bottom"/>
            <w:tcBorders>
              <w:bottom w:val="single" w:sz="8" w:color="009BDE"/>
            </w:tcBorders>
          </w:tcPr>
          <w:p>
            <w:pPr>
              <w:spacing w:after="0"/>
              <w:rPr>
                <w:sz w:val="6"/>
                <w:szCs w:val="6"/>
                <w:color w:val="auto"/>
              </w:rPr>
            </w:pPr>
          </w:p>
        </w:tc>
        <w:tc>
          <w:tcPr>
            <w:tcW w:w="140" w:type="dxa"/>
            <w:vAlign w:val="bottom"/>
            <w:tcBorders>
              <w:bottom w:val="single" w:sz="8" w:color="009BDE"/>
            </w:tcBorders>
          </w:tcPr>
          <w:p>
            <w:pPr>
              <w:spacing w:after="0"/>
              <w:rPr>
                <w:sz w:val="6"/>
                <w:szCs w:val="6"/>
                <w:color w:val="auto"/>
              </w:rPr>
            </w:pPr>
          </w:p>
        </w:tc>
        <w:tc>
          <w:tcPr>
            <w:tcW w:w="1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60" w:type="dxa"/>
            <w:vAlign w:val="bottom"/>
            <w:tcBorders>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80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340" w:type="dxa"/>
            <w:vAlign w:val="bottom"/>
            <w:tcBorders>
              <w:bottom w:val="single" w:sz="8" w:color="009BDE"/>
            </w:tcBorders>
          </w:tcPr>
          <w:p>
            <w:pPr>
              <w:spacing w:after="0"/>
              <w:rPr>
                <w:sz w:val="6"/>
                <w:szCs w:val="6"/>
                <w:color w:val="auto"/>
              </w:rPr>
            </w:pPr>
          </w:p>
        </w:tc>
        <w:tc>
          <w:tcPr>
            <w:tcW w:w="2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0000EE"/>
              </w:rPr>
              <w:t>Additional Information</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009BDE"/>
              </w:rPr>
              <w:t>74</w:t>
            </w:r>
          </w:p>
        </w:tc>
        <w:tc>
          <w:tcPr>
            <w:tcW w:w="0" w:type="dxa"/>
            <w:vAlign w:val="bottom"/>
          </w:tcPr>
          <w:p>
            <w:pPr>
              <w:spacing w:after="0"/>
              <w:rPr>
                <w:sz w:val="1"/>
                <w:szCs w:val="1"/>
                <w:color w:val="auto"/>
              </w:rPr>
            </w:pPr>
          </w:p>
        </w:tc>
      </w:tr>
      <w:tr>
        <w:trPr>
          <w:trHeight w:val="74"/>
        </w:trPr>
        <w:tc>
          <w:tcPr>
            <w:tcW w:w="6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580" w:type="dxa"/>
            <w:vAlign w:val="bottom"/>
            <w:tcBorders>
              <w:top w:val="single" w:sz="8" w:color="0000EE"/>
              <w:bottom w:val="single" w:sz="8" w:color="009BDE"/>
            </w:tcBorders>
          </w:tcPr>
          <w:p>
            <w:pPr>
              <w:spacing w:after="0"/>
              <w:rPr>
                <w:sz w:val="6"/>
                <w:szCs w:val="6"/>
                <w:color w:val="auto"/>
              </w:rPr>
            </w:pPr>
          </w:p>
        </w:tc>
        <w:tc>
          <w:tcPr>
            <w:tcW w:w="1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20" w:type="dxa"/>
            <w:vAlign w:val="bottom"/>
            <w:tcBorders>
              <w:top w:val="single" w:sz="8" w:color="0000EE"/>
              <w:bottom w:val="single" w:sz="8" w:color="009BDE"/>
            </w:tcBorders>
          </w:tcPr>
          <w:p>
            <w:pPr>
              <w:spacing w:after="0"/>
              <w:rPr>
                <w:sz w:val="6"/>
                <w:szCs w:val="6"/>
                <w:color w:val="auto"/>
              </w:rPr>
            </w:pPr>
          </w:p>
        </w:tc>
        <w:tc>
          <w:tcPr>
            <w:tcW w:w="60" w:type="dxa"/>
            <w:vAlign w:val="bottom"/>
            <w:tcBorders>
              <w:top w:val="single" w:sz="8" w:color="0000EE"/>
              <w:bottom w:val="single" w:sz="8" w:color="009BDE"/>
            </w:tcBorders>
          </w:tcPr>
          <w:p>
            <w:pPr>
              <w:spacing w:after="0"/>
              <w:rPr>
                <w:sz w:val="6"/>
                <w:szCs w:val="6"/>
                <w:color w:val="auto"/>
              </w:rPr>
            </w:pPr>
          </w:p>
        </w:tc>
        <w:tc>
          <w:tcPr>
            <w:tcW w:w="16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200" w:type="dxa"/>
            <w:vAlign w:val="bottom"/>
            <w:tcBorders>
              <w:bottom w:val="single" w:sz="8" w:color="009BDE"/>
            </w:tcBorders>
          </w:tcPr>
          <w:p>
            <w:pPr>
              <w:spacing w:after="0"/>
              <w:rPr>
                <w:sz w:val="6"/>
                <w:szCs w:val="6"/>
                <w:color w:val="auto"/>
              </w:rPr>
            </w:pPr>
          </w:p>
        </w:tc>
        <w:tc>
          <w:tcPr>
            <w:tcW w:w="400" w:type="dxa"/>
            <w:vAlign w:val="bottom"/>
            <w:tcBorders>
              <w:bottom w:val="single" w:sz="8" w:color="009BDE"/>
            </w:tcBorders>
          </w:tcPr>
          <w:p>
            <w:pPr>
              <w:spacing w:after="0"/>
              <w:rPr>
                <w:sz w:val="6"/>
                <w:szCs w:val="6"/>
                <w:color w:val="auto"/>
              </w:rPr>
            </w:pPr>
          </w:p>
        </w:tc>
        <w:tc>
          <w:tcPr>
            <w:tcW w:w="800" w:type="dxa"/>
            <w:vAlign w:val="bottom"/>
            <w:tcBorders>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340" w:type="dxa"/>
            <w:vAlign w:val="bottom"/>
            <w:tcBorders>
              <w:bottom w:val="single" w:sz="8" w:color="009BDE"/>
            </w:tcBorders>
          </w:tcPr>
          <w:p>
            <w:pPr>
              <w:spacing w:after="0"/>
              <w:rPr>
                <w:sz w:val="6"/>
                <w:szCs w:val="6"/>
                <w:color w:val="auto"/>
              </w:rPr>
            </w:pPr>
          </w:p>
        </w:tc>
        <w:tc>
          <w:tcPr>
            <w:tcW w:w="2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0000EE"/>
              </w:rPr>
              <w:t>Appendix A — GAAP TO Non-GAAP Reconciliation</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009BDE"/>
              </w:rPr>
              <w:t>A-1</w:t>
            </w:r>
          </w:p>
        </w:tc>
        <w:tc>
          <w:tcPr>
            <w:tcW w:w="0" w:type="dxa"/>
            <w:vAlign w:val="bottom"/>
          </w:tcPr>
          <w:p>
            <w:pPr>
              <w:spacing w:after="0"/>
              <w:rPr>
                <w:sz w:val="1"/>
                <w:szCs w:val="1"/>
                <w:color w:val="auto"/>
              </w:rPr>
            </w:pPr>
          </w:p>
        </w:tc>
      </w:tr>
      <w:tr>
        <w:trPr>
          <w:trHeight w:val="74"/>
        </w:trPr>
        <w:tc>
          <w:tcPr>
            <w:tcW w:w="60" w:type="dxa"/>
            <w:vAlign w:val="bottom"/>
            <w:tcBorders>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580" w:type="dxa"/>
            <w:vAlign w:val="bottom"/>
            <w:tcBorders>
              <w:top w:val="single" w:sz="8" w:color="0000EE"/>
              <w:bottom w:val="single" w:sz="8" w:color="009BDE"/>
            </w:tcBorders>
          </w:tcPr>
          <w:p>
            <w:pPr>
              <w:spacing w:after="0"/>
              <w:rPr>
                <w:sz w:val="6"/>
                <w:szCs w:val="6"/>
                <w:color w:val="auto"/>
              </w:rPr>
            </w:pPr>
          </w:p>
        </w:tc>
        <w:tc>
          <w:tcPr>
            <w:tcW w:w="140" w:type="dxa"/>
            <w:vAlign w:val="bottom"/>
            <w:tcBorders>
              <w:top w:val="single" w:sz="8" w:color="0000EE"/>
              <w:bottom w:val="single" w:sz="8" w:color="009BDE"/>
            </w:tcBorders>
          </w:tcPr>
          <w:p>
            <w:pPr>
              <w:spacing w:after="0"/>
              <w:rPr>
                <w:sz w:val="6"/>
                <w:szCs w:val="6"/>
                <w:color w:val="auto"/>
              </w:rPr>
            </w:pPr>
          </w:p>
        </w:tc>
        <w:tc>
          <w:tcPr>
            <w:tcW w:w="180" w:type="dxa"/>
            <w:vAlign w:val="bottom"/>
            <w:tcBorders>
              <w:top w:val="single" w:sz="8" w:color="0000EE"/>
              <w:bottom w:val="single" w:sz="8" w:color="009BDE"/>
            </w:tcBorders>
          </w:tcPr>
          <w:p>
            <w:pPr>
              <w:spacing w:after="0"/>
              <w:rPr>
                <w:sz w:val="6"/>
                <w:szCs w:val="6"/>
                <w:color w:val="auto"/>
              </w:rPr>
            </w:pPr>
          </w:p>
        </w:tc>
        <w:tc>
          <w:tcPr>
            <w:tcW w:w="20" w:type="dxa"/>
            <w:vAlign w:val="bottom"/>
            <w:tcBorders>
              <w:top w:val="single" w:sz="8" w:color="0000EE"/>
              <w:bottom w:val="single" w:sz="8" w:color="009BDE"/>
            </w:tcBorders>
          </w:tcPr>
          <w:p>
            <w:pPr>
              <w:spacing w:after="0"/>
              <w:rPr>
                <w:sz w:val="6"/>
                <w:szCs w:val="6"/>
                <w:color w:val="auto"/>
              </w:rPr>
            </w:pPr>
          </w:p>
        </w:tc>
        <w:tc>
          <w:tcPr>
            <w:tcW w:w="60" w:type="dxa"/>
            <w:vAlign w:val="bottom"/>
            <w:tcBorders>
              <w:top w:val="single" w:sz="8" w:color="0000EE"/>
              <w:bottom w:val="single" w:sz="8" w:color="009BDE"/>
            </w:tcBorders>
          </w:tcPr>
          <w:p>
            <w:pPr>
              <w:spacing w:after="0"/>
              <w:rPr>
                <w:sz w:val="6"/>
                <w:szCs w:val="6"/>
                <w:color w:val="auto"/>
              </w:rPr>
            </w:pPr>
          </w:p>
        </w:tc>
        <w:tc>
          <w:tcPr>
            <w:tcW w:w="160" w:type="dxa"/>
            <w:vAlign w:val="bottom"/>
            <w:tcBorders>
              <w:top w:val="single" w:sz="8" w:color="0000EE"/>
              <w:bottom w:val="single" w:sz="8" w:color="009BDE"/>
            </w:tcBorders>
          </w:tcPr>
          <w:p>
            <w:pPr>
              <w:spacing w:after="0"/>
              <w:rPr>
                <w:sz w:val="6"/>
                <w:szCs w:val="6"/>
                <w:color w:val="auto"/>
              </w:rPr>
            </w:pPr>
          </w:p>
        </w:tc>
        <w:tc>
          <w:tcPr>
            <w:tcW w:w="260" w:type="dxa"/>
            <w:vAlign w:val="bottom"/>
            <w:tcBorders>
              <w:top w:val="single" w:sz="8" w:color="0000EE"/>
              <w:bottom w:val="single" w:sz="8" w:color="009BDE"/>
            </w:tcBorders>
          </w:tcPr>
          <w:p>
            <w:pPr>
              <w:spacing w:after="0"/>
              <w:rPr>
                <w:sz w:val="6"/>
                <w:szCs w:val="6"/>
                <w:color w:val="auto"/>
              </w:rPr>
            </w:pPr>
          </w:p>
        </w:tc>
        <w:tc>
          <w:tcPr>
            <w:tcW w:w="200" w:type="dxa"/>
            <w:vAlign w:val="bottom"/>
            <w:tcBorders>
              <w:top w:val="single" w:sz="8" w:color="0000EE"/>
              <w:bottom w:val="single" w:sz="8" w:color="009BDE"/>
            </w:tcBorders>
          </w:tcPr>
          <w:p>
            <w:pPr>
              <w:spacing w:after="0"/>
              <w:rPr>
                <w:sz w:val="6"/>
                <w:szCs w:val="6"/>
                <w:color w:val="auto"/>
              </w:rPr>
            </w:pPr>
          </w:p>
        </w:tc>
        <w:tc>
          <w:tcPr>
            <w:tcW w:w="200" w:type="dxa"/>
            <w:vAlign w:val="bottom"/>
            <w:tcBorders>
              <w:top w:val="single" w:sz="8" w:color="0000EE"/>
              <w:bottom w:val="single" w:sz="8" w:color="009BDE"/>
            </w:tcBorders>
          </w:tcPr>
          <w:p>
            <w:pPr>
              <w:spacing w:after="0"/>
              <w:rPr>
                <w:sz w:val="6"/>
                <w:szCs w:val="6"/>
                <w:color w:val="auto"/>
              </w:rPr>
            </w:pPr>
          </w:p>
        </w:tc>
        <w:tc>
          <w:tcPr>
            <w:tcW w:w="400" w:type="dxa"/>
            <w:vAlign w:val="bottom"/>
            <w:tcBorders>
              <w:top w:val="single" w:sz="8" w:color="0000EE"/>
              <w:bottom w:val="single" w:sz="8" w:color="009BDE"/>
            </w:tcBorders>
          </w:tcPr>
          <w:p>
            <w:pPr>
              <w:spacing w:after="0"/>
              <w:rPr>
                <w:sz w:val="6"/>
                <w:szCs w:val="6"/>
                <w:color w:val="auto"/>
              </w:rPr>
            </w:pPr>
          </w:p>
        </w:tc>
        <w:tc>
          <w:tcPr>
            <w:tcW w:w="800" w:type="dxa"/>
            <w:vAlign w:val="bottom"/>
            <w:tcBorders>
              <w:top w:val="single" w:sz="8" w:color="0000EE"/>
              <w:bottom w:val="single" w:sz="8" w:color="009BDE"/>
            </w:tcBorders>
          </w:tcPr>
          <w:p>
            <w:pPr>
              <w:spacing w:after="0"/>
              <w:rPr>
                <w:sz w:val="6"/>
                <w:szCs w:val="6"/>
                <w:color w:val="auto"/>
              </w:rPr>
            </w:pPr>
          </w:p>
        </w:tc>
        <w:tc>
          <w:tcPr>
            <w:tcW w:w="26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340" w:type="dxa"/>
            <w:vAlign w:val="bottom"/>
            <w:tcBorders>
              <w:bottom w:val="single" w:sz="8" w:color="009BDE"/>
            </w:tcBorders>
          </w:tcPr>
          <w:p>
            <w:pPr>
              <w:spacing w:after="0"/>
              <w:rPr>
                <w:sz w:val="6"/>
                <w:szCs w:val="6"/>
                <w:color w:val="auto"/>
              </w:rPr>
            </w:pPr>
          </w:p>
        </w:tc>
        <w:tc>
          <w:tcPr>
            <w:tcW w:w="28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120" w:type="dxa"/>
            <w:vAlign w:val="bottom"/>
            <w:tcBorders>
              <w:bottom w:val="single" w:sz="8" w:color="009BDE"/>
            </w:tcBorders>
          </w:tcPr>
          <w:p>
            <w:pPr>
              <w:spacing w:after="0"/>
              <w:rPr>
                <w:sz w:val="6"/>
                <w:szCs w:val="6"/>
                <w:color w:val="auto"/>
              </w:rPr>
            </w:pPr>
          </w:p>
        </w:tc>
        <w:tc>
          <w:tcPr>
            <w:tcW w:w="20" w:type="dxa"/>
            <w:vAlign w:val="bottom"/>
            <w:tcBorders>
              <w:bottom w:val="single" w:sz="8" w:color="009BDE"/>
            </w:tcBorders>
          </w:tcPr>
          <w:p>
            <w:pPr>
              <w:spacing w:after="0"/>
              <w:rPr>
                <w:sz w:val="6"/>
                <w:szCs w:val="6"/>
                <w:color w:val="auto"/>
              </w:rPr>
            </w:pPr>
          </w:p>
        </w:tc>
        <w:tc>
          <w:tcPr>
            <w:tcW w:w="5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-4686935</wp:posOffset>
            </wp:positionV>
            <wp:extent cx="717613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5400" w:space="340"/>
            <w:col w:w="5340"/>
          </w:cols>
          <w:pgMar w:left="320" w:top="478" w:right="499" w:bottom="1440" w:gutter="0" w:footer="0" w:header="0"/>
        </w:sectPr>
      </w:pPr>
    </w:p>
    <w:p>
      <w:pPr>
        <w:spacing w:after="0" w:line="160"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In this Proxy Statement, the terms “Hasbro,” “the Company,” “we,” and “our” refer to Hasbro, Inc., and the terms “Board” and “Board of Directors” refer to the Board of Directors of Hasbro, Inc. Unless otherwise stated, information presented in this Proxy Statement is based on Hasbro’s fiscal year. This Proxy Statement includes website addresses and references to additional materials found on those websites. These websites and materials are not incorporated into this Proxy Statement by reference.</w:t>
      </w:r>
    </w:p>
    <w:p>
      <w:pPr>
        <w:spacing w:after="0" w:line="178" w:lineRule="exact"/>
        <w:rPr>
          <w:sz w:val="20"/>
          <w:szCs w:val="20"/>
          <w:color w:val="auto"/>
        </w:rPr>
      </w:pPr>
    </w:p>
    <w:p>
      <w:pPr>
        <w:ind w:left="160" w:right="140"/>
        <w:spacing w:after="0" w:line="251" w:lineRule="auto"/>
        <w:rPr>
          <w:sz w:val="20"/>
          <w:szCs w:val="20"/>
          <w:color w:val="auto"/>
        </w:rPr>
      </w:pPr>
      <w:r>
        <w:rPr>
          <w:rFonts w:ascii="Arial" w:cs="Arial" w:eastAsia="Arial" w:hAnsi="Arial"/>
          <w:sz w:val="16"/>
          <w:szCs w:val="16"/>
          <w:color w:val="auto"/>
        </w:rPr>
        <w:t>This Proxy Statement includes forward-looking statements within the meaning of the Private Securities Litigation Reform Act of 1995, including statements regarding our strategy, the ability to achieve our financial and business goals and objectives, the proposals contained herein, and other company goals, commitments, and strategies. These statements involve risks and uncertainties. Actual results could differ materially from any future results expressed or implied by the forward-looking statements for a variety of reasons, including due to the risks and uncertainties that are discussed in our most recently filed periodic reports on Form 10-K and Form 10-Q and subsequent filings. We assume no obligation to update any forward-looking statements or information, which speak as of their respective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964045" cy="110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4045" cy="11049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Proxy Statement Highlights</w:t>
      </w:r>
    </w:p>
    <w:p>
      <w:pPr>
        <w:spacing w:after="0" w:line="128" w:lineRule="exact"/>
        <w:rPr>
          <w:sz w:val="20"/>
          <w:szCs w:val="20"/>
          <w:color w:val="auto"/>
        </w:rPr>
      </w:pPr>
    </w:p>
    <w:p>
      <w:pPr>
        <w:ind w:left="160" w:right="500"/>
        <w:spacing w:after="0" w:line="279" w:lineRule="auto"/>
        <w:rPr>
          <w:sz w:val="20"/>
          <w:szCs w:val="20"/>
          <w:color w:val="auto"/>
        </w:rPr>
      </w:pPr>
      <w:r>
        <w:rPr>
          <w:rFonts w:ascii="Arial" w:cs="Arial" w:eastAsia="Arial" w:hAnsi="Arial"/>
          <w:sz w:val="16"/>
          <w:szCs w:val="16"/>
          <w:color w:val="auto"/>
        </w:rPr>
        <w:t>This summary highlights information contained elsewhere in this Proxy Statement. This summary does not contain all of the information you should consider. You should read the entire Proxy Statement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204470</wp:posOffset>
            </wp:positionV>
            <wp:extent cx="6929755" cy="373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9755" cy="37338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272415</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289560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306705</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323215</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340360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357505</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374650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391160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408305</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425450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442595</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459105</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476250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493395</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510540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527050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272415</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289560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306705</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323215</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340360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357505</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374650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391160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408305</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425450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442595</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459105</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476250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493395</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510540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527050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272415</wp:posOffset>
            </wp:positionV>
            <wp:extent cx="305435" cy="297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5435" cy="297180"/>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272415</wp:posOffset>
            </wp:positionV>
            <wp:extent cx="305435" cy="280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5435" cy="280035"/>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272415</wp:posOffset>
            </wp:positionV>
            <wp:extent cx="297180" cy="297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7180" cy="29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218"/>
        </w:trPr>
        <w:tc>
          <w:tcPr>
            <w:tcW w:w="2760" w:type="dxa"/>
            <w:vAlign w:val="bottom"/>
          </w:tcPr>
          <w:p>
            <w:pPr>
              <w:jc w:val="center"/>
              <w:ind w:right="915"/>
              <w:spacing w:after="0"/>
              <w:rPr>
                <w:sz w:val="20"/>
                <w:szCs w:val="20"/>
                <w:color w:val="auto"/>
              </w:rPr>
            </w:pPr>
            <w:r>
              <w:rPr>
                <w:rFonts w:ascii="Arial" w:cs="Arial" w:eastAsia="Arial" w:hAnsi="Arial"/>
                <w:sz w:val="19"/>
                <w:szCs w:val="19"/>
                <w:b w:val="1"/>
                <w:bCs w:val="1"/>
                <w:color w:val="4C4C4C"/>
                <w:w w:val="98"/>
              </w:rPr>
              <w:t>Date and Time</w:t>
            </w:r>
          </w:p>
        </w:tc>
        <w:tc>
          <w:tcPr>
            <w:tcW w:w="3160" w:type="dxa"/>
            <w:vAlign w:val="bottom"/>
          </w:tcPr>
          <w:p>
            <w:pPr>
              <w:jc w:val="center"/>
              <w:spacing w:after="0"/>
              <w:rPr>
                <w:sz w:val="20"/>
                <w:szCs w:val="20"/>
                <w:color w:val="auto"/>
              </w:rPr>
            </w:pPr>
            <w:r>
              <w:rPr>
                <w:rFonts w:ascii="Arial" w:cs="Arial" w:eastAsia="Arial" w:hAnsi="Arial"/>
                <w:sz w:val="19"/>
                <w:szCs w:val="19"/>
                <w:b w:val="1"/>
                <w:bCs w:val="1"/>
                <w:color w:val="4C4C4C"/>
                <w:w w:val="98"/>
              </w:rPr>
              <w:t>Record Date</w:t>
            </w:r>
          </w:p>
        </w:tc>
        <w:tc>
          <w:tcPr>
            <w:tcW w:w="3380" w:type="dxa"/>
            <w:vAlign w:val="bottom"/>
          </w:tcPr>
          <w:p>
            <w:pPr>
              <w:jc w:val="center"/>
              <w:ind w:left="995"/>
              <w:spacing w:after="0"/>
              <w:rPr>
                <w:sz w:val="20"/>
                <w:szCs w:val="20"/>
                <w:color w:val="auto"/>
              </w:rPr>
            </w:pPr>
            <w:r>
              <w:rPr>
                <w:rFonts w:ascii="Arial" w:cs="Arial" w:eastAsia="Arial" w:hAnsi="Arial"/>
                <w:sz w:val="19"/>
                <w:szCs w:val="19"/>
                <w:b w:val="1"/>
                <w:bCs w:val="1"/>
                <w:color w:val="4C4C4C"/>
                <w:w w:val="98"/>
              </w:rPr>
              <w:t>Location</w:t>
            </w:r>
          </w:p>
        </w:tc>
      </w:tr>
      <w:tr>
        <w:trPr>
          <w:trHeight w:val="187"/>
        </w:trPr>
        <w:tc>
          <w:tcPr>
            <w:tcW w:w="2760" w:type="dxa"/>
            <w:vAlign w:val="bottom"/>
          </w:tcPr>
          <w:p>
            <w:pPr>
              <w:jc w:val="center"/>
              <w:ind w:right="935"/>
              <w:spacing w:after="0"/>
              <w:rPr>
                <w:sz w:val="20"/>
                <w:szCs w:val="20"/>
                <w:color w:val="auto"/>
              </w:rPr>
            </w:pPr>
            <w:r>
              <w:rPr>
                <w:rFonts w:ascii="Arial" w:cs="Arial" w:eastAsia="Arial" w:hAnsi="Arial"/>
                <w:sz w:val="16"/>
                <w:szCs w:val="16"/>
                <w:color w:val="auto"/>
                <w:w w:val="99"/>
              </w:rPr>
              <w:t>11:00 a.m. Eastern Time</w:t>
            </w:r>
          </w:p>
        </w:tc>
        <w:tc>
          <w:tcPr>
            <w:tcW w:w="3160" w:type="dxa"/>
            <w:vAlign w:val="bottom"/>
          </w:tcPr>
          <w:p>
            <w:pPr>
              <w:jc w:val="center"/>
              <w:spacing w:after="0"/>
              <w:rPr>
                <w:sz w:val="20"/>
                <w:szCs w:val="20"/>
                <w:color w:val="auto"/>
              </w:rPr>
            </w:pPr>
            <w:r>
              <w:rPr>
                <w:rFonts w:ascii="Arial" w:cs="Arial" w:eastAsia="Arial" w:hAnsi="Arial"/>
                <w:sz w:val="16"/>
                <w:szCs w:val="16"/>
                <w:color w:val="auto"/>
                <w:w w:val="98"/>
              </w:rPr>
              <w:t>Thursday,</w:t>
            </w:r>
          </w:p>
        </w:tc>
        <w:tc>
          <w:tcPr>
            <w:tcW w:w="3380" w:type="dxa"/>
            <w:vAlign w:val="bottom"/>
          </w:tcPr>
          <w:p>
            <w:pPr>
              <w:jc w:val="center"/>
              <w:ind w:left="975"/>
              <w:spacing w:after="0"/>
              <w:rPr>
                <w:sz w:val="20"/>
                <w:szCs w:val="20"/>
                <w:color w:val="auto"/>
              </w:rPr>
            </w:pPr>
            <w:r>
              <w:rPr>
                <w:rFonts w:ascii="Arial" w:cs="Arial" w:eastAsia="Arial" w:hAnsi="Arial"/>
                <w:sz w:val="16"/>
                <w:szCs w:val="16"/>
                <w:color w:val="auto"/>
                <w:w w:val="99"/>
              </w:rPr>
              <w:t>Online at</w:t>
            </w:r>
          </w:p>
        </w:tc>
      </w:tr>
      <w:tr>
        <w:trPr>
          <w:trHeight w:val="237"/>
        </w:trPr>
        <w:tc>
          <w:tcPr>
            <w:tcW w:w="2760" w:type="dxa"/>
            <w:vAlign w:val="bottom"/>
          </w:tcPr>
          <w:p>
            <w:pPr>
              <w:jc w:val="center"/>
              <w:ind w:right="915"/>
              <w:spacing w:after="0"/>
              <w:rPr>
                <w:sz w:val="20"/>
                <w:szCs w:val="20"/>
                <w:color w:val="auto"/>
              </w:rPr>
            </w:pPr>
            <w:r>
              <w:rPr>
                <w:rFonts w:ascii="Arial" w:cs="Arial" w:eastAsia="Arial" w:hAnsi="Arial"/>
                <w:sz w:val="16"/>
                <w:szCs w:val="16"/>
                <w:color w:val="auto"/>
                <w:w w:val="99"/>
              </w:rPr>
              <w:t>Thursday, June 11, 2026</w:t>
            </w:r>
          </w:p>
        </w:tc>
        <w:tc>
          <w:tcPr>
            <w:tcW w:w="3160" w:type="dxa"/>
            <w:vAlign w:val="bottom"/>
          </w:tcPr>
          <w:p>
            <w:pPr>
              <w:jc w:val="center"/>
              <w:spacing w:after="0"/>
              <w:rPr>
                <w:sz w:val="20"/>
                <w:szCs w:val="20"/>
                <w:color w:val="auto"/>
              </w:rPr>
            </w:pPr>
            <w:r>
              <w:rPr>
                <w:rFonts w:ascii="Arial" w:cs="Arial" w:eastAsia="Arial" w:hAnsi="Arial"/>
                <w:sz w:val="16"/>
                <w:szCs w:val="16"/>
                <w:color w:val="auto"/>
              </w:rPr>
              <w:t>April 13, 2026</w:t>
            </w:r>
          </w:p>
        </w:tc>
        <w:tc>
          <w:tcPr>
            <w:tcW w:w="3380" w:type="dxa"/>
            <w:vAlign w:val="bottom"/>
          </w:tcPr>
          <w:p>
            <w:pPr>
              <w:jc w:val="center"/>
              <w:ind w:left="995"/>
              <w:spacing w:after="0"/>
              <w:rPr>
                <w:sz w:val="20"/>
                <w:szCs w:val="20"/>
                <w:color w:val="auto"/>
              </w:rPr>
            </w:pPr>
            <w:r>
              <w:rPr>
                <w:rFonts w:ascii="Arial" w:cs="Arial" w:eastAsia="Arial" w:hAnsi="Arial"/>
                <w:sz w:val="16"/>
                <w:szCs w:val="16"/>
                <w:color w:val="auto"/>
                <w:w w:val="99"/>
              </w:rPr>
              <w:t>meetnow.global.com/MHMKPY9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-404495</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-387985</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-370840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-353695</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-336550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-320040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-302895</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-285750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-268605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-252095</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-234950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-217805</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-200660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-184150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-167005</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-149860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-132715</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-116205</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-99060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-81915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-64770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-48260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-31115</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-13970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1905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-404495</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-387985</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-370840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-353695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-336550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-320040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-302895</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-285750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-268605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-252095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-234950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-217805</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-200660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-184150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-167005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-149860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-132715</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-116205</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-99060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-81915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-64770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-48260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-31115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-13970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1905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356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Meeting Agenda and Recommendation of the Board of Directors</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369"/>
        </w:trPr>
        <w:tc>
          <w:tcPr>
            <w:tcW w:w="5680" w:type="dxa"/>
            <w:vAlign w:val="bottom"/>
            <w:tcBorders>
              <w:top w:val="single" w:sz="8" w:color="0060ED"/>
            </w:tcBorders>
            <w:shd w:val="clear" w:color="auto" w:fill="CCEBF8"/>
          </w:tcPr>
          <w:p>
            <w:pPr>
              <w:spacing w:after="0"/>
              <w:rPr>
                <w:sz w:val="24"/>
                <w:szCs w:val="24"/>
                <w:color w:val="auto"/>
              </w:rPr>
            </w:pPr>
          </w:p>
        </w:tc>
        <w:tc>
          <w:tcPr>
            <w:tcW w:w="4180" w:type="dxa"/>
            <w:vAlign w:val="bottom"/>
            <w:tcBorders>
              <w:top w:val="single" w:sz="8" w:color="0060ED"/>
            </w:tcBorders>
            <w:shd w:val="clear" w:color="auto" w:fill="CCEBF8"/>
          </w:tcPr>
          <w:p>
            <w:pPr>
              <w:jc w:val="center"/>
              <w:ind w:left="451"/>
              <w:spacing w:after="0"/>
              <w:rPr>
                <w:sz w:val="20"/>
                <w:szCs w:val="20"/>
                <w:color w:val="auto"/>
              </w:rPr>
            </w:pPr>
            <w:r>
              <w:rPr>
                <w:rFonts w:ascii="Arial" w:cs="Arial" w:eastAsia="Arial" w:hAnsi="Arial"/>
                <w:sz w:val="18"/>
                <w:szCs w:val="18"/>
                <w:b w:val="1"/>
                <w:bCs w:val="1"/>
                <w:color w:val="009BDE"/>
                <w:w w:val="99"/>
              </w:rPr>
              <w:t>Board</w:t>
            </w:r>
          </w:p>
        </w:tc>
        <w:tc>
          <w:tcPr>
            <w:tcW w:w="1060" w:type="dxa"/>
            <w:vAlign w:val="bottom"/>
            <w:tcBorders>
              <w:top w:val="single" w:sz="8" w:color="0060ED"/>
            </w:tcBorders>
            <w:shd w:val="clear" w:color="auto" w:fill="CCEBF8"/>
          </w:tcPr>
          <w:p>
            <w:pPr>
              <w:jc w:val="center"/>
              <w:ind w:left="156"/>
              <w:spacing w:after="0"/>
              <w:rPr>
                <w:sz w:val="20"/>
                <w:szCs w:val="20"/>
                <w:color w:val="auto"/>
              </w:rPr>
            </w:pPr>
            <w:r>
              <w:rPr>
                <w:rFonts w:ascii="Arial" w:cs="Arial" w:eastAsia="Arial" w:hAnsi="Arial"/>
                <w:sz w:val="18"/>
                <w:szCs w:val="18"/>
                <w:b w:val="1"/>
                <w:bCs w:val="1"/>
                <w:color w:val="009BDE"/>
                <w:w w:val="97"/>
              </w:rPr>
              <w:t>Page</w:t>
            </w:r>
          </w:p>
        </w:tc>
        <w:tc>
          <w:tcPr>
            <w:tcW w:w="0" w:type="dxa"/>
            <w:vAlign w:val="bottom"/>
          </w:tcPr>
          <w:p>
            <w:pPr>
              <w:spacing w:after="0"/>
              <w:rPr>
                <w:sz w:val="1"/>
                <w:szCs w:val="1"/>
                <w:color w:val="auto"/>
              </w:rPr>
            </w:pPr>
          </w:p>
        </w:tc>
      </w:tr>
      <w:tr>
        <w:trPr>
          <w:trHeight w:val="259"/>
        </w:trPr>
        <w:tc>
          <w:tcPr>
            <w:tcW w:w="5680" w:type="dxa"/>
            <w:vAlign w:val="bottom"/>
            <w:shd w:val="clear" w:color="auto" w:fill="CCEBF8"/>
          </w:tcPr>
          <w:p>
            <w:pPr>
              <w:ind w:left="80"/>
              <w:spacing w:after="0"/>
              <w:rPr>
                <w:sz w:val="20"/>
                <w:szCs w:val="20"/>
                <w:color w:val="auto"/>
              </w:rPr>
            </w:pPr>
            <w:r>
              <w:rPr>
                <w:rFonts w:ascii="Arial" w:cs="Arial" w:eastAsia="Arial" w:hAnsi="Arial"/>
                <w:sz w:val="18"/>
                <w:szCs w:val="18"/>
                <w:b w:val="1"/>
                <w:bCs w:val="1"/>
                <w:color w:val="009BDE"/>
              </w:rPr>
              <w:t>Agenda Item</w:t>
            </w:r>
          </w:p>
        </w:tc>
        <w:tc>
          <w:tcPr>
            <w:tcW w:w="4180" w:type="dxa"/>
            <w:vAlign w:val="bottom"/>
            <w:shd w:val="clear" w:color="auto" w:fill="CCEBF8"/>
          </w:tcPr>
          <w:p>
            <w:pPr>
              <w:jc w:val="center"/>
              <w:ind w:left="471"/>
              <w:spacing w:after="0"/>
              <w:rPr>
                <w:sz w:val="20"/>
                <w:szCs w:val="20"/>
                <w:color w:val="auto"/>
              </w:rPr>
            </w:pPr>
            <w:r>
              <w:rPr>
                <w:rFonts w:ascii="Arial" w:cs="Arial" w:eastAsia="Arial" w:hAnsi="Arial"/>
                <w:sz w:val="18"/>
                <w:szCs w:val="18"/>
                <w:b w:val="1"/>
                <w:bCs w:val="1"/>
                <w:color w:val="009BDE"/>
                <w:w w:val="99"/>
              </w:rPr>
              <w:t>Recommendation</w:t>
            </w:r>
          </w:p>
        </w:tc>
        <w:tc>
          <w:tcPr>
            <w:tcW w:w="1060" w:type="dxa"/>
            <w:vAlign w:val="bottom"/>
            <w:shd w:val="clear" w:color="auto" w:fill="CCEBF8"/>
          </w:tcPr>
          <w:p>
            <w:pPr>
              <w:jc w:val="center"/>
              <w:ind w:left="136"/>
              <w:spacing w:after="0"/>
              <w:rPr>
                <w:sz w:val="20"/>
                <w:szCs w:val="20"/>
                <w:color w:val="auto"/>
              </w:rPr>
            </w:pPr>
            <w:r>
              <w:rPr>
                <w:rFonts w:ascii="Arial" w:cs="Arial" w:eastAsia="Arial" w:hAnsi="Arial"/>
                <w:sz w:val="18"/>
                <w:szCs w:val="18"/>
                <w:b w:val="1"/>
                <w:bCs w:val="1"/>
                <w:color w:val="009BDE"/>
                <w:w w:val="99"/>
              </w:rPr>
              <w:t>Number</w:t>
            </w:r>
          </w:p>
        </w:tc>
        <w:tc>
          <w:tcPr>
            <w:tcW w:w="0" w:type="dxa"/>
            <w:vAlign w:val="bottom"/>
          </w:tcPr>
          <w:p>
            <w:pPr>
              <w:spacing w:after="0"/>
              <w:rPr>
                <w:sz w:val="1"/>
                <w:szCs w:val="1"/>
                <w:color w:val="auto"/>
              </w:rPr>
            </w:pPr>
          </w:p>
        </w:tc>
      </w:tr>
      <w:tr>
        <w:trPr>
          <w:trHeight w:val="108"/>
        </w:trPr>
        <w:tc>
          <w:tcPr>
            <w:tcW w:w="5680" w:type="dxa"/>
            <w:vAlign w:val="bottom"/>
            <w:tcBorders>
              <w:bottom w:val="single" w:sz="8" w:color="009BDE"/>
            </w:tcBorders>
            <w:shd w:val="clear" w:color="auto" w:fill="CCEBF8"/>
          </w:tcPr>
          <w:p>
            <w:pPr>
              <w:spacing w:after="0"/>
              <w:rPr>
                <w:sz w:val="9"/>
                <w:szCs w:val="9"/>
                <w:color w:val="auto"/>
              </w:rPr>
            </w:pPr>
          </w:p>
        </w:tc>
        <w:tc>
          <w:tcPr>
            <w:tcW w:w="4180" w:type="dxa"/>
            <w:vAlign w:val="bottom"/>
            <w:tcBorders>
              <w:bottom w:val="single" w:sz="8" w:color="009BDE"/>
            </w:tcBorders>
            <w:shd w:val="clear" w:color="auto" w:fill="CCEBF8"/>
          </w:tcPr>
          <w:p>
            <w:pPr>
              <w:spacing w:after="0"/>
              <w:rPr>
                <w:sz w:val="9"/>
                <w:szCs w:val="9"/>
                <w:color w:val="auto"/>
              </w:rPr>
            </w:pPr>
          </w:p>
        </w:tc>
        <w:tc>
          <w:tcPr>
            <w:tcW w:w="1060" w:type="dxa"/>
            <w:vAlign w:val="bottom"/>
            <w:tcBorders>
              <w:bottom w:val="single" w:sz="8" w:color="009BDE"/>
            </w:tcBorders>
            <w:shd w:val="clear" w:color="auto" w:fill="CCEBF8"/>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5680" w:type="dxa"/>
            <w:vAlign w:val="bottom"/>
          </w:tcPr>
          <w:p>
            <w:pPr>
              <w:ind w:left="80"/>
              <w:spacing w:after="0"/>
              <w:rPr>
                <w:sz w:val="20"/>
                <w:szCs w:val="20"/>
                <w:color w:val="auto"/>
              </w:rPr>
            </w:pPr>
            <w:r>
              <w:rPr>
                <w:rFonts w:ascii="Arial" w:cs="Arial" w:eastAsia="Arial" w:hAnsi="Arial"/>
                <w:sz w:val="16"/>
                <w:szCs w:val="16"/>
                <w:b w:val="1"/>
                <w:bCs w:val="1"/>
                <w:color w:val="auto"/>
              </w:rPr>
              <w:t>Proposal 1</w:t>
            </w:r>
          </w:p>
        </w:tc>
        <w:tc>
          <w:tcPr>
            <w:tcW w:w="4180" w:type="dxa"/>
            <w:vAlign w:val="bottom"/>
          </w:tcPr>
          <w:p>
            <w:pPr>
              <w:spacing w:after="0"/>
              <w:rPr>
                <w:sz w:val="22"/>
                <w:szCs w:val="22"/>
                <w:color w:val="auto"/>
              </w:rPr>
            </w:pPr>
          </w:p>
        </w:tc>
        <w:tc>
          <w:tcPr>
            <w:tcW w:w="1060" w:type="dxa"/>
            <w:vAlign w:val="bottom"/>
          </w:tcPr>
          <w:p>
            <w:pPr>
              <w:jc w:val="center"/>
              <w:ind w:left="156"/>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1"/>
        </w:trPr>
        <w:tc>
          <w:tcPr>
            <w:tcW w:w="5680" w:type="dxa"/>
            <w:vAlign w:val="bottom"/>
          </w:tcPr>
          <w:p>
            <w:pPr>
              <w:ind w:left="80"/>
              <w:spacing w:after="0"/>
              <w:rPr>
                <w:sz w:val="20"/>
                <w:szCs w:val="20"/>
                <w:color w:val="auto"/>
              </w:rPr>
            </w:pPr>
            <w:r>
              <w:rPr>
                <w:rFonts w:ascii="Arial" w:cs="Arial" w:eastAsia="Arial" w:hAnsi="Arial"/>
                <w:sz w:val="16"/>
                <w:szCs w:val="16"/>
                <w:color w:val="auto"/>
              </w:rPr>
              <w:t>Election of Eleven (11) Directors</w:t>
            </w:r>
          </w:p>
        </w:tc>
        <w:tc>
          <w:tcPr>
            <w:tcW w:w="4180" w:type="dxa"/>
            <w:vAlign w:val="bottom"/>
            <w:vMerge w:val="restart"/>
          </w:tcPr>
          <w:p>
            <w:pPr>
              <w:jc w:val="center"/>
              <w:ind w:left="451"/>
              <w:spacing w:after="0"/>
              <w:rPr>
                <w:sz w:val="20"/>
                <w:szCs w:val="20"/>
                <w:color w:val="auto"/>
              </w:rPr>
            </w:pPr>
            <w:r>
              <w:rPr>
                <w:rFonts w:ascii="Arial" w:cs="Arial" w:eastAsia="Arial" w:hAnsi="Arial"/>
                <w:sz w:val="18"/>
                <w:szCs w:val="18"/>
                <w:b w:val="1"/>
                <w:bCs w:val="1"/>
                <w:color w:val="auto"/>
                <w:w w:val="98"/>
              </w:rPr>
              <w:t xml:space="preserve">“FOR ALL” </w:t>
            </w:r>
            <w:r>
              <w:rPr>
                <w:rFonts w:ascii="Arial" w:cs="Arial" w:eastAsia="Arial" w:hAnsi="Arial"/>
                <w:sz w:val="18"/>
                <w:szCs w:val="18"/>
                <w:color w:val="auto"/>
                <w:w w:val="98"/>
              </w:rPr>
              <w:t>Hasbro director nominees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5680" w:type="dxa"/>
            <w:vAlign w:val="bottom"/>
          </w:tcPr>
          <w:p>
            <w:pPr>
              <w:spacing w:after="0"/>
              <w:rPr>
                <w:sz w:val="10"/>
                <w:szCs w:val="10"/>
                <w:color w:val="auto"/>
              </w:rPr>
            </w:pPr>
          </w:p>
        </w:tc>
        <w:tc>
          <w:tcPr>
            <w:tcW w:w="41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680" w:type="dxa"/>
            <w:vAlign w:val="bottom"/>
            <w:tcBorders>
              <w:bottom w:val="single" w:sz="8" w:color="009BDE"/>
            </w:tcBorders>
          </w:tcPr>
          <w:p>
            <w:pPr>
              <w:spacing w:after="0"/>
              <w:rPr>
                <w:sz w:val="8"/>
                <w:szCs w:val="8"/>
                <w:color w:val="auto"/>
              </w:rPr>
            </w:pPr>
          </w:p>
        </w:tc>
        <w:tc>
          <w:tcPr>
            <w:tcW w:w="418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5680" w:type="dxa"/>
            <w:vAlign w:val="bottom"/>
          </w:tcPr>
          <w:p>
            <w:pPr>
              <w:ind w:left="80"/>
              <w:spacing w:after="0"/>
              <w:rPr>
                <w:sz w:val="20"/>
                <w:szCs w:val="20"/>
                <w:color w:val="auto"/>
              </w:rPr>
            </w:pPr>
            <w:r>
              <w:rPr>
                <w:rFonts w:ascii="Arial" w:cs="Arial" w:eastAsia="Arial" w:hAnsi="Arial"/>
                <w:sz w:val="16"/>
                <w:szCs w:val="16"/>
                <w:b w:val="1"/>
                <w:bCs w:val="1"/>
                <w:color w:val="auto"/>
              </w:rPr>
              <w:t>Proposal 2</w:t>
            </w:r>
          </w:p>
        </w:tc>
        <w:tc>
          <w:tcPr>
            <w:tcW w:w="4180" w:type="dxa"/>
            <w:vAlign w:val="bottom"/>
          </w:tcPr>
          <w:p>
            <w:pPr>
              <w:spacing w:after="0"/>
              <w:rPr>
                <w:sz w:val="22"/>
                <w:szCs w:val="22"/>
                <w:color w:val="auto"/>
              </w:rPr>
            </w:pPr>
          </w:p>
        </w:tc>
        <w:tc>
          <w:tcPr>
            <w:tcW w:w="1060" w:type="dxa"/>
            <w:vAlign w:val="bottom"/>
          </w:tcPr>
          <w:p>
            <w:pPr>
              <w:jc w:val="center"/>
              <w:ind w:left="156"/>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7"/>
        </w:trPr>
        <w:tc>
          <w:tcPr>
            <w:tcW w:w="5680" w:type="dxa"/>
            <w:vAlign w:val="bottom"/>
          </w:tcPr>
          <w:p>
            <w:pPr>
              <w:ind w:left="80"/>
              <w:spacing w:after="0"/>
              <w:rPr>
                <w:sz w:val="20"/>
                <w:szCs w:val="20"/>
                <w:color w:val="auto"/>
              </w:rPr>
            </w:pPr>
            <w:r>
              <w:rPr>
                <w:rFonts w:ascii="Arial" w:cs="Arial" w:eastAsia="Arial" w:hAnsi="Arial"/>
                <w:sz w:val="16"/>
                <w:szCs w:val="16"/>
                <w:color w:val="auto"/>
              </w:rPr>
              <w:t>Advisory Vote to Approve the Compensation of the Company’s Named</w:t>
            </w:r>
          </w:p>
        </w:tc>
        <w:tc>
          <w:tcPr>
            <w:tcW w:w="4180" w:type="dxa"/>
            <w:vAlign w:val="bottom"/>
            <w:vMerge w:val="restart"/>
          </w:tcPr>
          <w:p>
            <w:pPr>
              <w:jc w:val="center"/>
              <w:ind w:left="451"/>
              <w:spacing w:after="0"/>
              <w:rPr>
                <w:sz w:val="20"/>
                <w:szCs w:val="20"/>
                <w:color w:val="auto"/>
              </w:rPr>
            </w:pPr>
            <w:r>
              <w:rPr>
                <w:rFonts w:ascii="Arial" w:cs="Arial" w:eastAsia="Arial" w:hAnsi="Arial"/>
                <w:sz w:val="18"/>
                <w:szCs w:val="18"/>
                <w:b w:val="1"/>
                <w:bCs w:val="1"/>
                <w:color w:val="auto"/>
                <w:w w:val="99"/>
              </w:rPr>
              <w:t>“FOR”</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80" w:type="dxa"/>
            <w:vAlign w:val="bottom"/>
            <w:vMerge w:val="restart"/>
          </w:tcPr>
          <w:p>
            <w:pPr>
              <w:ind w:left="80"/>
              <w:spacing w:after="0"/>
              <w:rPr>
                <w:sz w:val="20"/>
                <w:szCs w:val="20"/>
                <w:color w:val="auto"/>
              </w:rPr>
            </w:pPr>
            <w:r>
              <w:rPr>
                <w:rFonts w:ascii="Arial" w:cs="Arial" w:eastAsia="Arial" w:hAnsi="Arial"/>
                <w:sz w:val="16"/>
                <w:szCs w:val="16"/>
                <w:color w:val="auto"/>
              </w:rPr>
              <w:t>Executive Officers</w:t>
            </w:r>
          </w:p>
        </w:tc>
        <w:tc>
          <w:tcPr>
            <w:tcW w:w="41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5680" w:type="dxa"/>
            <w:vAlign w:val="bottom"/>
            <w:vMerge w:val="continue"/>
          </w:tcPr>
          <w:p>
            <w:pPr>
              <w:spacing w:after="0"/>
              <w:rPr>
                <w:sz w:val="6"/>
                <w:szCs w:val="6"/>
                <w:color w:val="auto"/>
              </w:rPr>
            </w:pPr>
          </w:p>
        </w:tc>
        <w:tc>
          <w:tcPr>
            <w:tcW w:w="4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5680" w:type="dxa"/>
            <w:vAlign w:val="bottom"/>
            <w:tcBorders>
              <w:bottom w:val="single" w:sz="8" w:color="009BDE"/>
            </w:tcBorders>
          </w:tcPr>
          <w:p>
            <w:pPr>
              <w:spacing w:after="0"/>
              <w:rPr>
                <w:sz w:val="8"/>
                <w:szCs w:val="8"/>
                <w:color w:val="auto"/>
              </w:rPr>
            </w:pPr>
          </w:p>
        </w:tc>
        <w:tc>
          <w:tcPr>
            <w:tcW w:w="418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5680" w:type="dxa"/>
            <w:vAlign w:val="bottom"/>
          </w:tcPr>
          <w:p>
            <w:pPr>
              <w:ind w:left="80"/>
              <w:spacing w:after="0"/>
              <w:rPr>
                <w:sz w:val="20"/>
                <w:szCs w:val="20"/>
                <w:color w:val="auto"/>
              </w:rPr>
            </w:pPr>
            <w:r>
              <w:rPr>
                <w:rFonts w:ascii="Arial" w:cs="Arial" w:eastAsia="Arial" w:hAnsi="Arial"/>
                <w:sz w:val="16"/>
                <w:szCs w:val="16"/>
                <w:b w:val="1"/>
                <w:bCs w:val="1"/>
                <w:color w:val="auto"/>
              </w:rPr>
              <w:t>Proposal 3</w:t>
            </w:r>
          </w:p>
        </w:tc>
        <w:tc>
          <w:tcPr>
            <w:tcW w:w="4180" w:type="dxa"/>
            <w:vAlign w:val="bottom"/>
          </w:tcPr>
          <w:p>
            <w:pPr>
              <w:spacing w:after="0"/>
              <w:rPr>
                <w:sz w:val="22"/>
                <w:szCs w:val="22"/>
                <w:color w:val="auto"/>
              </w:rPr>
            </w:pPr>
          </w:p>
        </w:tc>
        <w:tc>
          <w:tcPr>
            <w:tcW w:w="1060" w:type="dxa"/>
            <w:vAlign w:val="bottom"/>
          </w:tcPr>
          <w:p>
            <w:pPr>
              <w:jc w:val="center"/>
              <w:ind w:left="156"/>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7"/>
        </w:trPr>
        <w:tc>
          <w:tcPr>
            <w:tcW w:w="5680" w:type="dxa"/>
            <w:vAlign w:val="bottom"/>
          </w:tcPr>
          <w:p>
            <w:pPr>
              <w:ind w:left="80"/>
              <w:spacing w:after="0"/>
              <w:rPr>
                <w:sz w:val="20"/>
                <w:szCs w:val="20"/>
                <w:color w:val="auto"/>
              </w:rPr>
            </w:pPr>
            <w:r>
              <w:rPr>
                <w:rFonts w:ascii="Arial" w:cs="Arial" w:eastAsia="Arial" w:hAnsi="Arial"/>
                <w:sz w:val="16"/>
                <w:szCs w:val="16"/>
                <w:color w:val="auto"/>
              </w:rPr>
              <w:t>Ratification of KPMG LLP as Independent Registered Public Accounting Firm</w:t>
            </w:r>
          </w:p>
        </w:tc>
        <w:tc>
          <w:tcPr>
            <w:tcW w:w="4180" w:type="dxa"/>
            <w:vAlign w:val="bottom"/>
            <w:vMerge w:val="restart"/>
          </w:tcPr>
          <w:p>
            <w:pPr>
              <w:jc w:val="center"/>
              <w:ind w:left="451"/>
              <w:spacing w:after="0"/>
              <w:rPr>
                <w:sz w:val="20"/>
                <w:szCs w:val="20"/>
                <w:color w:val="auto"/>
              </w:rPr>
            </w:pPr>
            <w:r>
              <w:rPr>
                <w:rFonts w:ascii="Arial" w:cs="Arial" w:eastAsia="Arial" w:hAnsi="Arial"/>
                <w:sz w:val="18"/>
                <w:szCs w:val="18"/>
                <w:b w:val="1"/>
                <w:bCs w:val="1"/>
                <w:color w:val="auto"/>
                <w:w w:val="99"/>
              </w:rPr>
              <w:t>“FOR”</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80" w:type="dxa"/>
            <w:vAlign w:val="bottom"/>
            <w:vMerge w:val="restart"/>
          </w:tcPr>
          <w:p>
            <w:pPr>
              <w:ind w:left="80"/>
              <w:spacing w:after="0"/>
              <w:rPr>
                <w:sz w:val="20"/>
                <w:szCs w:val="20"/>
                <w:color w:val="auto"/>
              </w:rPr>
            </w:pPr>
            <w:r>
              <w:rPr>
                <w:rFonts w:ascii="Arial" w:cs="Arial" w:eastAsia="Arial" w:hAnsi="Arial"/>
                <w:sz w:val="16"/>
                <w:szCs w:val="16"/>
                <w:color w:val="auto"/>
              </w:rPr>
              <w:t>for Fiscal 2026</w:t>
            </w:r>
          </w:p>
        </w:tc>
        <w:tc>
          <w:tcPr>
            <w:tcW w:w="41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5680" w:type="dxa"/>
            <w:vAlign w:val="bottom"/>
            <w:vMerge w:val="continue"/>
          </w:tcPr>
          <w:p>
            <w:pPr>
              <w:spacing w:after="0"/>
              <w:rPr>
                <w:sz w:val="6"/>
                <w:szCs w:val="6"/>
                <w:color w:val="auto"/>
              </w:rPr>
            </w:pPr>
          </w:p>
        </w:tc>
        <w:tc>
          <w:tcPr>
            <w:tcW w:w="4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5680" w:type="dxa"/>
            <w:vAlign w:val="bottom"/>
            <w:tcBorders>
              <w:bottom w:val="single" w:sz="8" w:color="009BDE"/>
            </w:tcBorders>
          </w:tcPr>
          <w:p>
            <w:pPr>
              <w:spacing w:after="0"/>
              <w:rPr>
                <w:sz w:val="8"/>
                <w:szCs w:val="8"/>
                <w:color w:val="auto"/>
              </w:rPr>
            </w:pPr>
          </w:p>
        </w:tc>
        <w:tc>
          <w:tcPr>
            <w:tcW w:w="418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153035</wp:posOffset>
            </wp:positionV>
            <wp:extent cx="6929755" cy="356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9755" cy="35687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-1323975</wp:posOffset>
            </wp:positionV>
            <wp:extent cx="118745" cy="101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8745" cy="10160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-882650</wp:posOffset>
            </wp:positionV>
            <wp:extent cx="118745" cy="101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8745" cy="10160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-389890</wp:posOffset>
            </wp:positionV>
            <wp:extent cx="118745" cy="101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8745" cy="101600"/>
                    </a:xfrm>
                    <a:prstGeom prst="rect">
                      <a:avLst/>
                    </a:prstGeom>
                    <a:noFill/>
                  </pic:spPr>
                </pic:pic>
              </a:graphicData>
            </a:graphic>
          </wp:anchor>
        </w:drawing>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How to Vote</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414"/>
        </w:trPr>
        <w:tc>
          <w:tcPr>
            <w:tcW w:w="2240" w:type="dxa"/>
            <w:vAlign w:val="bottom"/>
            <w:tcBorders>
              <w:top w:val="single" w:sz="8" w:color="0060ED"/>
            </w:tcBorders>
            <w:shd w:val="clear" w:color="auto" w:fill="CCEBF8"/>
          </w:tcPr>
          <w:p>
            <w:pPr>
              <w:spacing w:after="0"/>
              <w:rPr>
                <w:sz w:val="24"/>
                <w:szCs w:val="24"/>
                <w:color w:val="auto"/>
              </w:rPr>
            </w:pPr>
          </w:p>
        </w:tc>
        <w:tc>
          <w:tcPr>
            <w:tcW w:w="8680" w:type="dxa"/>
            <w:vAlign w:val="bottom"/>
            <w:tcBorders>
              <w:top w:val="single" w:sz="8" w:color="0060ED"/>
            </w:tcBorders>
            <w:shd w:val="clear" w:color="auto" w:fill="CCEBF8"/>
          </w:tcPr>
          <w:p>
            <w:pPr>
              <w:ind w:left="1100"/>
              <w:spacing w:after="0"/>
              <w:rPr>
                <w:sz w:val="20"/>
                <w:szCs w:val="20"/>
                <w:color w:val="auto"/>
              </w:rPr>
            </w:pPr>
            <w:r>
              <w:rPr>
                <w:rFonts w:ascii="Arial" w:cs="Arial" w:eastAsia="Arial" w:hAnsi="Arial"/>
                <w:sz w:val="18"/>
                <w:szCs w:val="18"/>
                <w:b w:val="1"/>
                <w:bCs w:val="1"/>
                <w:color w:val="009BDE"/>
              </w:rPr>
              <w:t>Vote Right Away Through Advance Voting Methods</w:t>
            </w:r>
          </w:p>
        </w:tc>
      </w:tr>
      <w:tr>
        <w:trPr>
          <w:trHeight w:val="108"/>
        </w:trPr>
        <w:tc>
          <w:tcPr>
            <w:tcW w:w="2240" w:type="dxa"/>
            <w:vAlign w:val="bottom"/>
            <w:tcBorders>
              <w:bottom w:val="single" w:sz="8" w:color="009BDE"/>
            </w:tcBorders>
            <w:shd w:val="clear" w:color="auto" w:fill="CCEBF8"/>
          </w:tcPr>
          <w:p>
            <w:pPr>
              <w:spacing w:after="0"/>
              <w:rPr>
                <w:sz w:val="9"/>
                <w:szCs w:val="9"/>
                <w:color w:val="auto"/>
              </w:rPr>
            </w:pPr>
          </w:p>
        </w:tc>
        <w:tc>
          <w:tcPr>
            <w:tcW w:w="8680" w:type="dxa"/>
            <w:vAlign w:val="bottom"/>
            <w:tcBorders>
              <w:bottom w:val="single" w:sz="8" w:color="009BDE"/>
            </w:tcBorders>
            <w:shd w:val="clear" w:color="auto" w:fill="CCEBF8"/>
          </w:tcPr>
          <w:p>
            <w:pPr>
              <w:spacing w:after="0"/>
              <w:rPr>
                <w:sz w:val="9"/>
                <w:szCs w:val="9"/>
                <w:color w:val="auto"/>
              </w:rPr>
            </w:pPr>
          </w:p>
        </w:tc>
      </w:tr>
      <w:tr>
        <w:trPr>
          <w:trHeight w:val="294"/>
        </w:trPr>
        <w:tc>
          <w:tcPr>
            <w:tcW w:w="2240" w:type="dxa"/>
            <w:vAlign w:val="bottom"/>
          </w:tcPr>
          <w:p>
            <w:pPr>
              <w:ind w:left="80"/>
              <w:spacing w:after="0"/>
              <w:rPr>
                <w:sz w:val="20"/>
                <w:szCs w:val="20"/>
                <w:color w:val="auto"/>
              </w:rPr>
            </w:pPr>
            <w:r>
              <w:rPr>
                <w:rFonts w:ascii="Arial" w:cs="Arial" w:eastAsia="Arial" w:hAnsi="Arial"/>
                <w:sz w:val="16"/>
                <w:szCs w:val="16"/>
                <w:b w:val="1"/>
                <w:bCs w:val="1"/>
                <w:color w:val="0060ED"/>
              </w:rPr>
              <w:t>BY INTERNET</w:t>
            </w:r>
          </w:p>
        </w:tc>
        <w:tc>
          <w:tcPr>
            <w:tcW w:w="8680" w:type="dxa"/>
            <w:vAlign w:val="bottom"/>
          </w:tcPr>
          <w:p>
            <w:pPr>
              <w:ind w:left="1720"/>
              <w:spacing w:after="0"/>
              <w:rPr>
                <w:sz w:val="20"/>
                <w:szCs w:val="20"/>
                <w:color w:val="auto"/>
              </w:rPr>
            </w:pPr>
            <w:r>
              <w:rPr>
                <w:rFonts w:ascii="Arial" w:cs="Arial" w:eastAsia="Arial" w:hAnsi="Arial"/>
                <w:sz w:val="16"/>
                <w:szCs w:val="16"/>
                <w:color w:val="auto"/>
              </w:rPr>
              <w:t>Go to the website identified on the enclosed proxy card or voting instruction form.</w:t>
            </w:r>
          </w:p>
        </w:tc>
      </w:tr>
      <w:tr>
        <w:trPr>
          <w:trHeight w:val="87"/>
        </w:trPr>
        <w:tc>
          <w:tcPr>
            <w:tcW w:w="2240" w:type="dxa"/>
            <w:vAlign w:val="bottom"/>
            <w:tcBorders>
              <w:bottom w:val="single" w:sz="8" w:color="009BDE"/>
            </w:tcBorders>
          </w:tcPr>
          <w:p>
            <w:pPr>
              <w:spacing w:after="0"/>
              <w:rPr>
                <w:sz w:val="7"/>
                <w:szCs w:val="7"/>
                <w:color w:val="auto"/>
              </w:rPr>
            </w:pPr>
          </w:p>
        </w:tc>
        <w:tc>
          <w:tcPr>
            <w:tcW w:w="8680" w:type="dxa"/>
            <w:vAlign w:val="bottom"/>
            <w:tcBorders>
              <w:bottom w:val="single" w:sz="8" w:color="009BDE"/>
            </w:tcBorders>
          </w:tcPr>
          <w:p>
            <w:pPr>
              <w:spacing w:after="0"/>
              <w:rPr>
                <w:sz w:val="7"/>
                <w:szCs w:val="7"/>
                <w:color w:val="auto"/>
              </w:rPr>
            </w:pPr>
          </w:p>
        </w:tc>
      </w:tr>
      <w:tr>
        <w:trPr>
          <w:trHeight w:val="294"/>
        </w:trPr>
        <w:tc>
          <w:tcPr>
            <w:tcW w:w="2240" w:type="dxa"/>
            <w:vAlign w:val="bottom"/>
          </w:tcPr>
          <w:p>
            <w:pPr>
              <w:ind w:left="80"/>
              <w:spacing w:after="0"/>
              <w:rPr>
                <w:sz w:val="20"/>
                <w:szCs w:val="20"/>
                <w:color w:val="auto"/>
              </w:rPr>
            </w:pPr>
            <w:r>
              <w:rPr>
                <w:rFonts w:ascii="Arial" w:cs="Arial" w:eastAsia="Arial" w:hAnsi="Arial"/>
                <w:sz w:val="16"/>
                <w:szCs w:val="16"/>
                <w:b w:val="1"/>
                <w:bCs w:val="1"/>
                <w:color w:val="0060ED"/>
              </w:rPr>
              <w:t>BY PHONE</w:t>
            </w:r>
          </w:p>
        </w:tc>
        <w:tc>
          <w:tcPr>
            <w:tcW w:w="8680" w:type="dxa"/>
            <w:vAlign w:val="bottom"/>
          </w:tcPr>
          <w:p>
            <w:pPr>
              <w:ind w:left="1720"/>
              <w:spacing w:after="0"/>
              <w:rPr>
                <w:sz w:val="20"/>
                <w:szCs w:val="20"/>
                <w:color w:val="auto"/>
              </w:rPr>
            </w:pPr>
            <w:r>
              <w:rPr>
                <w:rFonts w:ascii="Arial" w:cs="Arial" w:eastAsia="Arial" w:hAnsi="Arial"/>
                <w:sz w:val="16"/>
                <w:szCs w:val="16"/>
                <w:color w:val="auto"/>
              </w:rPr>
              <w:t>Call the number on the enclosed proxy card or voting instruction form.</w:t>
            </w:r>
          </w:p>
        </w:tc>
      </w:tr>
      <w:tr>
        <w:trPr>
          <w:trHeight w:val="87"/>
        </w:trPr>
        <w:tc>
          <w:tcPr>
            <w:tcW w:w="2240" w:type="dxa"/>
            <w:vAlign w:val="bottom"/>
            <w:tcBorders>
              <w:bottom w:val="single" w:sz="8" w:color="009BDE"/>
            </w:tcBorders>
          </w:tcPr>
          <w:p>
            <w:pPr>
              <w:spacing w:after="0"/>
              <w:rPr>
                <w:sz w:val="7"/>
                <w:szCs w:val="7"/>
                <w:color w:val="auto"/>
              </w:rPr>
            </w:pPr>
          </w:p>
        </w:tc>
        <w:tc>
          <w:tcPr>
            <w:tcW w:w="8680" w:type="dxa"/>
            <w:vAlign w:val="bottom"/>
            <w:tcBorders>
              <w:bottom w:val="single" w:sz="8" w:color="009BDE"/>
            </w:tcBorders>
          </w:tcPr>
          <w:p>
            <w:pPr>
              <w:spacing w:after="0"/>
              <w:rPr>
                <w:sz w:val="7"/>
                <w:szCs w:val="7"/>
                <w:color w:val="auto"/>
              </w:rPr>
            </w:pPr>
          </w:p>
        </w:tc>
      </w:tr>
      <w:tr>
        <w:trPr>
          <w:trHeight w:val="260"/>
        </w:trPr>
        <w:tc>
          <w:tcPr>
            <w:tcW w:w="2240" w:type="dxa"/>
            <w:vAlign w:val="bottom"/>
          </w:tcPr>
          <w:p>
            <w:pPr>
              <w:ind w:left="80"/>
              <w:spacing w:after="0"/>
              <w:rPr>
                <w:sz w:val="20"/>
                <w:szCs w:val="20"/>
                <w:color w:val="auto"/>
              </w:rPr>
            </w:pPr>
            <w:r>
              <w:rPr>
                <w:rFonts w:ascii="Arial" w:cs="Arial" w:eastAsia="Arial" w:hAnsi="Arial"/>
                <w:sz w:val="16"/>
                <w:szCs w:val="16"/>
                <w:b w:val="1"/>
                <w:bCs w:val="1"/>
                <w:color w:val="0060ED"/>
              </w:rPr>
              <w:t>BY MAIL</w:t>
            </w:r>
          </w:p>
        </w:tc>
        <w:tc>
          <w:tcPr>
            <w:tcW w:w="8680" w:type="dxa"/>
            <w:vAlign w:val="bottom"/>
          </w:tcPr>
          <w:p>
            <w:pPr>
              <w:ind w:left="1720"/>
              <w:spacing w:after="0"/>
              <w:rPr>
                <w:sz w:val="20"/>
                <w:szCs w:val="20"/>
                <w:color w:val="auto"/>
              </w:rPr>
            </w:pPr>
            <w:r>
              <w:rPr>
                <w:rFonts w:ascii="Arial" w:cs="Arial" w:eastAsia="Arial" w:hAnsi="Arial"/>
                <w:sz w:val="16"/>
                <w:szCs w:val="16"/>
                <w:color w:val="auto"/>
              </w:rPr>
              <w:t>Sign, date and return the enclosed proxy card or voting instruction form in the accompanying pre-</w:t>
            </w:r>
          </w:p>
        </w:tc>
      </w:tr>
      <w:tr>
        <w:trPr>
          <w:trHeight w:val="211"/>
        </w:trPr>
        <w:tc>
          <w:tcPr>
            <w:tcW w:w="2240" w:type="dxa"/>
            <w:vAlign w:val="bottom"/>
          </w:tcPr>
          <w:p>
            <w:pPr>
              <w:spacing w:after="0"/>
              <w:rPr>
                <w:sz w:val="18"/>
                <w:szCs w:val="18"/>
                <w:color w:val="auto"/>
              </w:rPr>
            </w:pPr>
          </w:p>
        </w:tc>
        <w:tc>
          <w:tcPr>
            <w:tcW w:w="8680" w:type="dxa"/>
            <w:vAlign w:val="bottom"/>
          </w:tcPr>
          <w:p>
            <w:pPr>
              <w:ind w:left="1720"/>
              <w:spacing w:after="0"/>
              <w:rPr>
                <w:sz w:val="20"/>
                <w:szCs w:val="20"/>
                <w:color w:val="auto"/>
              </w:rPr>
            </w:pPr>
            <w:r>
              <w:rPr>
                <w:rFonts w:ascii="Arial" w:cs="Arial" w:eastAsia="Arial" w:hAnsi="Arial"/>
                <w:sz w:val="16"/>
                <w:szCs w:val="16"/>
                <w:color w:val="auto"/>
              </w:rPr>
              <w:t>addressed envelope.</w:t>
            </w:r>
          </w:p>
        </w:tc>
      </w:tr>
      <w:tr>
        <w:trPr>
          <w:trHeight w:val="97"/>
        </w:trPr>
        <w:tc>
          <w:tcPr>
            <w:tcW w:w="2240" w:type="dxa"/>
            <w:vAlign w:val="bottom"/>
            <w:tcBorders>
              <w:bottom w:val="single" w:sz="8" w:color="009BDE"/>
            </w:tcBorders>
          </w:tcPr>
          <w:p>
            <w:pPr>
              <w:spacing w:after="0"/>
              <w:rPr>
                <w:sz w:val="8"/>
                <w:szCs w:val="8"/>
                <w:color w:val="auto"/>
              </w:rPr>
            </w:pPr>
          </w:p>
        </w:tc>
        <w:tc>
          <w:tcPr>
            <w:tcW w:w="8680" w:type="dxa"/>
            <w:vAlign w:val="bottom"/>
            <w:tcBorders>
              <w:bottom w:val="single" w:sz="8" w:color="009BDE"/>
            </w:tcBorders>
          </w:tcPr>
          <w:p>
            <w:pPr>
              <w:spacing w:after="0"/>
              <w:rPr>
                <w:sz w:val="8"/>
                <w:szCs w:val="8"/>
                <w:color w:val="auto"/>
              </w:rPr>
            </w:pPr>
          </w:p>
        </w:tc>
      </w:tr>
      <w:tr>
        <w:trPr>
          <w:trHeight w:val="340"/>
        </w:trPr>
        <w:tc>
          <w:tcPr>
            <w:tcW w:w="2240" w:type="dxa"/>
            <w:vAlign w:val="bottom"/>
            <w:shd w:val="clear" w:color="auto" w:fill="CCEBF8"/>
          </w:tcPr>
          <w:p>
            <w:pPr>
              <w:spacing w:after="0"/>
              <w:rPr>
                <w:sz w:val="24"/>
                <w:szCs w:val="24"/>
                <w:color w:val="auto"/>
              </w:rPr>
            </w:pPr>
          </w:p>
        </w:tc>
        <w:tc>
          <w:tcPr>
            <w:tcW w:w="8680" w:type="dxa"/>
            <w:vAlign w:val="bottom"/>
            <w:shd w:val="clear" w:color="auto" w:fill="CCEBF8"/>
          </w:tcPr>
          <w:p>
            <w:pPr>
              <w:ind w:left="2240"/>
              <w:spacing w:after="0"/>
              <w:rPr>
                <w:sz w:val="20"/>
                <w:szCs w:val="20"/>
                <w:color w:val="auto"/>
              </w:rPr>
            </w:pPr>
            <w:r>
              <w:rPr>
                <w:rFonts w:ascii="Arial" w:cs="Arial" w:eastAsia="Arial" w:hAnsi="Arial"/>
                <w:sz w:val="18"/>
                <w:szCs w:val="18"/>
                <w:b w:val="1"/>
                <w:bCs w:val="1"/>
                <w:color w:val="009BDE"/>
              </w:rPr>
              <w:t>Vote During the Meeting</w:t>
            </w:r>
          </w:p>
        </w:tc>
      </w:tr>
      <w:tr>
        <w:trPr>
          <w:trHeight w:val="108"/>
        </w:trPr>
        <w:tc>
          <w:tcPr>
            <w:tcW w:w="2240" w:type="dxa"/>
            <w:vAlign w:val="bottom"/>
            <w:tcBorders>
              <w:bottom w:val="single" w:sz="8" w:color="009BDE"/>
            </w:tcBorders>
            <w:shd w:val="clear" w:color="auto" w:fill="CCEBF8"/>
          </w:tcPr>
          <w:p>
            <w:pPr>
              <w:spacing w:after="0"/>
              <w:rPr>
                <w:sz w:val="9"/>
                <w:szCs w:val="9"/>
                <w:color w:val="auto"/>
              </w:rPr>
            </w:pPr>
          </w:p>
        </w:tc>
        <w:tc>
          <w:tcPr>
            <w:tcW w:w="8680" w:type="dxa"/>
            <w:vAlign w:val="bottom"/>
            <w:tcBorders>
              <w:bottom w:val="single" w:sz="8" w:color="009BDE"/>
            </w:tcBorders>
            <w:shd w:val="clear" w:color="auto" w:fill="CCEBF8"/>
          </w:tcPr>
          <w:p>
            <w:pPr>
              <w:spacing w:after="0"/>
              <w:rPr>
                <w:sz w:val="9"/>
                <w:szCs w:val="9"/>
                <w:color w:val="auto"/>
              </w:rPr>
            </w:pPr>
          </w:p>
        </w:tc>
      </w:tr>
    </w:tbl>
    <w:p>
      <w:pPr>
        <w:spacing w:after="0" w:line="7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the instructions below in our Q&amp;A about the Proxy Materials and the Annual Meeting explaining how to vote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334010</wp:posOffset>
            </wp:positionV>
            <wp:extent cx="6964045" cy="3905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CFCFC"/>
        </w:rPr>
        <w:t>     i</w:t>
      </w:r>
    </w:p>
    <w:p>
      <w:pPr>
        <w:sectPr>
          <w:pgSz w:w="11900" w:h="16838" w:orient="portrait"/>
          <w:cols w:equalWidth="0" w:num="1">
            <w:col w:w="11080"/>
          </w:cols>
          <w:pgMar w:left="320" w:top="478"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356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2025 Overview</w:t>
      </w:r>
    </w:p>
    <w:p>
      <w:pPr>
        <w:spacing w:after="0" w:line="348" w:lineRule="exact"/>
        <w:rPr>
          <w:sz w:val="20"/>
          <w:szCs w:val="20"/>
          <w:color w:val="auto"/>
        </w:rPr>
      </w:pPr>
    </w:p>
    <w:p>
      <w:pPr>
        <w:ind w:left="160" w:right="120"/>
        <w:spacing w:after="0" w:line="262" w:lineRule="auto"/>
        <w:rPr>
          <w:sz w:val="20"/>
          <w:szCs w:val="20"/>
          <w:color w:val="auto"/>
        </w:rPr>
      </w:pPr>
      <w:r>
        <w:rPr>
          <w:rFonts w:ascii="Arial" w:cs="Arial" w:eastAsia="Arial" w:hAnsi="Arial"/>
          <w:sz w:val="16"/>
          <w:szCs w:val="16"/>
          <w:color w:val="auto"/>
        </w:rPr>
        <w:t>Hasbro, Inc. (“Hasbro”) is a leading game, intellectual property (“IP”), and toy company whose mission is to create joy and community through the magic of play. With over 100 years of expertise, we deliver play experiences to kids, families, and fans around the world, through physical and digital games, video games, toys, licensed consumer products, location-based entertainment, film, TV and more.</w:t>
      </w:r>
    </w:p>
    <w:p>
      <w:pPr>
        <w:spacing w:after="0" w:line="133" w:lineRule="exact"/>
        <w:rPr>
          <w:sz w:val="20"/>
          <w:szCs w:val="20"/>
          <w:color w:val="auto"/>
        </w:rPr>
      </w:pPr>
    </w:p>
    <w:p>
      <w:pPr>
        <w:ind w:left="160" w:right="120"/>
        <w:spacing w:after="0" w:line="262" w:lineRule="auto"/>
        <w:rPr>
          <w:sz w:val="20"/>
          <w:szCs w:val="20"/>
          <w:color w:val="auto"/>
        </w:rPr>
      </w:pPr>
      <w:r>
        <w:rPr>
          <w:rFonts w:ascii="Arial" w:cs="Arial" w:eastAsia="Arial" w:hAnsi="Arial"/>
          <w:sz w:val="16"/>
          <w:szCs w:val="16"/>
          <w:color w:val="auto"/>
        </w:rPr>
        <w:t>Through our franchise-first approach, we unlock value from both new and legacy IP, including MAGIC: THE GATHERING, MONOPOLY, HASBRO GAMES, PLAY-DOH, TRANSFORMERS, DUNGEONS &amp; DRAGONS, NERF, and PEPPA PIG, as well as premier partner brands. Powered by our portfolio of iconic brands and a diversified network of partners and subsidiary studios, we bring fans together wherever they are, from tabletop to screen.</w:t>
      </w:r>
    </w:p>
    <w:p>
      <w:pPr>
        <w:spacing w:after="0" w:line="146"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auto"/>
        </w:rPr>
        <w:t>For more than a decade, Hasbro has been consistently recognized for its corporate citizenship, including being named one of the 100 Best Corporate Citizens by 3BL Media, a 2025 JUST Capital Industry Leader, one of the 50 Most Community-Minded Companies in the U.S. by the Civic 50, and a Brand that Matters by Fast Company.</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009BDE"/>
        </w:rPr>
        <w:t>Our Playing to Win Strategy</w:t>
      </w:r>
    </w:p>
    <w:p>
      <w:pPr>
        <w:spacing w:after="0" w:line="41" w:lineRule="exact"/>
        <w:rPr>
          <w:sz w:val="20"/>
          <w:szCs w:val="20"/>
          <w:color w:val="auto"/>
        </w:rPr>
      </w:pPr>
    </w:p>
    <w:p>
      <w:pPr>
        <w:ind w:left="160" w:right="340"/>
        <w:spacing w:after="0" w:line="253" w:lineRule="auto"/>
        <w:rPr>
          <w:sz w:val="20"/>
          <w:szCs w:val="20"/>
          <w:color w:val="auto"/>
        </w:rPr>
      </w:pPr>
      <w:r>
        <w:rPr>
          <w:rFonts w:ascii="Arial" w:cs="Arial" w:eastAsia="Arial" w:hAnsi="Arial"/>
          <w:sz w:val="16"/>
          <w:szCs w:val="16"/>
          <w:color w:val="auto"/>
        </w:rPr>
        <w:t>Games, IP, and toys each play an important role in driving our play-focused mission. Toys are often the first handshake we have with consumers, providing an opportunity for consumers of all ages to enjoy our brands. Games offer consumers additional channels to experience our brands, both in traditional format and through digital games. Licensing our intellectual property and strategic partnerships provides further opportunities to extend the reach of our brands across digital games, consumer products categories, entertainment, location-based experiences, and more. We believe our diversified portfolio positions us for continuous and extended reach with consumers and long-term growth.</w:t>
      </w:r>
    </w:p>
    <w:p>
      <w:pPr>
        <w:spacing w:after="0" w:line="140" w:lineRule="exact"/>
        <w:rPr>
          <w:sz w:val="20"/>
          <w:szCs w:val="20"/>
          <w:color w:val="auto"/>
        </w:rPr>
      </w:pPr>
    </w:p>
    <w:p>
      <w:pPr>
        <w:ind w:left="160" w:right="220"/>
        <w:spacing w:after="0" w:line="253" w:lineRule="auto"/>
        <w:rPr>
          <w:sz w:val="20"/>
          <w:szCs w:val="20"/>
          <w:color w:val="auto"/>
        </w:rPr>
      </w:pPr>
      <w:r>
        <w:rPr>
          <w:rFonts w:ascii="Arial" w:cs="Arial" w:eastAsia="Arial" w:hAnsi="Arial"/>
          <w:sz w:val="16"/>
          <w:szCs w:val="16"/>
          <w:color w:val="auto"/>
        </w:rPr>
        <w:t>In 2025, we launched our refreshed strategy, “Playing to Win,” to refocus the Company on inspiring a lifetime of play across more categories, more partners, and more ways to engage. Through play-fueled brand engagement and partner scaled co-investment, including video games, artificial intelligence (“AI”) enabled entertainment, and licensing, we seek to expand our consumer reach as a games, IP, and toy company. We aim to be one of the most profitable and diverse toy and game companies globally, powered by gamified, entertainment-driven, multi-purchase, multi-generational franchises. To significantly extend our consumer reach and drive for revenue and profit growth, we are focusing on five key strategic building blocks:</w:t>
      </w:r>
    </w:p>
    <w:p>
      <w:pPr>
        <w:spacing w:after="0" w:line="87" w:lineRule="exact"/>
        <w:rPr>
          <w:sz w:val="20"/>
          <w:szCs w:val="20"/>
          <w:color w:val="auto"/>
        </w:rPr>
      </w:pPr>
    </w:p>
    <w:p>
      <w:pPr>
        <w:ind w:left="380" w:right="500" w:hanging="213"/>
        <w:spacing w:after="0" w:line="279" w:lineRule="auto"/>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Anytime is Playtime</w:t>
      </w:r>
      <w:r>
        <w:rPr>
          <w:rFonts w:ascii="Arial" w:cs="Arial" w:eastAsia="Arial" w:hAnsi="Arial"/>
          <w:sz w:val="16"/>
          <w:szCs w:val="16"/>
          <w:color w:val="auto"/>
        </w:rPr>
        <w:t>: Focus on winning play occasions and distribution point by making our brands accessible, relevant, and engaging wherever,</w:t>
      </w:r>
      <w:r>
        <w:rPr>
          <w:rFonts w:ascii="Arial" w:cs="Arial" w:eastAsia="Arial" w:hAnsi="Arial"/>
          <w:sz w:val="16"/>
          <w:szCs w:val="16"/>
          <w:i w:val="1"/>
          <w:iCs w:val="1"/>
          <w:color w:val="auto"/>
        </w:rPr>
        <w:t xml:space="preserve"> </w:t>
      </w:r>
      <w:r>
        <w:rPr>
          <w:rFonts w:ascii="Arial" w:cs="Arial" w:eastAsia="Arial" w:hAnsi="Arial"/>
          <w:sz w:val="16"/>
          <w:szCs w:val="16"/>
          <w:color w:val="auto"/>
        </w:rPr>
        <w:t>whenever, and however consumers choose to play.</w:t>
      </w:r>
    </w:p>
    <w:p>
      <w:pPr>
        <w:spacing w:after="0" w:line="67" w:lineRule="exact"/>
        <w:rPr>
          <w:rFonts w:ascii="Arial" w:cs="Arial" w:eastAsia="Arial" w:hAnsi="Arial"/>
          <w:sz w:val="16"/>
          <w:szCs w:val="16"/>
          <w:color w:val="auto"/>
        </w:rPr>
      </w:pPr>
    </w:p>
    <w:p>
      <w:pPr>
        <w:ind w:left="380" w:right="140" w:hanging="213"/>
        <w:spacing w:after="0" w:line="279" w:lineRule="auto"/>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Aging Up</w:t>
      </w:r>
      <w:r>
        <w:rPr>
          <w:rFonts w:ascii="Arial" w:cs="Arial" w:eastAsia="Arial" w:hAnsi="Arial"/>
          <w:sz w:val="16"/>
          <w:szCs w:val="16"/>
          <w:color w:val="auto"/>
        </w:rPr>
        <w:t>: Expand our consumer base and drive play and collectible experiences for fans of all ages, recognizing that consumers aged 13 and above</w:t>
      </w:r>
      <w:r>
        <w:rPr>
          <w:rFonts w:ascii="Arial" w:cs="Arial" w:eastAsia="Arial" w:hAnsi="Arial"/>
          <w:sz w:val="16"/>
          <w:szCs w:val="16"/>
          <w:i w:val="1"/>
          <w:iCs w:val="1"/>
          <w:color w:val="auto"/>
        </w:rPr>
        <w:t xml:space="preserve"> </w:t>
      </w:r>
      <w:r>
        <w:rPr>
          <w:rFonts w:ascii="Arial" w:cs="Arial" w:eastAsia="Arial" w:hAnsi="Arial"/>
          <w:sz w:val="16"/>
          <w:szCs w:val="16"/>
          <w:color w:val="auto"/>
        </w:rPr>
        <w:t>are gaining purchase share.</w:t>
      </w:r>
    </w:p>
    <w:p>
      <w:pPr>
        <w:spacing w:after="0" w:line="67" w:lineRule="exact"/>
        <w:rPr>
          <w:rFonts w:ascii="Arial" w:cs="Arial" w:eastAsia="Arial" w:hAnsi="Arial"/>
          <w:sz w:val="16"/>
          <w:szCs w:val="16"/>
          <w:color w:val="auto"/>
        </w:rPr>
      </w:pPr>
    </w:p>
    <w:p>
      <w:pPr>
        <w:ind w:left="380" w:hanging="213"/>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Everyone Plays</w:t>
      </w:r>
      <w:r>
        <w:rPr>
          <w:rFonts w:ascii="Arial" w:cs="Arial" w:eastAsia="Arial" w:hAnsi="Arial"/>
          <w:sz w:val="16"/>
          <w:szCs w:val="16"/>
          <w:color w:val="auto"/>
        </w:rPr>
        <w:t>: Engage across the play spectrum to where we under-index and capture new consumers across demographics and markets.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Digital and Direct</w:t>
      </w:r>
      <w:r>
        <w:rPr>
          <w:rFonts w:ascii="Arial" w:cs="Arial" w:eastAsia="Arial" w:hAnsi="Arial"/>
          <w:sz w:val="16"/>
          <w:szCs w:val="16"/>
          <w:color w:val="auto"/>
        </w:rPr>
        <w:t>: Embrace new ways to engage with our consumers through video games, digital technology and direct-to-consumer interactions.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Partner Scale</w:t>
      </w:r>
      <w:r>
        <w:rPr>
          <w:rFonts w:ascii="Arial" w:cs="Arial" w:eastAsia="Arial" w:hAnsi="Arial"/>
          <w:sz w:val="16"/>
          <w:szCs w:val="16"/>
          <w:color w:val="auto"/>
        </w:rPr>
        <w:t>: Capitalize on our partners’ investments and scale to enhance our brands through strategic relationships and licensing arrangements.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009BDE"/>
        </w:rPr>
        <w:t>Our Business: Games, IP, and Toys</w:t>
      </w:r>
      <w:r>
        <w:rPr>
          <w:rFonts w:ascii="Arial" w:cs="Arial" w:eastAsia="Arial" w:hAnsi="Arial"/>
          <w:sz w:val="16"/>
          <w:szCs w:val="16"/>
          <w:color w:val="000000"/>
        </w:rPr>
        <w:t>. We operate in three lines of business: games, IP, and toys, each playing a role in driving our play-focused mission.</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3680" w:type="dxa"/>
            <w:vAlign w:val="bottom"/>
            <w:tcBorders>
              <w:bottom w:val="single" w:sz="8" w:color="99D7F1"/>
            </w:tcBorders>
            <w:shd w:val="clear" w:color="auto" w:fill="99D7F1"/>
          </w:tcPr>
          <w:p>
            <w:pPr>
              <w:jc w:val="center"/>
              <w:spacing w:after="0"/>
              <w:rPr>
                <w:sz w:val="20"/>
                <w:szCs w:val="20"/>
                <w:color w:val="auto"/>
              </w:rPr>
            </w:pPr>
            <w:r>
              <w:rPr>
                <w:rFonts w:ascii="Arial" w:cs="Arial" w:eastAsia="Arial" w:hAnsi="Arial"/>
                <w:sz w:val="16"/>
                <w:szCs w:val="16"/>
                <w:b w:val="1"/>
                <w:bCs w:val="1"/>
                <w:color w:val="FFFFFF"/>
              </w:rPr>
              <w:t>Games</w:t>
            </w:r>
          </w:p>
        </w:tc>
        <w:tc>
          <w:tcPr>
            <w:tcW w:w="3740" w:type="dxa"/>
            <w:vAlign w:val="bottom"/>
            <w:tcBorders>
              <w:bottom w:val="single" w:sz="8" w:color="99D7F1"/>
            </w:tcBorders>
            <w:shd w:val="clear" w:color="auto" w:fill="99D7F1"/>
          </w:tcPr>
          <w:p>
            <w:pPr>
              <w:jc w:val="center"/>
              <w:spacing w:after="0"/>
              <w:rPr>
                <w:sz w:val="20"/>
                <w:szCs w:val="20"/>
                <w:color w:val="auto"/>
              </w:rPr>
            </w:pPr>
            <w:r>
              <w:rPr>
                <w:rFonts w:ascii="Arial" w:cs="Arial" w:eastAsia="Arial" w:hAnsi="Arial"/>
                <w:sz w:val="16"/>
                <w:szCs w:val="16"/>
                <w:b w:val="1"/>
                <w:bCs w:val="1"/>
                <w:color w:val="FFFFFF"/>
              </w:rPr>
              <w:t>IP – Licensing &amp; Entertainment</w:t>
            </w:r>
          </w:p>
        </w:tc>
        <w:tc>
          <w:tcPr>
            <w:tcW w:w="3500" w:type="dxa"/>
            <w:vAlign w:val="bottom"/>
            <w:tcBorders>
              <w:bottom w:val="single" w:sz="8" w:color="99D7F1"/>
            </w:tcBorders>
            <w:shd w:val="clear" w:color="auto" w:fill="99D7F1"/>
          </w:tcPr>
          <w:p>
            <w:pPr>
              <w:jc w:val="center"/>
              <w:spacing w:after="0"/>
              <w:rPr>
                <w:sz w:val="20"/>
                <w:szCs w:val="20"/>
                <w:color w:val="auto"/>
              </w:rPr>
            </w:pPr>
            <w:r>
              <w:rPr>
                <w:rFonts w:ascii="Arial" w:cs="Arial" w:eastAsia="Arial" w:hAnsi="Arial"/>
                <w:sz w:val="16"/>
                <w:szCs w:val="16"/>
                <w:b w:val="1"/>
                <w:bCs w:val="1"/>
                <w:color w:val="FFFFFF"/>
                <w:w w:val="96"/>
              </w:rPr>
              <w:t>Toys</w:t>
            </w:r>
          </w:p>
        </w:tc>
      </w:tr>
      <w:tr>
        <w:trPr>
          <w:trHeight w:val="227"/>
        </w:trPr>
        <w:tc>
          <w:tcPr>
            <w:tcW w:w="3680" w:type="dxa"/>
            <w:vAlign w:val="bottom"/>
          </w:tcPr>
          <w:p>
            <w:pPr>
              <w:jc w:val="center"/>
              <w:spacing w:after="0"/>
              <w:rPr>
                <w:sz w:val="20"/>
                <w:szCs w:val="20"/>
                <w:color w:val="auto"/>
              </w:rPr>
            </w:pPr>
            <w:r>
              <w:rPr>
                <w:rFonts w:ascii="Arial" w:cs="Arial" w:eastAsia="Arial" w:hAnsi="Arial"/>
                <w:sz w:val="16"/>
                <w:szCs w:val="16"/>
                <w:color w:val="auto"/>
              </w:rPr>
              <w:t>Our high profit, high growth investment center. As</w:t>
            </w:r>
          </w:p>
        </w:tc>
        <w:tc>
          <w:tcPr>
            <w:tcW w:w="3740" w:type="dxa"/>
            <w:vAlign w:val="bottom"/>
          </w:tcPr>
          <w:p>
            <w:pPr>
              <w:jc w:val="center"/>
              <w:spacing w:after="0"/>
              <w:rPr>
                <w:sz w:val="20"/>
                <w:szCs w:val="20"/>
                <w:color w:val="auto"/>
              </w:rPr>
            </w:pPr>
            <w:r>
              <w:rPr>
                <w:rFonts w:ascii="Arial" w:cs="Arial" w:eastAsia="Arial" w:hAnsi="Arial"/>
                <w:sz w:val="16"/>
                <w:szCs w:val="16"/>
                <w:color w:val="auto"/>
                <w:w w:val="99"/>
              </w:rPr>
              <w:t>Our capital-lite, partner scale opportunity.</w:t>
            </w:r>
          </w:p>
        </w:tc>
        <w:tc>
          <w:tcPr>
            <w:tcW w:w="3500" w:type="dxa"/>
            <w:vAlign w:val="bottom"/>
          </w:tcPr>
          <w:p>
            <w:pPr>
              <w:jc w:val="center"/>
              <w:spacing w:after="0"/>
              <w:rPr>
                <w:sz w:val="20"/>
                <w:szCs w:val="20"/>
                <w:color w:val="auto"/>
              </w:rPr>
            </w:pPr>
            <w:r>
              <w:rPr>
                <w:rFonts w:ascii="Arial" w:cs="Arial" w:eastAsia="Arial" w:hAnsi="Arial"/>
                <w:sz w:val="16"/>
                <w:szCs w:val="16"/>
                <w:color w:val="auto"/>
              </w:rPr>
              <w:t>Our first handshake with consumers; a cash</w:t>
            </w:r>
          </w:p>
        </w:tc>
      </w:tr>
      <w:tr>
        <w:trPr>
          <w:trHeight w:val="187"/>
        </w:trPr>
        <w:tc>
          <w:tcPr>
            <w:tcW w:w="3680" w:type="dxa"/>
            <w:vAlign w:val="bottom"/>
          </w:tcPr>
          <w:p>
            <w:pPr>
              <w:jc w:val="center"/>
              <w:spacing w:after="0"/>
              <w:rPr>
                <w:sz w:val="20"/>
                <w:szCs w:val="20"/>
                <w:color w:val="auto"/>
              </w:rPr>
            </w:pPr>
            <w:r>
              <w:rPr>
                <w:rFonts w:ascii="Arial" w:cs="Arial" w:eastAsia="Arial" w:hAnsi="Arial"/>
                <w:sz w:val="16"/>
                <w:szCs w:val="16"/>
                <w:color w:val="auto"/>
              </w:rPr>
              <w:t>consumers embrace digital, our games portfolio</w:t>
            </w:r>
          </w:p>
        </w:tc>
        <w:tc>
          <w:tcPr>
            <w:tcW w:w="3740" w:type="dxa"/>
            <w:vAlign w:val="bottom"/>
          </w:tcPr>
          <w:p>
            <w:pPr>
              <w:jc w:val="center"/>
              <w:spacing w:after="0"/>
              <w:rPr>
                <w:sz w:val="20"/>
                <w:szCs w:val="20"/>
                <w:color w:val="auto"/>
              </w:rPr>
            </w:pPr>
            <w:r>
              <w:rPr>
                <w:rFonts w:ascii="Arial" w:cs="Arial" w:eastAsia="Arial" w:hAnsi="Arial"/>
                <w:sz w:val="16"/>
                <w:szCs w:val="16"/>
                <w:color w:val="auto"/>
              </w:rPr>
              <w:t>Licensing drives our brands across consumer</w:t>
            </w:r>
          </w:p>
        </w:tc>
        <w:tc>
          <w:tcPr>
            <w:tcW w:w="3500" w:type="dxa"/>
            <w:vAlign w:val="bottom"/>
          </w:tcPr>
          <w:p>
            <w:pPr>
              <w:jc w:val="center"/>
              <w:spacing w:after="0"/>
              <w:rPr>
                <w:sz w:val="20"/>
                <w:szCs w:val="20"/>
                <w:color w:val="auto"/>
              </w:rPr>
            </w:pPr>
            <w:r>
              <w:rPr>
                <w:rFonts w:ascii="Arial" w:cs="Arial" w:eastAsia="Arial" w:hAnsi="Arial"/>
                <w:sz w:val="16"/>
                <w:szCs w:val="16"/>
                <w:color w:val="auto"/>
              </w:rPr>
              <w:t>generative business in a category driven by</w:t>
            </w:r>
          </w:p>
        </w:tc>
      </w:tr>
      <w:tr>
        <w:trPr>
          <w:trHeight w:val="211"/>
        </w:trPr>
        <w:tc>
          <w:tcPr>
            <w:tcW w:w="3680" w:type="dxa"/>
            <w:vAlign w:val="bottom"/>
          </w:tcPr>
          <w:p>
            <w:pPr>
              <w:jc w:val="center"/>
              <w:spacing w:after="0"/>
              <w:rPr>
                <w:sz w:val="20"/>
                <w:szCs w:val="20"/>
                <w:color w:val="auto"/>
              </w:rPr>
            </w:pPr>
            <w:r>
              <w:rPr>
                <w:rFonts w:ascii="Arial" w:cs="Arial" w:eastAsia="Arial" w:hAnsi="Arial"/>
                <w:sz w:val="16"/>
                <w:szCs w:val="16"/>
                <w:color w:val="auto"/>
              </w:rPr>
              <w:t>offers new channels to express our brands.</w:t>
            </w:r>
          </w:p>
        </w:tc>
        <w:tc>
          <w:tcPr>
            <w:tcW w:w="3740" w:type="dxa"/>
            <w:vAlign w:val="bottom"/>
          </w:tcPr>
          <w:p>
            <w:pPr>
              <w:jc w:val="center"/>
              <w:spacing w:after="0"/>
              <w:rPr>
                <w:sz w:val="20"/>
                <w:szCs w:val="20"/>
                <w:color w:val="auto"/>
              </w:rPr>
            </w:pPr>
            <w:r>
              <w:rPr>
                <w:rFonts w:ascii="Arial" w:cs="Arial" w:eastAsia="Arial" w:hAnsi="Arial"/>
                <w:sz w:val="16"/>
                <w:szCs w:val="16"/>
                <w:color w:val="auto"/>
              </w:rPr>
              <w:t>product categories, screens and experiences.</w:t>
            </w:r>
          </w:p>
        </w:tc>
        <w:tc>
          <w:tcPr>
            <w:tcW w:w="3500" w:type="dxa"/>
            <w:vAlign w:val="bottom"/>
          </w:tcPr>
          <w:p>
            <w:pPr>
              <w:jc w:val="center"/>
              <w:spacing w:after="0"/>
              <w:rPr>
                <w:sz w:val="20"/>
                <w:szCs w:val="20"/>
                <w:color w:val="auto"/>
              </w:rPr>
            </w:pPr>
            <w:r>
              <w:rPr>
                <w:rFonts w:ascii="Arial" w:cs="Arial" w:eastAsia="Arial" w:hAnsi="Arial"/>
                <w:sz w:val="16"/>
                <w:szCs w:val="16"/>
                <w:color w:val="auto"/>
              </w:rPr>
              <w:t>brands, innovation and licenses.</w:t>
            </w:r>
          </w:p>
        </w:tc>
      </w:tr>
      <w:tr>
        <w:trPr>
          <w:trHeight w:val="44"/>
        </w:trPr>
        <w:tc>
          <w:tcPr>
            <w:tcW w:w="3680" w:type="dxa"/>
            <w:vAlign w:val="bottom"/>
            <w:tcBorders>
              <w:bottom w:val="single" w:sz="8" w:color="7FCDEE"/>
            </w:tcBorders>
          </w:tcPr>
          <w:p>
            <w:pPr>
              <w:spacing w:after="0"/>
              <w:rPr>
                <w:sz w:val="3"/>
                <w:szCs w:val="3"/>
                <w:color w:val="auto"/>
              </w:rPr>
            </w:pPr>
          </w:p>
        </w:tc>
        <w:tc>
          <w:tcPr>
            <w:tcW w:w="3740" w:type="dxa"/>
            <w:vAlign w:val="bottom"/>
            <w:tcBorders>
              <w:bottom w:val="single" w:sz="8" w:color="7FCDEE"/>
            </w:tcBorders>
          </w:tcPr>
          <w:p>
            <w:pPr>
              <w:spacing w:after="0"/>
              <w:rPr>
                <w:sz w:val="3"/>
                <w:szCs w:val="3"/>
                <w:color w:val="auto"/>
              </w:rPr>
            </w:pPr>
          </w:p>
        </w:tc>
        <w:tc>
          <w:tcPr>
            <w:tcW w:w="3500" w:type="dxa"/>
            <w:vAlign w:val="bottom"/>
            <w:tcBorders>
              <w:bottom w:val="single" w:sz="8" w:color="7FCDEE"/>
            </w:tcBorders>
          </w:tcPr>
          <w:p>
            <w:pPr>
              <w:spacing w:after="0"/>
              <w:rPr>
                <w:sz w:val="3"/>
                <w:szCs w:val="3"/>
                <w:color w:val="auto"/>
              </w:rPr>
            </w:pPr>
          </w:p>
        </w:tc>
      </w:tr>
    </w:tbl>
    <w:p>
      <w:pPr>
        <w:spacing w:after="0" w:line="200" w:lineRule="exact"/>
        <w:rPr>
          <w:sz w:val="20"/>
          <w:szCs w:val="20"/>
          <w:color w:val="auto"/>
        </w:rPr>
      </w:pPr>
    </w:p>
    <w:p>
      <w:pPr>
        <w:ind w:left="160" w:right="420"/>
        <w:spacing w:after="0" w:line="262" w:lineRule="auto"/>
        <w:rPr>
          <w:sz w:val="20"/>
          <w:szCs w:val="20"/>
          <w:color w:val="auto"/>
        </w:rPr>
      </w:pPr>
      <w:r>
        <w:rPr>
          <w:rFonts w:ascii="Arial" w:cs="Arial" w:eastAsia="Arial" w:hAnsi="Arial"/>
          <w:sz w:val="16"/>
          <w:szCs w:val="16"/>
          <w:color w:val="auto"/>
        </w:rPr>
        <w:t>As a Company, we believe we possess a number of competitive advantages, including: a broad and deep brand portfolio rooted in play; one of the biggest and most diverse licensing businesses in the world; and a profitable games business anchored by MAGIC: THE GATHERING, MONOPOLY, DUNGEONS &amp; DRAGONS, and Hasbro gaming classics.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6964045" cy="3905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FCFCFC"/>
        </w:rPr>
        <w:t>     ii</w:t>
      </w:r>
    </w:p>
    <w:p>
      <w:pPr>
        <w:sectPr>
          <w:pgSz w:w="11900" w:h="16838" w:orient="portrait"/>
          <w:cols w:equalWidth="0" w:num="1">
            <w:col w:w="11080"/>
          </w:cols>
          <w:pgMar w:left="320" w:top="478"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Our competitive advantages reinforce one another. Our toy and game brands fuel our licensing business. Our licensing business benefits from external capital and marketing investments which strengthen our brands and our bottom line. Our games business adds further strength to our balance sheet giving us the investment dollars to upgrade core capabilities like design, supply chain, and marketing and gives us new ways to expand our brands’ consumer reach, particularly in digital.</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009BDE"/>
        </w:rPr>
        <w:t xml:space="preserve">Operational Excellence: Transforming Hasbro. </w:t>
      </w:r>
      <w:r>
        <w:rPr>
          <w:rFonts w:ascii="Arial" w:cs="Arial" w:eastAsia="Arial" w:hAnsi="Arial"/>
          <w:sz w:val="16"/>
          <w:szCs w:val="16"/>
          <w:color w:val="000000"/>
        </w:rPr>
        <w:t>We are midway through a transformation. Over the past several years our initiatives have focused on:</w:t>
      </w:r>
    </w:p>
    <w:p>
      <w:pPr>
        <w:spacing w:after="0" w:line="124" w:lineRule="exact"/>
        <w:rPr>
          <w:sz w:val="20"/>
          <w:szCs w:val="20"/>
          <w:color w:val="auto"/>
        </w:rPr>
      </w:pPr>
    </w:p>
    <w:p>
      <w:pPr>
        <w:ind w:left="380" w:right="40" w:hanging="213"/>
        <w:spacing w:after="0" w:line="279"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Reinvigorating licensing by expanding into new partnerships across toys, gaming and experiences and by strengthening existing partnerships with key partners, including the extension of our agreement with The Walt Disney Company.</w:t>
      </w:r>
    </w:p>
    <w:p>
      <w:pPr>
        <w:spacing w:after="0" w:line="67" w:lineRule="exact"/>
        <w:rPr>
          <w:rFonts w:ascii="Arial" w:cs="Arial" w:eastAsia="Arial" w:hAnsi="Arial"/>
          <w:sz w:val="16"/>
          <w:szCs w:val="16"/>
          <w:color w:val="auto"/>
        </w:rPr>
      </w:pPr>
    </w:p>
    <w:p>
      <w:pPr>
        <w:ind w:left="380" w:hanging="213"/>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Accelerating digital initiatives and digitally-orientated partnerships.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Right-sizing our organizational structure.</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Reducing complexity across the business, including significantly reducing SKU count, reducing owned inventory levels and reducing the cost structure.</w:t>
      </w:r>
    </w:p>
    <w:p>
      <w:pPr>
        <w:spacing w:after="0" w:line="123" w:lineRule="exact"/>
        <w:rPr>
          <w:rFonts w:ascii="Arial" w:cs="Arial" w:eastAsia="Arial" w:hAnsi="Arial"/>
          <w:sz w:val="16"/>
          <w:szCs w:val="16"/>
          <w:color w:val="auto"/>
        </w:rPr>
      </w:pPr>
    </w:p>
    <w:p>
      <w:pPr>
        <w:ind w:left="380" w:right="480" w:hanging="213"/>
        <w:spacing w:after="0" w:line="279"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Divestiture of our non-core film and TV business, which returned “play” to the center of our mission and investment priorities, ultimately reducing content spend by over 90%.</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are continuing to transform the business by upgrading our systems and talent with an emphasis on:</w:t>
      </w:r>
    </w:p>
    <w:p>
      <w:pPr>
        <w:spacing w:after="0" w:line="124" w:lineRule="exact"/>
        <w:rPr>
          <w:sz w:val="20"/>
          <w:szCs w:val="20"/>
          <w:color w:val="auto"/>
        </w:rPr>
      </w:pPr>
    </w:p>
    <w:p>
      <w:pPr>
        <w:ind w:left="380" w:right="400" w:hanging="213"/>
        <w:spacing w:after="0" w:line="279"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Rapid adoption of AI, including launching new enabled services and digital solutions to innovate, improve operational efficiency, and go to market digitally.</w:t>
      </w:r>
    </w:p>
    <w:p>
      <w:pPr>
        <w:spacing w:after="0" w:line="67" w:lineRule="exact"/>
        <w:rPr>
          <w:rFonts w:ascii="Arial" w:cs="Arial" w:eastAsia="Arial" w:hAnsi="Arial"/>
          <w:sz w:val="16"/>
          <w:szCs w:val="16"/>
          <w:color w:val="auto"/>
        </w:rPr>
      </w:pPr>
    </w:p>
    <w:p>
      <w:pPr>
        <w:ind w:left="380" w:hanging="213"/>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Modernizing how we design and develop products and work with manufacturers to improve the time to market, improve agility and reduce costs.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Process and systems modernization across IT, accounting, finance and HR.</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Supply chain excellence to continue improving predictability, costs and services across the network.</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Establishing an inspired workforce with a performance culture built on solid fundamentals, strong values and bar-raising feedback.</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Building a “test and learn” engine to enable ideas to move from concept to market with speed, evidence and consumer co-creation.</w:t>
      </w:r>
    </w:p>
    <w:p>
      <w:pPr>
        <w:spacing w:after="0" w:line="200" w:lineRule="exact"/>
        <w:rPr>
          <w:rFonts w:ascii="Arial" w:cs="Arial" w:eastAsia="Arial" w:hAnsi="Arial"/>
          <w:sz w:val="16"/>
          <w:szCs w:val="16"/>
          <w:color w:val="auto"/>
        </w:rPr>
      </w:pPr>
    </w:p>
    <w:p>
      <w:pPr>
        <w:spacing w:after="0" w:line="391" w:lineRule="exact"/>
        <w:rPr>
          <w:rFonts w:ascii="Arial" w:cs="Arial" w:eastAsia="Arial" w:hAnsi="Arial"/>
          <w:sz w:val="16"/>
          <w:szCs w:val="16"/>
          <w:color w:val="auto"/>
        </w:rPr>
      </w:pPr>
    </w:p>
    <w:p>
      <w:pPr>
        <w:ind w:left="320" w:hanging="77"/>
        <w:spacing w:after="0"/>
        <w:tabs>
          <w:tab w:leader="none" w:pos="320" w:val="left"/>
        </w:tabs>
        <w:numPr>
          <w:ilvl w:val="1"/>
          <w:numId w:val="9"/>
        </w:numPr>
        <w:rPr>
          <w:rFonts w:ascii="Arial" w:cs="Arial" w:eastAsia="Arial" w:hAnsi="Arial"/>
          <w:sz w:val="15"/>
          <w:szCs w:val="15"/>
          <w:b w:val="1"/>
          <w:bCs w:val="1"/>
          <w:color w:val="FCFCFC"/>
        </w:rPr>
      </w:pPr>
      <w:r>
        <w:rPr>
          <w:rFonts w:ascii="Arial" w:cs="Arial" w:eastAsia="Arial" w:hAnsi="Arial"/>
          <w:sz w:val="15"/>
          <w:szCs w:val="15"/>
          <w:b w:val="1"/>
          <w:bCs w:val="1"/>
          <w:color w:val="FCFCFC"/>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-227330</wp:posOffset>
            </wp:positionV>
            <wp:extent cx="6964045" cy="3905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1">
            <w:col w:w="11060"/>
          </w:cols>
          <w:pgMar w:left="320" w:top="478"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3568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91" w:lineRule="exact"/>
        <w:rPr>
          <w:sz w:val="20"/>
          <w:szCs w:val="20"/>
          <w:color w:val="auto"/>
        </w:rPr>
      </w:pPr>
    </w:p>
    <w:p>
      <w:pPr>
        <w:jc w:val="right"/>
        <w:ind w:right="7399"/>
        <w:spacing w:after="0"/>
        <w:rPr>
          <w:sz w:val="20"/>
          <w:szCs w:val="20"/>
          <w:color w:val="auto"/>
        </w:rPr>
      </w:pPr>
      <w:r>
        <w:rPr>
          <w:rFonts w:ascii="Arial" w:cs="Arial" w:eastAsia="Arial" w:hAnsi="Arial"/>
          <w:sz w:val="26"/>
          <w:szCs w:val="26"/>
          <w:b w:val="1"/>
          <w:bCs w:val="1"/>
          <w:color w:val="FFFFFF"/>
        </w:rPr>
        <w:t>Fiscal 2025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272415</wp:posOffset>
            </wp:positionV>
            <wp:extent cx="6964045" cy="40506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64045" cy="405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FCFCFC"/>
        </w:rPr>
        <w:t>    iv</w:t>
      </w:r>
    </w:p>
    <w:p>
      <w:pPr>
        <w:sectPr>
          <w:pgSz w:w="11900" w:h="16838" w:orient="portrait"/>
          <w:cols w:equalWidth="0" w:num="1">
            <w:col w:w="10139"/>
          </w:cols>
          <w:pgMar w:left="320" w:top="47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3568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Board Matters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Proposal 1 — Election of Directors</w:t>
      </w:r>
    </w:p>
    <w:p>
      <w:pPr>
        <w:spacing w:after="0" w:line="39" w:lineRule="exact"/>
        <w:rPr>
          <w:sz w:val="20"/>
          <w:szCs w:val="20"/>
          <w:color w:val="auto"/>
        </w:rPr>
      </w:pPr>
    </w:p>
    <w:p>
      <w:pPr>
        <w:ind w:left="160" w:right="60"/>
        <w:spacing w:after="0" w:line="257" w:lineRule="auto"/>
        <w:rPr>
          <w:sz w:val="20"/>
          <w:szCs w:val="20"/>
          <w:color w:val="auto"/>
        </w:rPr>
      </w:pPr>
      <w:r>
        <w:rPr>
          <w:rFonts w:ascii="Arial" w:cs="Arial" w:eastAsia="Arial" w:hAnsi="Arial"/>
          <w:sz w:val="16"/>
          <w:szCs w:val="16"/>
          <w:color w:val="auto"/>
        </w:rPr>
        <w:t xml:space="preserve">The following table summarizes information about each of the eleven (11) director nominees nominated by your Board, including their current committees of the Board. Detailed information about each of your Board’s nominees, including their background, skills and areas of expertise, can be found below under the heading “Election of Directors (Proposal 1)”. </w:t>
      </w:r>
      <w:r>
        <w:rPr>
          <w:rFonts w:ascii="Arial" w:cs="Arial" w:eastAsia="Arial" w:hAnsi="Arial"/>
          <w:sz w:val="16"/>
          <w:szCs w:val="16"/>
          <w:b w:val="1"/>
          <w:bCs w:val="1"/>
          <w:color w:val="auto"/>
        </w:rPr>
        <w:t>Your Board of Directors unanimously recommends that you vote “FOR ALL” your Board’s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director nominees. </w:t>
      </w:r>
      <w:r>
        <w:rPr>
          <w:rFonts w:ascii="Arial" w:cs="Arial" w:eastAsia="Arial" w:hAnsi="Arial"/>
          <w:sz w:val="16"/>
          <w:szCs w:val="16"/>
          <w:color w:val="auto"/>
        </w:rPr>
        <w:t>Mary Beth West will retire from the Board and will not be standing for re-election at the Annual Meeting.</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58"/>
        </w:trPr>
        <w:tc>
          <w:tcPr>
            <w:tcW w:w="4740" w:type="dxa"/>
            <w:vAlign w:val="bottom"/>
            <w:shd w:val="clear" w:color="auto" w:fill="CCEBF8"/>
          </w:tcPr>
          <w:p>
            <w:pPr>
              <w:spacing w:after="0"/>
              <w:rPr>
                <w:sz w:val="22"/>
                <w:szCs w:val="22"/>
                <w:color w:val="auto"/>
              </w:rPr>
            </w:pPr>
          </w:p>
        </w:tc>
        <w:tc>
          <w:tcPr>
            <w:tcW w:w="840" w:type="dxa"/>
            <w:vAlign w:val="bottom"/>
            <w:shd w:val="clear" w:color="auto" w:fill="CCEBF8"/>
          </w:tcPr>
          <w:p>
            <w:pPr>
              <w:spacing w:after="0"/>
              <w:rPr>
                <w:sz w:val="22"/>
                <w:szCs w:val="22"/>
                <w:color w:val="auto"/>
              </w:rPr>
            </w:pPr>
          </w:p>
        </w:tc>
        <w:tc>
          <w:tcPr>
            <w:tcW w:w="900" w:type="dxa"/>
            <w:vAlign w:val="bottom"/>
            <w:shd w:val="clear" w:color="auto" w:fill="CCEBF8"/>
          </w:tcPr>
          <w:p>
            <w:pPr>
              <w:jc w:val="right"/>
              <w:ind w:right="109"/>
              <w:spacing w:after="0"/>
              <w:rPr>
                <w:sz w:val="20"/>
                <w:szCs w:val="20"/>
                <w:color w:val="auto"/>
              </w:rPr>
            </w:pPr>
            <w:r>
              <w:rPr>
                <w:rFonts w:ascii="Arial" w:cs="Arial" w:eastAsia="Arial" w:hAnsi="Arial"/>
                <w:sz w:val="14"/>
                <w:szCs w:val="14"/>
                <w:b w:val="1"/>
                <w:bCs w:val="1"/>
                <w:color w:val="009BDE"/>
              </w:rPr>
              <w:t>Director</w:t>
            </w:r>
          </w:p>
        </w:tc>
        <w:tc>
          <w:tcPr>
            <w:tcW w:w="1200" w:type="dxa"/>
            <w:vAlign w:val="bottom"/>
            <w:shd w:val="clear" w:color="auto" w:fill="CCEBF8"/>
          </w:tcPr>
          <w:p>
            <w:pPr>
              <w:spacing w:after="0"/>
              <w:rPr>
                <w:sz w:val="22"/>
                <w:szCs w:val="22"/>
                <w:color w:val="auto"/>
              </w:rPr>
            </w:pPr>
          </w:p>
        </w:tc>
        <w:tc>
          <w:tcPr>
            <w:tcW w:w="720" w:type="dxa"/>
            <w:vAlign w:val="bottom"/>
            <w:shd w:val="clear" w:color="auto" w:fill="CCEBF8"/>
          </w:tcPr>
          <w:p>
            <w:pPr>
              <w:spacing w:after="0"/>
              <w:rPr>
                <w:sz w:val="22"/>
                <w:szCs w:val="22"/>
                <w:color w:val="auto"/>
              </w:rPr>
            </w:pPr>
          </w:p>
        </w:tc>
        <w:tc>
          <w:tcPr>
            <w:tcW w:w="780" w:type="dxa"/>
            <w:vAlign w:val="bottom"/>
            <w:shd w:val="clear" w:color="auto" w:fill="CCEBF8"/>
          </w:tcPr>
          <w:p>
            <w:pPr>
              <w:spacing w:after="0"/>
              <w:rPr>
                <w:sz w:val="22"/>
                <w:szCs w:val="22"/>
                <w:color w:val="auto"/>
              </w:rPr>
            </w:pPr>
          </w:p>
        </w:tc>
        <w:tc>
          <w:tcPr>
            <w:tcW w:w="1740" w:type="dxa"/>
            <w:vAlign w:val="bottom"/>
            <w:shd w:val="clear" w:color="auto" w:fill="CCEBF8"/>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009BDE"/>
            </w:tcBorders>
            <w:shd w:val="clear" w:color="auto" w:fill="CCEBF8"/>
          </w:tcPr>
          <w:p>
            <w:pPr>
              <w:ind w:left="80"/>
              <w:spacing w:after="0"/>
              <w:rPr>
                <w:sz w:val="20"/>
                <w:szCs w:val="20"/>
                <w:color w:val="auto"/>
              </w:rPr>
            </w:pPr>
            <w:r>
              <w:rPr>
                <w:rFonts w:ascii="Arial" w:cs="Arial" w:eastAsia="Arial" w:hAnsi="Arial"/>
                <w:sz w:val="14"/>
                <w:szCs w:val="14"/>
                <w:b w:val="1"/>
                <w:bCs w:val="1"/>
                <w:color w:val="009BDE"/>
              </w:rPr>
              <w:t>Name and Principal Occupation</w:t>
            </w:r>
          </w:p>
        </w:tc>
        <w:tc>
          <w:tcPr>
            <w:tcW w:w="840" w:type="dxa"/>
            <w:vAlign w:val="bottom"/>
            <w:tcBorders>
              <w:bottom w:val="single" w:sz="8" w:color="009BDE"/>
            </w:tcBorders>
            <w:shd w:val="clear" w:color="auto" w:fill="CCEBF8"/>
          </w:tcPr>
          <w:p>
            <w:pPr>
              <w:jc w:val="right"/>
              <w:ind w:right="109"/>
              <w:spacing w:after="0"/>
              <w:rPr>
                <w:sz w:val="20"/>
                <w:szCs w:val="20"/>
                <w:color w:val="auto"/>
              </w:rPr>
            </w:pPr>
            <w:r>
              <w:rPr>
                <w:rFonts w:ascii="Arial" w:cs="Arial" w:eastAsia="Arial" w:hAnsi="Arial"/>
                <w:sz w:val="14"/>
                <w:szCs w:val="14"/>
                <w:b w:val="1"/>
                <w:bCs w:val="1"/>
                <w:color w:val="009BDE"/>
              </w:rPr>
              <w:t>Age*</w:t>
            </w:r>
          </w:p>
        </w:tc>
        <w:tc>
          <w:tcPr>
            <w:tcW w:w="900" w:type="dxa"/>
            <w:vAlign w:val="bottom"/>
            <w:tcBorders>
              <w:bottom w:val="single" w:sz="8" w:color="009BDE"/>
            </w:tcBorders>
            <w:shd w:val="clear" w:color="auto" w:fill="CCEBF8"/>
          </w:tcPr>
          <w:p>
            <w:pPr>
              <w:jc w:val="right"/>
              <w:ind w:right="189"/>
              <w:spacing w:after="0"/>
              <w:rPr>
                <w:sz w:val="20"/>
                <w:szCs w:val="20"/>
                <w:color w:val="auto"/>
              </w:rPr>
            </w:pPr>
            <w:r>
              <w:rPr>
                <w:rFonts w:ascii="Arial" w:cs="Arial" w:eastAsia="Arial" w:hAnsi="Arial"/>
                <w:sz w:val="14"/>
                <w:szCs w:val="14"/>
                <w:b w:val="1"/>
                <w:bCs w:val="1"/>
                <w:color w:val="009BDE"/>
              </w:rPr>
              <w:t>Since</w:t>
            </w:r>
          </w:p>
        </w:tc>
        <w:tc>
          <w:tcPr>
            <w:tcW w:w="1200" w:type="dxa"/>
            <w:vAlign w:val="bottom"/>
            <w:tcBorders>
              <w:bottom w:val="single" w:sz="8" w:color="009BDE"/>
            </w:tcBorders>
            <w:shd w:val="clear" w:color="auto" w:fill="CCEBF8"/>
          </w:tcPr>
          <w:p>
            <w:pPr>
              <w:jc w:val="center"/>
              <w:spacing w:after="0"/>
              <w:rPr>
                <w:sz w:val="20"/>
                <w:szCs w:val="20"/>
                <w:color w:val="auto"/>
              </w:rPr>
            </w:pPr>
            <w:r>
              <w:rPr>
                <w:rFonts w:ascii="Arial" w:cs="Arial" w:eastAsia="Arial" w:hAnsi="Arial"/>
                <w:sz w:val="14"/>
                <w:szCs w:val="14"/>
                <w:b w:val="1"/>
                <w:bCs w:val="1"/>
                <w:color w:val="009BDE"/>
              </w:rPr>
              <w:t>Independent</w:t>
            </w:r>
          </w:p>
        </w:tc>
        <w:tc>
          <w:tcPr>
            <w:tcW w:w="720" w:type="dxa"/>
            <w:vAlign w:val="bottom"/>
            <w:tcBorders>
              <w:bottom w:val="single" w:sz="8" w:color="009BDE"/>
            </w:tcBorders>
            <w:shd w:val="clear" w:color="auto" w:fill="CCEBF8"/>
          </w:tcPr>
          <w:p>
            <w:pPr>
              <w:ind w:left="160"/>
              <w:spacing w:after="0"/>
              <w:rPr>
                <w:sz w:val="20"/>
                <w:szCs w:val="20"/>
                <w:color w:val="auto"/>
              </w:rPr>
            </w:pPr>
            <w:r>
              <w:rPr>
                <w:rFonts w:ascii="Arial" w:cs="Arial" w:eastAsia="Arial" w:hAnsi="Arial"/>
                <w:sz w:val="14"/>
                <w:szCs w:val="14"/>
                <w:b w:val="1"/>
                <w:bCs w:val="1"/>
                <w:color w:val="009BDE"/>
              </w:rPr>
              <w:t>Audit</w:t>
            </w:r>
          </w:p>
        </w:tc>
        <w:tc>
          <w:tcPr>
            <w:tcW w:w="780" w:type="dxa"/>
            <w:vAlign w:val="bottom"/>
            <w:tcBorders>
              <w:bottom w:val="single" w:sz="8" w:color="009BDE"/>
            </w:tcBorders>
            <w:shd w:val="clear" w:color="auto" w:fill="CCEBF8"/>
          </w:tcPr>
          <w:p>
            <w:pPr>
              <w:ind w:left="180"/>
              <w:spacing w:after="0"/>
              <w:rPr>
                <w:sz w:val="20"/>
                <w:szCs w:val="20"/>
                <w:color w:val="auto"/>
              </w:rPr>
            </w:pPr>
            <w:r>
              <w:rPr>
                <w:rFonts w:ascii="Arial" w:cs="Arial" w:eastAsia="Arial" w:hAnsi="Arial"/>
                <w:sz w:val="14"/>
                <w:szCs w:val="14"/>
                <w:b w:val="1"/>
                <w:bCs w:val="1"/>
                <w:color w:val="009BDE"/>
              </w:rPr>
              <w:t>Comp</w:t>
            </w:r>
          </w:p>
        </w:tc>
        <w:tc>
          <w:tcPr>
            <w:tcW w:w="1740" w:type="dxa"/>
            <w:vAlign w:val="bottom"/>
            <w:tcBorders>
              <w:bottom w:val="single" w:sz="8" w:color="009BDE"/>
            </w:tcBorders>
            <w:shd w:val="clear" w:color="auto" w:fill="CCEBF8"/>
          </w:tcPr>
          <w:p>
            <w:pPr>
              <w:ind w:left="180"/>
              <w:spacing w:after="0"/>
              <w:rPr>
                <w:sz w:val="20"/>
                <w:szCs w:val="20"/>
                <w:color w:val="auto"/>
              </w:rPr>
            </w:pPr>
            <w:r>
              <w:rPr>
                <w:rFonts w:ascii="Arial" w:cs="Arial" w:eastAsia="Arial" w:hAnsi="Arial"/>
                <w:sz w:val="14"/>
                <w:szCs w:val="14"/>
                <w:b w:val="1"/>
                <w:bCs w:val="1"/>
                <w:color w:val="009BDE"/>
              </w:rPr>
              <w:t>Finance   Nom/Gov</w:t>
            </w:r>
          </w:p>
        </w:tc>
        <w:tc>
          <w:tcPr>
            <w:tcW w:w="0" w:type="dxa"/>
            <w:vAlign w:val="bottom"/>
          </w:tcPr>
          <w:p>
            <w:pPr>
              <w:spacing w:after="0"/>
              <w:rPr>
                <w:sz w:val="1"/>
                <w:szCs w:val="1"/>
                <w:color w:val="auto"/>
              </w:rPr>
            </w:pPr>
          </w:p>
        </w:tc>
      </w:tr>
      <w:tr>
        <w:trPr>
          <w:trHeight w:val="199"/>
        </w:trPr>
        <w:tc>
          <w:tcPr>
            <w:tcW w:w="4740" w:type="dxa"/>
            <w:vAlign w:val="bottom"/>
          </w:tcPr>
          <w:p>
            <w:pPr>
              <w:ind w:left="80"/>
              <w:spacing w:after="0"/>
              <w:rPr>
                <w:sz w:val="20"/>
                <w:szCs w:val="20"/>
                <w:color w:val="auto"/>
              </w:rPr>
            </w:pPr>
            <w:r>
              <w:rPr>
                <w:rFonts w:ascii="Arial" w:cs="Arial" w:eastAsia="Arial" w:hAnsi="Arial"/>
                <w:sz w:val="14"/>
                <w:szCs w:val="14"/>
                <w:b w:val="1"/>
                <w:bCs w:val="1"/>
                <w:color w:val="auto"/>
              </w:rPr>
              <w:t>Douglas Bowser</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740" w:type="dxa"/>
            <w:vAlign w:val="bottom"/>
          </w:tcPr>
          <w:p>
            <w:pPr>
              <w:ind w:left="80"/>
              <w:spacing w:after="0"/>
              <w:rPr>
                <w:sz w:val="20"/>
                <w:szCs w:val="20"/>
                <w:color w:val="auto"/>
              </w:rPr>
            </w:pPr>
            <w:r>
              <w:rPr>
                <w:rFonts w:ascii="Arial" w:cs="Arial" w:eastAsia="Arial" w:hAnsi="Arial"/>
                <w:sz w:val="14"/>
                <w:szCs w:val="14"/>
                <w:color w:val="auto"/>
              </w:rPr>
              <w:t>Former President and Chief Operating Officer of Nintendo of America,</w:t>
            </w: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80"/>
              <w:spacing w:after="0"/>
              <w:rPr>
                <w:sz w:val="20"/>
                <w:szCs w:val="20"/>
                <w:color w:val="auto"/>
              </w:rPr>
            </w:pPr>
            <w:r>
              <w:rPr>
                <w:rFonts w:ascii="Arial" w:cs="Arial" w:eastAsia="Arial" w:hAnsi="Arial"/>
                <w:sz w:val="14"/>
                <w:szCs w:val="14"/>
                <w:color w:val="auto"/>
              </w:rPr>
              <w:t>Inc.</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64</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2026</w:t>
            </w:r>
          </w:p>
        </w:tc>
        <w:tc>
          <w:tcPr>
            <w:tcW w:w="12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740" w:type="dxa"/>
            <w:vAlign w:val="bottom"/>
            <w:tcBorders>
              <w:bottom w:val="single" w:sz="8" w:color="009BDE"/>
            </w:tcBorders>
          </w:tcPr>
          <w:p>
            <w:pPr>
              <w:spacing w:after="0"/>
              <w:rPr>
                <w:sz w:val="3"/>
                <w:szCs w:val="3"/>
                <w:color w:val="auto"/>
              </w:rPr>
            </w:pPr>
          </w:p>
        </w:tc>
        <w:tc>
          <w:tcPr>
            <w:tcW w:w="840" w:type="dxa"/>
            <w:vAlign w:val="bottom"/>
            <w:tcBorders>
              <w:bottom w:val="single" w:sz="8" w:color="009BDE"/>
            </w:tcBorders>
          </w:tcPr>
          <w:p>
            <w:pPr>
              <w:spacing w:after="0"/>
              <w:rPr>
                <w:sz w:val="3"/>
                <w:szCs w:val="3"/>
                <w:color w:val="auto"/>
              </w:rPr>
            </w:pPr>
          </w:p>
        </w:tc>
        <w:tc>
          <w:tcPr>
            <w:tcW w:w="900" w:type="dxa"/>
            <w:vAlign w:val="bottom"/>
            <w:tcBorders>
              <w:bottom w:val="single" w:sz="8" w:color="009BDE"/>
            </w:tcBorders>
          </w:tcPr>
          <w:p>
            <w:pPr>
              <w:spacing w:after="0"/>
              <w:rPr>
                <w:sz w:val="3"/>
                <w:szCs w:val="3"/>
                <w:color w:val="auto"/>
              </w:rPr>
            </w:pPr>
          </w:p>
        </w:tc>
        <w:tc>
          <w:tcPr>
            <w:tcW w:w="1200" w:type="dxa"/>
            <w:vAlign w:val="bottom"/>
            <w:tcBorders>
              <w:bottom w:val="single" w:sz="8" w:color="009BDE"/>
            </w:tcBorders>
          </w:tcPr>
          <w:p>
            <w:pPr>
              <w:spacing w:after="0"/>
              <w:rPr>
                <w:sz w:val="3"/>
                <w:szCs w:val="3"/>
                <w:color w:val="auto"/>
              </w:rPr>
            </w:pPr>
          </w:p>
        </w:tc>
        <w:tc>
          <w:tcPr>
            <w:tcW w:w="720" w:type="dxa"/>
            <w:vAlign w:val="bottom"/>
            <w:tcBorders>
              <w:bottom w:val="single" w:sz="8" w:color="009BDE"/>
            </w:tcBorders>
          </w:tcPr>
          <w:p>
            <w:pPr>
              <w:spacing w:after="0"/>
              <w:rPr>
                <w:sz w:val="3"/>
                <w:szCs w:val="3"/>
                <w:color w:val="auto"/>
              </w:rPr>
            </w:pPr>
          </w:p>
        </w:tc>
        <w:tc>
          <w:tcPr>
            <w:tcW w:w="780" w:type="dxa"/>
            <w:vAlign w:val="bottom"/>
            <w:tcBorders>
              <w:bottom w:val="single" w:sz="8" w:color="009BDE"/>
            </w:tcBorders>
          </w:tcPr>
          <w:p>
            <w:pPr>
              <w:spacing w:after="0"/>
              <w:rPr>
                <w:sz w:val="3"/>
                <w:szCs w:val="3"/>
                <w:color w:val="auto"/>
              </w:rPr>
            </w:pPr>
          </w:p>
        </w:tc>
        <w:tc>
          <w:tcPr>
            <w:tcW w:w="1740" w:type="dxa"/>
            <w:vAlign w:val="bottom"/>
            <w:tcBorders>
              <w:bottom w:val="single" w:sz="8" w:color="009BDE"/>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80"/>
              <w:spacing w:after="0"/>
              <w:rPr>
                <w:sz w:val="20"/>
                <w:szCs w:val="20"/>
                <w:color w:val="auto"/>
              </w:rPr>
            </w:pPr>
            <w:r>
              <w:rPr>
                <w:rFonts w:ascii="Arial" w:cs="Arial" w:eastAsia="Arial" w:hAnsi="Arial"/>
                <w:sz w:val="14"/>
                <w:szCs w:val="14"/>
                <w:b w:val="1"/>
                <w:bCs w:val="1"/>
                <w:color w:val="auto"/>
              </w:rPr>
              <w:t>Hope F. Cochran</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80"/>
              <w:spacing w:after="0"/>
              <w:rPr>
                <w:sz w:val="20"/>
                <w:szCs w:val="20"/>
                <w:color w:val="auto"/>
              </w:rPr>
            </w:pPr>
            <w:r>
              <w:rPr>
                <w:rFonts w:ascii="Arial" w:cs="Arial" w:eastAsia="Arial" w:hAnsi="Arial"/>
                <w:sz w:val="14"/>
                <w:szCs w:val="14"/>
                <w:color w:val="auto"/>
              </w:rPr>
              <w:t>Venture Partner of Madrona Venture Group</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54</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2016</w:t>
            </w:r>
          </w:p>
        </w:tc>
        <w:tc>
          <w:tcPr>
            <w:tcW w:w="12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740" w:type="dxa"/>
            <w:vAlign w:val="bottom"/>
            <w:tcBorders>
              <w:bottom w:val="single" w:sz="8" w:color="009BDE"/>
            </w:tcBorders>
          </w:tcPr>
          <w:p>
            <w:pPr>
              <w:spacing w:after="0"/>
              <w:rPr>
                <w:sz w:val="3"/>
                <w:szCs w:val="3"/>
                <w:color w:val="auto"/>
              </w:rPr>
            </w:pPr>
          </w:p>
        </w:tc>
        <w:tc>
          <w:tcPr>
            <w:tcW w:w="840" w:type="dxa"/>
            <w:vAlign w:val="bottom"/>
            <w:tcBorders>
              <w:bottom w:val="single" w:sz="8" w:color="009BDE"/>
            </w:tcBorders>
          </w:tcPr>
          <w:p>
            <w:pPr>
              <w:spacing w:after="0"/>
              <w:rPr>
                <w:sz w:val="3"/>
                <w:szCs w:val="3"/>
                <w:color w:val="auto"/>
              </w:rPr>
            </w:pPr>
          </w:p>
        </w:tc>
        <w:tc>
          <w:tcPr>
            <w:tcW w:w="900" w:type="dxa"/>
            <w:vAlign w:val="bottom"/>
            <w:tcBorders>
              <w:bottom w:val="single" w:sz="8" w:color="009BDE"/>
            </w:tcBorders>
          </w:tcPr>
          <w:p>
            <w:pPr>
              <w:spacing w:after="0"/>
              <w:rPr>
                <w:sz w:val="3"/>
                <w:szCs w:val="3"/>
                <w:color w:val="auto"/>
              </w:rPr>
            </w:pPr>
          </w:p>
        </w:tc>
        <w:tc>
          <w:tcPr>
            <w:tcW w:w="1200" w:type="dxa"/>
            <w:vAlign w:val="bottom"/>
            <w:tcBorders>
              <w:bottom w:val="single" w:sz="8" w:color="009BDE"/>
            </w:tcBorders>
          </w:tcPr>
          <w:p>
            <w:pPr>
              <w:spacing w:after="0"/>
              <w:rPr>
                <w:sz w:val="3"/>
                <w:szCs w:val="3"/>
                <w:color w:val="auto"/>
              </w:rPr>
            </w:pPr>
          </w:p>
        </w:tc>
        <w:tc>
          <w:tcPr>
            <w:tcW w:w="720" w:type="dxa"/>
            <w:vAlign w:val="bottom"/>
            <w:tcBorders>
              <w:bottom w:val="single" w:sz="8" w:color="009BDE"/>
            </w:tcBorders>
          </w:tcPr>
          <w:p>
            <w:pPr>
              <w:spacing w:after="0"/>
              <w:rPr>
                <w:sz w:val="3"/>
                <w:szCs w:val="3"/>
                <w:color w:val="auto"/>
              </w:rPr>
            </w:pPr>
          </w:p>
        </w:tc>
        <w:tc>
          <w:tcPr>
            <w:tcW w:w="780" w:type="dxa"/>
            <w:vAlign w:val="bottom"/>
            <w:tcBorders>
              <w:bottom w:val="single" w:sz="8" w:color="009BDE"/>
            </w:tcBorders>
          </w:tcPr>
          <w:p>
            <w:pPr>
              <w:spacing w:after="0"/>
              <w:rPr>
                <w:sz w:val="3"/>
                <w:szCs w:val="3"/>
                <w:color w:val="auto"/>
              </w:rPr>
            </w:pPr>
          </w:p>
        </w:tc>
        <w:tc>
          <w:tcPr>
            <w:tcW w:w="1740" w:type="dxa"/>
            <w:vAlign w:val="bottom"/>
            <w:tcBorders>
              <w:bottom w:val="single" w:sz="8" w:color="009BDE"/>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80"/>
              <w:spacing w:after="0"/>
              <w:rPr>
                <w:sz w:val="20"/>
                <w:szCs w:val="20"/>
                <w:color w:val="auto"/>
              </w:rPr>
            </w:pPr>
            <w:r>
              <w:rPr>
                <w:rFonts w:ascii="Arial" w:cs="Arial" w:eastAsia="Arial" w:hAnsi="Arial"/>
                <w:sz w:val="14"/>
                <w:szCs w:val="14"/>
                <w:b w:val="1"/>
                <w:bCs w:val="1"/>
                <w:color w:val="auto"/>
              </w:rPr>
              <w:t>Christian P. Cocks</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40" w:type="dxa"/>
            <w:vAlign w:val="bottom"/>
          </w:tcPr>
          <w:p>
            <w:pPr>
              <w:ind w:left="80"/>
              <w:spacing w:after="0"/>
              <w:rPr>
                <w:sz w:val="20"/>
                <w:szCs w:val="20"/>
                <w:color w:val="auto"/>
              </w:rPr>
            </w:pPr>
            <w:r>
              <w:rPr>
                <w:rFonts w:ascii="Arial" w:cs="Arial" w:eastAsia="Arial" w:hAnsi="Arial"/>
                <w:sz w:val="14"/>
                <w:szCs w:val="14"/>
                <w:color w:val="auto"/>
              </w:rPr>
              <w:t>Chief Executive Officer of Hasbro</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52</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2022</w:t>
            </w: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740" w:type="dxa"/>
            <w:vAlign w:val="bottom"/>
            <w:tcBorders>
              <w:bottom w:val="single" w:sz="8" w:color="009BDE"/>
            </w:tcBorders>
          </w:tcPr>
          <w:p>
            <w:pPr>
              <w:spacing w:after="0"/>
              <w:rPr>
                <w:sz w:val="4"/>
                <w:szCs w:val="4"/>
                <w:color w:val="auto"/>
              </w:rPr>
            </w:pPr>
          </w:p>
        </w:tc>
        <w:tc>
          <w:tcPr>
            <w:tcW w:w="840" w:type="dxa"/>
            <w:vAlign w:val="bottom"/>
            <w:tcBorders>
              <w:bottom w:val="single" w:sz="8" w:color="009BDE"/>
            </w:tcBorders>
          </w:tcPr>
          <w:p>
            <w:pPr>
              <w:spacing w:after="0"/>
              <w:rPr>
                <w:sz w:val="4"/>
                <w:szCs w:val="4"/>
                <w:color w:val="auto"/>
              </w:rPr>
            </w:pPr>
          </w:p>
        </w:tc>
        <w:tc>
          <w:tcPr>
            <w:tcW w:w="900" w:type="dxa"/>
            <w:vAlign w:val="bottom"/>
            <w:tcBorders>
              <w:bottom w:val="single" w:sz="8" w:color="009BDE"/>
            </w:tcBorders>
          </w:tcPr>
          <w:p>
            <w:pPr>
              <w:spacing w:after="0"/>
              <w:rPr>
                <w:sz w:val="4"/>
                <w:szCs w:val="4"/>
                <w:color w:val="auto"/>
              </w:rPr>
            </w:pPr>
          </w:p>
        </w:tc>
        <w:tc>
          <w:tcPr>
            <w:tcW w:w="1200" w:type="dxa"/>
            <w:vAlign w:val="bottom"/>
            <w:tcBorders>
              <w:bottom w:val="single" w:sz="8" w:color="009BDE"/>
            </w:tcBorders>
          </w:tcPr>
          <w:p>
            <w:pPr>
              <w:spacing w:after="0"/>
              <w:rPr>
                <w:sz w:val="4"/>
                <w:szCs w:val="4"/>
                <w:color w:val="auto"/>
              </w:rPr>
            </w:pPr>
          </w:p>
        </w:tc>
        <w:tc>
          <w:tcPr>
            <w:tcW w:w="720" w:type="dxa"/>
            <w:vAlign w:val="bottom"/>
            <w:tcBorders>
              <w:bottom w:val="single" w:sz="8" w:color="009BDE"/>
            </w:tcBorders>
          </w:tcPr>
          <w:p>
            <w:pPr>
              <w:spacing w:after="0"/>
              <w:rPr>
                <w:sz w:val="4"/>
                <w:szCs w:val="4"/>
                <w:color w:val="auto"/>
              </w:rPr>
            </w:pPr>
          </w:p>
        </w:tc>
        <w:tc>
          <w:tcPr>
            <w:tcW w:w="780" w:type="dxa"/>
            <w:vAlign w:val="bottom"/>
            <w:tcBorders>
              <w:bottom w:val="single" w:sz="8" w:color="009BDE"/>
            </w:tcBorders>
          </w:tcPr>
          <w:p>
            <w:pPr>
              <w:spacing w:after="0"/>
              <w:rPr>
                <w:sz w:val="4"/>
                <w:szCs w:val="4"/>
                <w:color w:val="auto"/>
              </w:rPr>
            </w:pPr>
          </w:p>
        </w:tc>
        <w:tc>
          <w:tcPr>
            <w:tcW w:w="174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80"/>
              <w:spacing w:after="0"/>
              <w:rPr>
                <w:sz w:val="20"/>
                <w:szCs w:val="20"/>
                <w:color w:val="auto"/>
              </w:rPr>
            </w:pPr>
            <w:r>
              <w:rPr>
                <w:rFonts w:ascii="Arial" w:cs="Arial" w:eastAsia="Arial" w:hAnsi="Arial"/>
                <w:sz w:val="14"/>
                <w:szCs w:val="14"/>
                <w:b w:val="1"/>
                <w:bCs w:val="1"/>
                <w:color w:val="auto"/>
              </w:rPr>
              <w:t>Lisa Gersh</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80"/>
              <w:spacing w:after="0"/>
              <w:rPr>
                <w:sz w:val="20"/>
                <w:szCs w:val="20"/>
                <w:color w:val="auto"/>
              </w:rPr>
            </w:pPr>
            <w:r>
              <w:rPr>
                <w:rFonts w:ascii="Arial" w:cs="Arial" w:eastAsia="Arial" w:hAnsi="Arial"/>
                <w:sz w:val="14"/>
                <w:szCs w:val="14"/>
                <w:color w:val="auto"/>
              </w:rPr>
              <w:t>Outside Advisor; Former Chief Executive Officer of Alexander Wang</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67</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2010</w:t>
            </w:r>
          </w:p>
        </w:tc>
        <w:tc>
          <w:tcPr>
            <w:tcW w:w="12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740" w:type="dxa"/>
            <w:vAlign w:val="bottom"/>
            <w:tcBorders>
              <w:bottom w:val="single" w:sz="8" w:color="009BDE"/>
            </w:tcBorders>
          </w:tcPr>
          <w:p>
            <w:pPr>
              <w:spacing w:after="0"/>
              <w:rPr>
                <w:sz w:val="3"/>
                <w:szCs w:val="3"/>
                <w:color w:val="auto"/>
              </w:rPr>
            </w:pPr>
          </w:p>
        </w:tc>
        <w:tc>
          <w:tcPr>
            <w:tcW w:w="840" w:type="dxa"/>
            <w:vAlign w:val="bottom"/>
            <w:tcBorders>
              <w:bottom w:val="single" w:sz="8" w:color="009BDE"/>
            </w:tcBorders>
          </w:tcPr>
          <w:p>
            <w:pPr>
              <w:spacing w:after="0"/>
              <w:rPr>
                <w:sz w:val="3"/>
                <w:szCs w:val="3"/>
                <w:color w:val="auto"/>
              </w:rPr>
            </w:pPr>
          </w:p>
        </w:tc>
        <w:tc>
          <w:tcPr>
            <w:tcW w:w="900" w:type="dxa"/>
            <w:vAlign w:val="bottom"/>
            <w:tcBorders>
              <w:bottom w:val="single" w:sz="8" w:color="009BDE"/>
            </w:tcBorders>
          </w:tcPr>
          <w:p>
            <w:pPr>
              <w:spacing w:after="0"/>
              <w:rPr>
                <w:sz w:val="3"/>
                <w:szCs w:val="3"/>
                <w:color w:val="auto"/>
              </w:rPr>
            </w:pPr>
          </w:p>
        </w:tc>
        <w:tc>
          <w:tcPr>
            <w:tcW w:w="1200" w:type="dxa"/>
            <w:vAlign w:val="bottom"/>
            <w:tcBorders>
              <w:bottom w:val="single" w:sz="8" w:color="009BDE"/>
            </w:tcBorders>
          </w:tcPr>
          <w:p>
            <w:pPr>
              <w:spacing w:after="0"/>
              <w:rPr>
                <w:sz w:val="3"/>
                <w:szCs w:val="3"/>
                <w:color w:val="auto"/>
              </w:rPr>
            </w:pPr>
          </w:p>
        </w:tc>
        <w:tc>
          <w:tcPr>
            <w:tcW w:w="720" w:type="dxa"/>
            <w:vAlign w:val="bottom"/>
            <w:tcBorders>
              <w:bottom w:val="single" w:sz="8" w:color="009BDE"/>
            </w:tcBorders>
          </w:tcPr>
          <w:p>
            <w:pPr>
              <w:spacing w:after="0"/>
              <w:rPr>
                <w:sz w:val="3"/>
                <w:szCs w:val="3"/>
                <w:color w:val="auto"/>
              </w:rPr>
            </w:pPr>
          </w:p>
        </w:tc>
        <w:tc>
          <w:tcPr>
            <w:tcW w:w="780" w:type="dxa"/>
            <w:vAlign w:val="bottom"/>
            <w:tcBorders>
              <w:bottom w:val="single" w:sz="8" w:color="009BDE"/>
            </w:tcBorders>
          </w:tcPr>
          <w:p>
            <w:pPr>
              <w:spacing w:after="0"/>
              <w:rPr>
                <w:sz w:val="3"/>
                <w:szCs w:val="3"/>
                <w:color w:val="auto"/>
              </w:rPr>
            </w:pPr>
          </w:p>
        </w:tc>
        <w:tc>
          <w:tcPr>
            <w:tcW w:w="1740" w:type="dxa"/>
            <w:vAlign w:val="bottom"/>
            <w:tcBorders>
              <w:bottom w:val="single" w:sz="8" w:color="009BDE"/>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80"/>
              <w:spacing w:after="0"/>
              <w:rPr>
                <w:sz w:val="20"/>
                <w:szCs w:val="20"/>
                <w:color w:val="auto"/>
              </w:rPr>
            </w:pPr>
            <w:r>
              <w:rPr>
                <w:rFonts w:ascii="Arial" w:cs="Arial" w:eastAsia="Arial" w:hAnsi="Arial"/>
                <w:sz w:val="14"/>
                <w:szCs w:val="14"/>
                <w:b w:val="1"/>
                <w:bCs w:val="1"/>
                <w:color w:val="auto"/>
              </w:rPr>
              <w:t>Frank D. Gibeau</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80"/>
              <w:spacing w:after="0"/>
              <w:rPr>
                <w:sz w:val="20"/>
                <w:szCs w:val="20"/>
                <w:color w:val="auto"/>
              </w:rPr>
            </w:pPr>
            <w:r>
              <w:rPr>
                <w:rFonts w:ascii="Arial" w:cs="Arial" w:eastAsia="Arial" w:hAnsi="Arial"/>
                <w:sz w:val="14"/>
                <w:szCs w:val="14"/>
                <w:color w:val="auto"/>
              </w:rPr>
              <w:t>President of Zynga at Take-Two Interactive</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57</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2024</w:t>
            </w:r>
          </w:p>
        </w:tc>
        <w:tc>
          <w:tcPr>
            <w:tcW w:w="12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740" w:type="dxa"/>
            <w:vAlign w:val="bottom"/>
            <w:tcBorders>
              <w:bottom w:val="single" w:sz="8" w:color="009BDE"/>
            </w:tcBorders>
          </w:tcPr>
          <w:p>
            <w:pPr>
              <w:spacing w:after="0"/>
              <w:rPr>
                <w:sz w:val="3"/>
                <w:szCs w:val="3"/>
                <w:color w:val="auto"/>
              </w:rPr>
            </w:pPr>
          </w:p>
        </w:tc>
        <w:tc>
          <w:tcPr>
            <w:tcW w:w="840" w:type="dxa"/>
            <w:vAlign w:val="bottom"/>
            <w:tcBorders>
              <w:bottom w:val="single" w:sz="8" w:color="009BDE"/>
            </w:tcBorders>
          </w:tcPr>
          <w:p>
            <w:pPr>
              <w:spacing w:after="0"/>
              <w:rPr>
                <w:sz w:val="3"/>
                <w:szCs w:val="3"/>
                <w:color w:val="auto"/>
              </w:rPr>
            </w:pPr>
          </w:p>
        </w:tc>
        <w:tc>
          <w:tcPr>
            <w:tcW w:w="900" w:type="dxa"/>
            <w:vAlign w:val="bottom"/>
            <w:tcBorders>
              <w:bottom w:val="single" w:sz="8" w:color="009BDE"/>
            </w:tcBorders>
          </w:tcPr>
          <w:p>
            <w:pPr>
              <w:spacing w:after="0"/>
              <w:rPr>
                <w:sz w:val="3"/>
                <w:szCs w:val="3"/>
                <w:color w:val="auto"/>
              </w:rPr>
            </w:pPr>
          </w:p>
        </w:tc>
        <w:tc>
          <w:tcPr>
            <w:tcW w:w="1200" w:type="dxa"/>
            <w:vAlign w:val="bottom"/>
            <w:tcBorders>
              <w:bottom w:val="single" w:sz="8" w:color="009BDE"/>
            </w:tcBorders>
          </w:tcPr>
          <w:p>
            <w:pPr>
              <w:spacing w:after="0"/>
              <w:rPr>
                <w:sz w:val="3"/>
                <w:szCs w:val="3"/>
                <w:color w:val="auto"/>
              </w:rPr>
            </w:pPr>
          </w:p>
        </w:tc>
        <w:tc>
          <w:tcPr>
            <w:tcW w:w="720" w:type="dxa"/>
            <w:vAlign w:val="bottom"/>
            <w:tcBorders>
              <w:bottom w:val="single" w:sz="8" w:color="009BDE"/>
            </w:tcBorders>
          </w:tcPr>
          <w:p>
            <w:pPr>
              <w:spacing w:after="0"/>
              <w:rPr>
                <w:sz w:val="3"/>
                <w:szCs w:val="3"/>
                <w:color w:val="auto"/>
              </w:rPr>
            </w:pPr>
          </w:p>
        </w:tc>
        <w:tc>
          <w:tcPr>
            <w:tcW w:w="780" w:type="dxa"/>
            <w:vAlign w:val="bottom"/>
            <w:tcBorders>
              <w:bottom w:val="single" w:sz="8" w:color="009BDE"/>
            </w:tcBorders>
          </w:tcPr>
          <w:p>
            <w:pPr>
              <w:spacing w:after="0"/>
              <w:rPr>
                <w:sz w:val="3"/>
                <w:szCs w:val="3"/>
                <w:color w:val="auto"/>
              </w:rPr>
            </w:pPr>
          </w:p>
        </w:tc>
        <w:tc>
          <w:tcPr>
            <w:tcW w:w="1740" w:type="dxa"/>
            <w:vAlign w:val="bottom"/>
            <w:tcBorders>
              <w:bottom w:val="single" w:sz="8" w:color="009BDE"/>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80"/>
              <w:spacing w:after="0"/>
              <w:rPr>
                <w:sz w:val="20"/>
                <w:szCs w:val="20"/>
                <w:color w:val="auto"/>
              </w:rPr>
            </w:pPr>
            <w:r>
              <w:rPr>
                <w:rFonts w:ascii="Arial" w:cs="Arial" w:eastAsia="Arial" w:hAnsi="Arial"/>
                <w:sz w:val="14"/>
                <w:szCs w:val="14"/>
                <w:b w:val="1"/>
                <w:bCs w:val="1"/>
                <w:color w:val="auto"/>
              </w:rPr>
              <w:t>Elizabeth Hamren</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80"/>
              <w:spacing w:after="0"/>
              <w:rPr>
                <w:sz w:val="20"/>
                <w:szCs w:val="20"/>
                <w:color w:val="auto"/>
              </w:rPr>
            </w:pPr>
            <w:r>
              <w:rPr>
                <w:rFonts w:ascii="Arial" w:cs="Arial" w:eastAsia="Arial" w:hAnsi="Arial"/>
                <w:sz w:val="14"/>
                <w:szCs w:val="14"/>
                <w:color w:val="auto"/>
              </w:rPr>
              <w:t>Chief Executive Officer of AllTrails, LLC</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54</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2022</w:t>
            </w:r>
          </w:p>
        </w:tc>
        <w:tc>
          <w:tcPr>
            <w:tcW w:w="12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740" w:type="dxa"/>
            <w:vAlign w:val="bottom"/>
            <w:tcBorders>
              <w:bottom w:val="single" w:sz="8" w:color="009BDE"/>
            </w:tcBorders>
          </w:tcPr>
          <w:p>
            <w:pPr>
              <w:spacing w:after="0"/>
              <w:rPr>
                <w:sz w:val="3"/>
                <w:szCs w:val="3"/>
                <w:color w:val="auto"/>
              </w:rPr>
            </w:pPr>
          </w:p>
        </w:tc>
        <w:tc>
          <w:tcPr>
            <w:tcW w:w="840" w:type="dxa"/>
            <w:vAlign w:val="bottom"/>
            <w:tcBorders>
              <w:bottom w:val="single" w:sz="8" w:color="009BDE"/>
            </w:tcBorders>
          </w:tcPr>
          <w:p>
            <w:pPr>
              <w:spacing w:after="0"/>
              <w:rPr>
                <w:sz w:val="3"/>
                <w:szCs w:val="3"/>
                <w:color w:val="auto"/>
              </w:rPr>
            </w:pPr>
          </w:p>
        </w:tc>
        <w:tc>
          <w:tcPr>
            <w:tcW w:w="900" w:type="dxa"/>
            <w:vAlign w:val="bottom"/>
            <w:tcBorders>
              <w:bottom w:val="single" w:sz="8" w:color="009BDE"/>
            </w:tcBorders>
          </w:tcPr>
          <w:p>
            <w:pPr>
              <w:spacing w:after="0"/>
              <w:rPr>
                <w:sz w:val="3"/>
                <w:szCs w:val="3"/>
                <w:color w:val="auto"/>
              </w:rPr>
            </w:pPr>
          </w:p>
        </w:tc>
        <w:tc>
          <w:tcPr>
            <w:tcW w:w="1200" w:type="dxa"/>
            <w:vAlign w:val="bottom"/>
            <w:tcBorders>
              <w:bottom w:val="single" w:sz="8" w:color="009BDE"/>
            </w:tcBorders>
          </w:tcPr>
          <w:p>
            <w:pPr>
              <w:spacing w:after="0"/>
              <w:rPr>
                <w:sz w:val="3"/>
                <w:szCs w:val="3"/>
                <w:color w:val="auto"/>
              </w:rPr>
            </w:pPr>
          </w:p>
        </w:tc>
        <w:tc>
          <w:tcPr>
            <w:tcW w:w="720" w:type="dxa"/>
            <w:vAlign w:val="bottom"/>
            <w:tcBorders>
              <w:bottom w:val="single" w:sz="8" w:color="009BDE"/>
            </w:tcBorders>
          </w:tcPr>
          <w:p>
            <w:pPr>
              <w:spacing w:after="0"/>
              <w:rPr>
                <w:sz w:val="3"/>
                <w:szCs w:val="3"/>
                <w:color w:val="auto"/>
              </w:rPr>
            </w:pPr>
          </w:p>
        </w:tc>
        <w:tc>
          <w:tcPr>
            <w:tcW w:w="780" w:type="dxa"/>
            <w:vAlign w:val="bottom"/>
            <w:tcBorders>
              <w:bottom w:val="single" w:sz="8" w:color="009BDE"/>
            </w:tcBorders>
          </w:tcPr>
          <w:p>
            <w:pPr>
              <w:spacing w:after="0"/>
              <w:rPr>
                <w:sz w:val="3"/>
                <w:szCs w:val="3"/>
                <w:color w:val="auto"/>
              </w:rPr>
            </w:pPr>
          </w:p>
        </w:tc>
        <w:tc>
          <w:tcPr>
            <w:tcW w:w="1740" w:type="dxa"/>
            <w:vAlign w:val="bottom"/>
            <w:tcBorders>
              <w:bottom w:val="single" w:sz="8" w:color="009BDE"/>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80"/>
              <w:spacing w:after="0"/>
              <w:rPr>
                <w:sz w:val="20"/>
                <w:szCs w:val="20"/>
                <w:color w:val="auto"/>
              </w:rPr>
            </w:pPr>
            <w:r>
              <w:rPr>
                <w:rFonts w:ascii="Arial" w:cs="Arial" w:eastAsia="Arial" w:hAnsi="Arial"/>
                <w:sz w:val="14"/>
                <w:szCs w:val="14"/>
                <w:b w:val="1"/>
                <w:bCs w:val="1"/>
                <w:color w:val="auto"/>
              </w:rPr>
              <w:t>Darin S. Harris</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80"/>
              <w:spacing w:after="0"/>
              <w:rPr>
                <w:sz w:val="20"/>
                <w:szCs w:val="20"/>
                <w:color w:val="auto"/>
              </w:rPr>
            </w:pPr>
            <w:r>
              <w:rPr>
                <w:rFonts w:ascii="Arial" w:cs="Arial" w:eastAsia="Arial" w:hAnsi="Arial"/>
                <w:sz w:val="14"/>
                <w:szCs w:val="14"/>
                <w:color w:val="auto"/>
              </w:rPr>
              <w:t>Chief Executive Officer of Goddard Systems, LLC</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57</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2024</w:t>
            </w:r>
          </w:p>
        </w:tc>
        <w:tc>
          <w:tcPr>
            <w:tcW w:w="12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740" w:type="dxa"/>
            <w:vAlign w:val="bottom"/>
            <w:tcBorders>
              <w:bottom w:val="single" w:sz="8" w:color="009BDE"/>
            </w:tcBorders>
          </w:tcPr>
          <w:p>
            <w:pPr>
              <w:spacing w:after="0"/>
              <w:rPr>
                <w:sz w:val="3"/>
                <w:szCs w:val="3"/>
                <w:color w:val="auto"/>
              </w:rPr>
            </w:pPr>
          </w:p>
        </w:tc>
        <w:tc>
          <w:tcPr>
            <w:tcW w:w="840" w:type="dxa"/>
            <w:vAlign w:val="bottom"/>
            <w:tcBorders>
              <w:bottom w:val="single" w:sz="8" w:color="009BDE"/>
            </w:tcBorders>
          </w:tcPr>
          <w:p>
            <w:pPr>
              <w:spacing w:after="0"/>
              <w:rPr>
                <w:sz w:val="3"/>
                <w:szCs w:val="3"/>
                <w:color w:val="auto"/>
              </w:rPr>
            </w:pPr>
          </w:p>
        </w:tc>
        <w:tc>
          <w:tcPr>
            <w:tcW w:w="900" w:type="dxa"/>
            <w:vAlign w:val="bottom"/>
            <w:tcBorders>
              <w:bottom w:val="single" w:sz="8" w:color="009BDE"/>
            </w:tcBorders>
          </w:tcPr>
          <w:p>
            <w:pPr>
              <w:spacing w:after="0"/>
              <w:rPr>
                <w:sz w:val="3"/>
                <w:szCs w:val="3"/>
                <w:color w:val="auto"/>
              </w:rPr>
            </w:pPr>
          </w:p>
        </w:tc>
        <w:tc>
          <w:tcPr>
            <w:tcW w:w="1200" w:type="dxa"/>
            <w:vAlign w:val="bottom"/>
            <w:tcBorders>
              <w:bottom w:val="single" w:sz="8" w:color="009BDE"/>
            </w:tcBorders>
          </w:tcPr>
          <w:p>
            <w:pPr>
              <w:spacing w:after="0"/>
              <w:rPr>
                <w:sz w:val="3"/>
                <w:szCs w:val="3"/>
                <w:color w:val="auto"/>
              </w:rPr>
            </w:pPr>
          </w:p>
        </w:tc>
        <w:tc>
          <w:tcPr>
            <w:tcW w:w="720" w:type="dxa"/>
            <w:vAlign w:val="bottom"/>
            <w:tcBorders>
              <w:bottom w:val="single" w:sz="8" w:color="009BDE"/>
            </w:tcBorders>
          </w:tcPr>
          <w:p>
            <w:pPr>
              <w:spacing w:after="0"/>
              <w:rPr>
                <w:sz w:val="3"/>
                <w:szCs w:val="3"/>
                <w:color w:val="auto"/>
              </w:rPr>
            </w:pPr>
          </w:p>
        </w:tc>
        <w:tc>
          <w:tcPr>
            <w:tcW w:w="780" w:type="dxa"/>
            <w:vAlign w:val="bottom"/>
            <w:tcBorders>
              <w:bottom w:val="single" w:sz="8" w:color="009BDE"/>
            </w:tcBorders>
          </w:tcPr>
          <w:p>
            <w:pPr>
              <w:spacing w:after="0"/>
              <w:rPr>
                <w:sz w:val="3"/>
                <w:szCs w:val="3"/>
                <w:color w:val="auto"/>
              </w:rPr>
            </w:pPr>
          </w:p>
        </w:tc>
        <w:tc>
          <w:tcPr>
            <w:tcW w:w="1740" w:type="dxa"/>
            <w:vAlign w:val="bottom"/>
            <w:tcBorders>
              <w:bottom w:val="single" w:sz="8" w:color="009BDE"/>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80"/>
              <w:spacing w:after="0"/>
              <w:rPr>
                <w:sz w:val="20"/>
                <w:szCs w:val="20"/>
                <w:color w:val="auto"/>
              </w:rPr>
            </w:pPr>
            <w:r>
              <w:rPr>
                <w:rFonts w:ascii="Arial" w:cs="Arial" w:eastAsia="Arial" w:hAnsi="Arial"/>
                <w:sz w:val="14"/>
                <w:szCs w:val="14"/>
                <w:b w:val="1"/>
                <w:bCs w:val="1"/>
                <w:color w:val="auto"/>
              </w:rPr>
              <w:t>Owen Mahoney</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80"/>
              <w:spacing w:after="0"/>
              <w:rPr>
                <w:sz w:val="20"/>
                <w:szCs w:val="20"/>
                <w:color w:val="auto"/>
              </w:rPr>
            </w:pPr>
            <w:r>
              <w:rPr>
                <w:rFonts w:ascii="Arial" w:cs="Arial" w:eastAsia="Arial" w:hAnsi="Arial"/>
                <w:sz w:val="14"/>
                <w:szCs w:val="14"/>
                <w:color w:val="auto"/>
              </w:rPr>
              <w:t>Former Chief Executive Officer and President of Nexon Co. Ltd.</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59</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2024</w:t>
            </w:r>
          </w:p>
        </w:tc>
        <w:tc>
          <w:tcPr>
            <w:tcW w:w="12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740" w:type="dxa"/>
            <w:vAlign w:val="bottom"/>
            <w:tcBorders>
              <w:bottom w:val="single" w:sz="8" w:color="009BDE"/>
            </w:tcBorders>
          </w:tcPr>
          <w:p>
            <w:pPr>
              <w:spacing w:after="0"/>
              <w:rPr>
                <w:sz w:val="3"/>
                <w:szCs w:val="3"/>
                <w:color w:val="auto"/>
              </w:rPr>
            </w:pPr>
          </w:p>
        </w:tc>
        <w:tc>
          <w:tcPr>
            <w:tcW w:w="840" w:type="dxa"/>
            <w:vAlign w:val="bottom"/>
            <w:tcBorders>
              <w:bottom w:val="single" w:sz="8" w:color="009BDE"/>
            </w:tcBorders>
          </w:tcPr>
          <w:p>
            <w:pPr>
              <w:spacing w:after="0"/>
              <w:rPr>
                <w:sz w:val="3"/>
                <w:szCs w:val="3"/>
                <w:color w:val="auto"/>
              </w:rPr>
            </w:pPr>
          </w:p>
        </w:tc>
        <w:tc>
          <w:tcPr>
            <w:tcW w:w="900" w:type="dxa"/>
            <w:vAlign w:val="bottom"/>
            <w:tcBorders>
              <w:bottom w:val="single" w:sz="8" w:color="009BDE"/>
            </w:tcBorders>
          </w:tcPr>
          <w:p>
            <w:pPr>
              <w:spacing w:after="0"/>
              <w:rPr>
                <w:sz w:val="3"/>
                <w:szCs w:val="3"/>
                <w:color w:val="auto"/>
              </w:rPr>
            </w:pPr>
          </w:p>
        </w:tc>
        <w:tc>
          <w:tcPr>
            <w:tcW w:w="1200" w:type="dxa"/>
            <w:vAlign w:val="bottom"/>
            <w:tcBorders>
              <w:bottom w:val="single" w:sz="8" w:color="009BDE"/>
            </w:tcBorders>
          </w:tcPr>
          <w:p>
            <w:pPr>
              <w:spacing w:after="0"/>
              <w:rPr>
                <w:sz w:val="3"/>
                <w:szCs w:val="3"/>
                <w:color w:val="auto"/>
              </w:rPr>
            </w:pPr>
          </w:p>
        </w:tc>
        <w:tc>
          <w:tcPr>
            <w:tcW w:w="720" w:type="dxa"/>
            <w:vAlign w:val="bottom"/>
            <w:tcBorders>
              <w:bottom w:val="single" w:sz="8" w:color="009BDE"/>
            </w:tcBorders>
          </w:tcPr>
          <w:p>
            <w:pPr>
              <w:spacing w:after="0"/>
              <w:rPr>
                <w:sz w:val="3"/>
                <w:szCs w:val="3"/>
                <w:color w:val="auto"/>
              </w:rPr>
            </w:pPr>
          </w:p>
        </w:tc>
        <w:tc>
          <w:tcPr>
            <w:tcW w:w="780" w:type="dxa"/>
            <w:vAlign w:val="bottom"/>
            <w:tcBorders>
              <w:bottom w:val="single" w:sz="8" w:color="009BDE"/>
            </w:tcBorders>
          </w:tcPr>
          <w:p>
            <w:pPr>
              <w:spacing w:after="0"/>
              <w:rPr>
                <w:sz w:val="3"/>
                <w:szCs w:val="3"/>
                <w:color w:val="auto"/>
              </w:rPr>
            </w:pPr>
          </w:p>
        </w:tc>
        <w:tc>
          <w:tcPr>
            <w:tcW w:w="1740" w:type="dxa"/>
            <w:vAlign w:val="bottom"/>
            <w:tcBorders>
              <w:bottom w:val="single" w:sz="8" w:color="009BDE"/>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80"/>
              <w:spacing w:after="0"/>
              <w:rPr>
                <w:sz w:val="20"/>
                <w:szCs w:val="20"/>
                <w:color w:val="auto"/>
              </w:rPr>
            </w:pPr>
            <w:r>
              <w:rPr>
                <w:rFonts w:ascii="Arial" w:cs="Arial" w:eastAsia="Arial" w:hAnsi="Arial"/>
                <w:sz w:val="14"/>
                <w:szCs w:val="14"/>
                <w:b w:val="1"/>
                <w:bCs w:val="1"/>
                <w:color w:val="auto"/>
              </w:rPr>
              <w:t>Laurel J. Richie</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740" w:type="dxa"/>
            <w:vAlign w:val="bottom"/>
          </w:tcPr>
          <w:p>
            <w:pPr>
              <w:ind w:left="80"/>
              <w:spacing w:after="0"/>
              <w:rPr>
                <w:sz w:val="20"/>
                <w:szCs w:val="20"/>
                <w:color w:val="auto"/>
              </w:rPr>
            </w:pPr>
            <w:r>
              <w:rPr>
                <w:rFonts w:ascii="Arial" w:cs="Arial" w:eastAsia="Arial" w:hAnsi="Arial"/>
                <w:sz w:val="14"/>
                <w:szCs w:val="14"/>
                <w:color w:val="auto"/>
              </w:rPr>
              <w:t>Independent Branding Consultant; Former President of Women’s National</w:t>
            </w: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80"/>
              <w:spacing w:after="0"/>
              <w:rPr>
                <w:sz w:val="20"/>
                <w:szCs w:val="20"/>
                <w:color w:val="auto"/>
              </w:rPr>
            </w:pPr>
            <w:r>
              <w:rPr>
                <w:rFonts w:ascii="Arial" w:cs="Arial" w:eastAsia="Arial" w:hAnsi="Arial"/>
                <w:sz w:val="14"/>
                <w:szCs w:val="14"/>
                <w:color w:val="auto"/>
              </w:rPr>
              <w:t>Basketball Association</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67</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2020</w:t>
            </w:r>
          </w:p>
        </w:tc>
        <w:tc>
          <w:tcPr>
            <w:tcW w:w="12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740" w:type="dxa"/>
            <w:vAlign w:val="bottom"/>
            <w:tcBorders>
              <w:bottom w:val="single" w:sz="8" w:color="009BDE"/>
            </w:tcBorders>
          </w:tcPr>
          <w:p>
            <w:pPr>
              <w:spacing w:after="0"/>
              <w:rPr>
                <w:sz w:val="3"/>
                <w:szCs w:val="3"/>
                <w:color w:val="auto"/>
              </w:rPr>
            </w:pPr>
          </w:p>
        </w:tc>
        <w:tc>
          <w:tcPr>
            <w:tcW w:w="840" w:type="dxa"/>
            <w:vAlign w:val="bottom"/>
            <w:tcBorders>
              <w:bottom w:val="single" w:sz="8" w:color="009BDE"/>
            </w:tcBorders>
          </w:tcPr>
          <w:p>
            <w:pPr>
              <w:spacing w:after="0"/>
              <w:rPr>
                <w:sz w:val="3"/>
                <w:szCs w:val="3"/>
                <w:color w:val="auto"/>
              </w:rPr>
            </w:pPr>
          </w:p>
        </w:tc>
        <w:tc>
          <w:tcPr>
            <w:tcW w:w="900" w:type="dxa"/>
            <w:vAlign w:val="bottom"/>
            <w:tcBorders>
              <w:bottom w:val="single" w:sz="8" w:color="009BDE"/>
            </w:tcBorders>
          </w:tcPr>
          <w:p>
            <w:pPr>
              <w:spacing w:after="0"/>
              <w:rPr>
                <w:sz w:val="3"/>
                <w:szCs w:val="3"/>
                <w:color w:val="auto"/>
              </w:rPr>
            </w:pPr>
          </w:p>
        </w:tc>
        <w:tc>
          <w:tcPr>
            <w:tcW w:w="1200" w:type="dxa"/>
            <w:vAlign w:val="bottom"/>
            <w:tcBorders>
              <w:bottom w:val="single" w:sz="8" w:color="009BDE"/>
            </w:tcBorders>
          </w:tcPr>
          <w:p>
            <w:pPr>
              <w:spacing w:after="0"/>
              <w:rPr>
                <w:sz w:val="3"/>
                <w:szCs w:val="3"/>
                <w:color w:val="auto"/>
              </w:rPr>
            </w:pPr>
          </w:p>
        </w:tc>
        <w:tc>
          <w:tcPr>
            <w:tcW w:w="720" w:type="dxa"/>
            <w:vAlign w:val="bottom"/>
            <w:tcBorders>
              <w:bottom w:val="single" w:sz="8" w:color="009BDE"/>
            </w:tcBorders>
          </w:tcPr>
          <w:p>
            <w:pPr>
              <w:spacing w:after="0"/>
              <w:rPr>
                <w:sz w:val="3"/>
                <w:szCs w:val="3"/>
                <w:color w:val="auto"/>
              </w:rPr>
            </w:pPr>
          </w:p>
        </w:tc>
        <w:tc>
          <w:tcPr>
            <w:tcW w:w="780" w:type="dxa"/>
            <w:vAlign w:val="bottom"/>
            <w:tcBorders>
              <w:bottom w:val="single" w:sz="8" w:color="009BDE"/>
            </w:tcBorders>
          </w:tcPr>
          <w:p>
            <w:pPr>
              <w:spacing w:after="0"/>
              <w:rPr>
                <w:sz w:val="3"/>
                <w:szCs w:val="3"/>
                <w:color w:val="auto"/>
              </w:rPr>
            </w:pPr>
          </w:p>
        </w:tc>
        <w:tc>
          <w:tcPr>
            <w:tcW w:w="1740" w:type="dxa"/>
            <w:vAlign w:val="bottom"/>
            <w:tcBorders>
              <w:bottom w:val="single" w:sz="8" w:color="009BDE"/>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80"/>
              <w:spacing w:after="0"/>
              <w:rPr>
                <w:sz w:val="20"/>
                <w:szCs w:val="20"/>
                <w:color w:val="auto"/>
              </w:rPr>
            </w:pPr>
            <w:r>
              <w:rPr>
                <w:rFonts w:ascii="Arial" w:cs="Arial" w:eastAsia="Arial" w:hAnsi="Arial"/>
                <w:sz w:val="14"/>
                <w:szCs w:val="14"/>
                <w:b w:val="1"/>
                <w:bCs w:val="1"/>
                <w:color w:val="auto"/>
              </w:rPr>
              <w:t>Richard S. Stoddart</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740" w:type="dxa"/>
            <w:vAlign w:val="bottom"/>
          </w:tcPr>
          <w:p>
            <w:pPr>
              <w:ind w:left="80"/>
              <w:spacing w:after="0"/>
              <w:rPr>
                <w:sz w:val="20"/>
                <w:szCs w:val="20"/>
                <w:color w:val="auto"/>
              </w:rPr>
            </w:pPr>
            <w:r>
              <w:rPr>
                <w:rFonts w:ascii="Arial" w:cs="Arial" w:eastAsia="Arial" w:hAnsi="Arial"/>
                <w:sz w:val="14"/>
                <w:szCs w:val="14"/>
                <w:color w:val="auto"/>
              </w:rPr>
              <w:t>Chair of the Board of Hasbro and Former President and Chief Executive</w:t>
            </w: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80"/>
              <w:spacing w:after="0"/>
              <w:rPr>
                <w:sz w:val="20"/>
                <w:szCs w:val="20"/>
                <w:color w:val="auto"/>
              </w:rPr>
            </w:pPr>
            <w:r>
              <w:rPr>
                <w:rFonts w:ascii="Arial" w:cs="Arial" w:eastAsia="Arial" w:hAnsi="Arial"/>
                <w:sz w:val="14"/>
                <w:szCs w:val="14"/>
                <w:color w:val="auto"/>
              </w:rPr>
              <w:t>Officer of InnerWorkings, Inc.</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63</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2014</w:t>
            </w:r>
          </w:p>
        </w:tc>
        <w:tc>
          <w:tcPr>
            <w:tcW w:w="12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740" w:type="dxa"/>
            <w:vAlign w:val="bottom"/>
            <w:tcBorders>
              <w:bottom w:val="single" w:sz="8" w:color="009BDE"/>
            </w:tcBorders>
          </w:tcPr>
          <w:p>
            <w:pPr>
              <w:spacing w:after="0"/>
              <w:rPr>
                <w:sz w:val="3"/>
                <w:szCs w:val="3"/>
                <w:color w:val="auto"/>
              </w:rPr>
            </w:pPr>
          </w:p>
        </w:tc>
        <w:tc>
          <w:tcPr>
            <w:tcW w:w="840" w:type="dxa"/>
            <w:vAlign w:val="bottom"/>
            <w:tcBorders>
              <w:bottom w:val="single" w:sz="8" w:color="009BDE"/>
            </w:tcBorders>
          </w:tcPr>
          <w:p>
            <w:pPr>
              <w:spacing w:after="0"/>
              <w:rPr>
                <w:sz w:val="3"/>
                <w:szCs w:val="3"/>
                <w:color w:val="auto"/>
              </w:rPr>
            </w:pPr>
          </w:p>
        </w:tc>
        <w:tc>
          <w:tcPr>
            <w:tcW w:w="900" w:type="dxa"/>
            <w:vAlign w:val="bottom"/>
            <w:tcBorders>
              <w:bottom w:val="single" w:sz="8" w:color="009BDE"/>
            </w:tcBorders>
          </w:tcPr>
          <w:p>
            <w:pPr>
              <w:spacing w:after="0"/>
              <w:rPr>
                <w:sz w:val="3"/>
                <w:szCs w:val="3"/>
                <w:color w:val="auto"/>
              </w:rPr>
            </w:pPr>
          </w:p>
        </w:tc>
        <w:tc>
          <w:tcPr>
            <w:tcW w:w="1200" w:type="dxa"/>
            <w:vAlign w:val="bottom"/>
            <w:tcBorders>
              <w:bottom w:val="single" w:sz="8" w:color="009BDE"/>
            </w:tcBorders>
          </w:tcPr>
          <w:p>
            <w:pPr>
              <w:spacing w:after="0"/>
              <w:rPr>
                <w:sz w:val="3"/>
                <w:szCs w:val="3"/>
                <w:color w:val="auto"/>
              </w:rPr>
            </w:pPr>
          </w:p>
        </w:tc>
        <w:tc>
          <w:tcPr>
            <w:tcW w:w="720" w:type="dxa"/>
            <w:vAlign w:val="bottom"/>
            <w:tcBorders>
              <w:bottom w:val="single" w:sz="8" w:color="009BDE"/>
            </w:tcBorders>
          </w:tcPr>
          <w:p>
            <w:pPr>
              <w:spacing w:after="0"/>
              <w:rPr>
                <w:sz w:val="3"/>
                <w:szCs w:val="3"/>
                <w:color w:val="auto"/>
              </w:rPr>
            </w:pPr>
          </w:p>
        </w:tc>
        <w:tc>
          <w:tcPr>
            <w:tcW w:w="780" w:type="dxa"/>
            <w:vAlign w:val="bottom"/>
            <w:tcBorders>
              <w:bottom w:val="single" w:sz="8" w:color="009BDE"/>
            </w:tcBorders>
          </w:tcPr>
          <w:p>
            <w:pPr>
              <w:spacing w:after="0"/>
              <w:rPr>
                <w:sz w:val="3"/>
                <w:szCs w:val="3"/>
                <w:color w:val="auto"/>
              </w:rPr>
            </w:pPr>
          </w:p>
        </w:tc>
        <w:tc>
          <w:tcPr>
            <w:tcW w:w="1740" w:type="dxa"/>
            <w:vAlign w:val="bottom"/>
            <w:tcBorders>
              <w:bottom w:val="single" w:sz="8" w:color="009BDE"/>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80"/>
              <w:spacing w:after="0"/>
              <w:rPr>
                <w:sz w:val="20"/>
                <w:szCs w:val="20"/>
                <w:color w:val="auto"/>
              </w:rPr>
            </w:pPr>
            <w:r>
              <w:rPr>
                <w:rFonts w:ascii="Arial" w:cs="Arial" w:eastAsia="Arial" w:hAnsi="Arial"/>
                <w:sz w:val="14"/>
                <w:szCs w:val="14"/>
                <w:b w:val="1"/>
                <w:bCs w:val="1"/>
                <w:color w:val="auto"/>
              </w:rPr>
              <w:t>Carla Vernón</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40" w:type="dxa"/>
            <w:vAlign w:val="bottom"/>
          </w:tcPr>
          <w:p>
            <w:pPr>
              <w:ind w:left="80"/>
              <w:spacing w:after="0"/>
              <w:rPr>
                <w:sz w:val="20"/>
                <w:szCs w:val="20"/>
                <w:color w:val="auto"/>
              </w:rPr>
            </w:pPr>
            <w:r>
              <w:rPr>
                <w:rFonts w:ascii="Arial" w:cs="Arial" w:eastAsia="Arial" w:hAnsi="Arial"/>
                <w:sz w:val="14"/>
                <w:szCs w:val="14"/>
                <w:color w:val="auto"/>
              </w:rPr>
              <w:t>Chief Executive Officer of The Honest Company</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55</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2026</w:t>
            </w:r>
          </w:p>
        </w:tc>
        <w:tc>
          <w:tcPr>
            <w:tcW w:w="12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27305</wp:posOffset>
            </wp:positionV>
            <wp:extent cx="69297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-3326765</wp:posOffset>
            </wp:positionV>
            <wp:extent cx="85090" cy="135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090" cy="135890"/>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-3029585</wp:posOffset>
            </wp:positionV>
            <wp:extent cx="76200" cy="135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200" cy="135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-3029585</wp:posOffset>
            </wp:positionV>
            <wp:extent cx="76200" cy="135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200" cy="135890"/>
                    </a:xfrm>
                    <a:prstGeom prst="rect">
                      <a:avLst/>
                    </a:prstGeom>
                    <a:noFill/>
                  </pic:spPr>
                </pic:pic>
              </a:graphicData>
            </a:graphic>
          </wp:anchor>
        </w:drawing>
        <w:drawing>
          <wp:anchor simplePos="0" relativeHeight="251657728" behindDoc="1" locked="0" layoutInCell="0" allowOverlap="1">
            <wp:simplePos x="0" y="0"/>
            <wp:positionH relativeFrom="column">
              <wp:posOffset>5736590</wp:posOffset>
            </wp:positionH>
            <wp:positionV relativeFrom="paragraph">
              <wp:posOffset>-2434590</wp:posOffset>
            </wp:positionV>
            <wp:extent cx="76200" cy="135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200" cy="135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-2137410</wp:posOffset>
            </wp:positionV>
            <wp:extent cx="76200" cy="135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200" cy="135890"/>
                    </a:xfrm>
                    <a:prstGeom prst="rect">
                      <a:avLst/>
                    </a:prstGeom>
                    <a:noFill/>
                  </pic:spPr>
                </pic:pic>
              </a:graphicData>
            </a:graphic>
          </wp:anchor>
        </w:drawing>
        <w:drawing>
          <wp:anchor simplePos="0" relativeHeight="251657728" behindDoc="1" locked="0" layoutInCell="0" allowOverlap="1">
            <wp:simplePos x="0" y="0"/>
            <wp:positionH relativeFrom="column">
              <wp:posOffset>5736590</wp:posOffset>
            </wp:positionH>
            <wp:positionV relativeFrom="paragraph">
              <wp:posOffset>-1840230</wp:posOffset>
            </wp:positionV>
            <wp:extent cx="76200" cy="135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200" cy="135890"/>
                    </a:xfrm>
                    <a:prstGeom prst="rect">
                      <a:avLst/>
                    </a:prstGeom>
                    <a:noFill/>
                  </pic:spPr>
                </pic:pic>
              </a:graphicData>
            </a:graphic>
          </wp:anchor>
        </w:drawing>
        <w:drawing>
          <wp:anchor simplePos="0" relativeHeight="251657728" behindDoc="1" locked="0" layoutInCell="0" allowOverlap="1">
            <wp:simplePos x="0" y="0"/>
            <wp:positionH relativeFrom="column">
              <wp:posOffset>5736590</wp:posOffset>
            </wp:positionH>
            <wp:positionV relativeFrom="paragraph">
              <wp:posOffset>-1543050</wp:posOffset>
            </wp:positionV>
            <wp:extent cx="76200" cy="135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200" cy="135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-1543050</wp:posOffset>
            </wp:positionV>
            <wp:extent cx="76200" cy="135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200" cy="135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-1245870</wp:posOffset>
            </wp:positionV>
            <wp:extent cx="85090" cy="135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090" cy="135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-1245870</wp:posOffset>
            </wp:positionV>
            <wp:extent cx="76200" cy="135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200" cy="135890"/>
                    </a:xfrm>
                    <a:prstGeom prst="rect">
                      <a:avLst/>
                    </a:prstGeom>
                    <a:noFill/>
                  </pic:spPr>
                </pic:pic>
              </a:graphicData>
            </a:graphic>
          </wp:anchor>
        </w:drawing>
        <w:drawing>
          <wp:anchor simplePos="0" relativeHeight="251657728" behindDoc="1" locked="0" layoutInCell="0" allowOverlap="1">
            <wp:simplePos x="0" y="0"/>
            <wp:positionH relativeFrom="column">
              <wp:posOffset>6858000</wp:posOffset>
            </wp:positionH>
            <wp:positionV relativeFrom="paragraph">
              <wp:posOffset>-847090</wp:posOffset>
            </wp:positionV>
            <wp:extent cx="76200" cy="135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200" cy="135890"/>
                    </a:xfrm>
                    <a:prstGeom prst="rect">
                      <a:avLst/>
                    </a:prstGeom>
                    <a:noFill/>
                  </pic:spPr>
                </pic:pic>
              </a:graphicData>
            </a:graphic>
          </wp:anchor>
        </w:drawing>
        <w:drawing>
          <wp:anchor simplePos="0" relativeHeight="251657728" behindDoc="1" locked="0" layoutInCell="0" allowOverlap="1">
            <wp:simplePos x="0" y="0"/>
            <wp:positionH relativeFrom="column">
              <wp:posOffset>6858000</wp:posOffset>
            </wp:positionH>
            <wp:positionV relativeFrom="paragraph">
              <wp:posOffset>-447675</wp:posOffset>
            </wp:positionV>
            <wp:extent cx="76200" cy="135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200" cy="135890"/>
                    </a:xfrm>
                    <a:prstGeom prst="rect">
                      <a:avLst/>
                    </a:prstGeom>
                    <a:noFill/>
                  </pic:spPr>
                </pic:pic>
              </a:graphicData>
            </a:graphic>
          </wp:anchor>
        </w:drawing>
        <w:drawing>
          <wp:anchor simplePos="0" relativeHeight="251657728" behindDoc="1" locked="0" layoutInCell="0" allowOverlap="1">
            <wp:simplePos x="0" y="0"/>
            <wp:positionH relativeFrom="column">
              <wp:posOffset>6858000</wp:posOffset>
            </wp:positionH>
            <wp:positionV relativeFrom="paragraph">
              <wp:posOffset>-150495</wp:posOffset>
            </wp:positionV>
            <wp:extent cx="76200" cy="135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200" cy="135890"/>
                    </a:xfrm>
                    <a:prstGeom prst="rect">
                      <a:avLst/>
                    </a:prstGeom>
                    <a:noFill/>
                  </pic:spPr>
                </pic:pic>
              </a:graphicData>
            </a:graphic>
          </wp:anchor>
        </w:drawing>
      </w:r>
    </w:p>
    <w:p>
      <w:pPr>
        <w:spacing w:after="0" w:line="27" w:lineRule="exact"/>
        <w:rPr>
          <w:sz w:val="20"/>
          <w:szCs w:val="20"/>
          <w:color w:val="auto"/>
        </w:rPr>
      </w:pPr>
    </w:p>
    <w:p>
      <w:pPr>
        <w:ind w:left="600" w:right="420" w:hanging="433"/>
        <w:spacing w:after="0" w:line="281" w:lineRule="auto"/>
        <w:tabs>
          <w:tab w:leader="none" w:pos="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Age and Committee memberships are as of April 17, 2026. Laurel Richie will become chair of Nominating, Governance and Social Responsibility effective at the Annual Meeting following the retirement of Mary Beth West.</w:t>
      </w:r>
    </w:p>
    <w:p>
      <w:pPr>
        <w:spacing w:after="0" w:line="185" w:lineRule="exact"/>
        <w:rPr>
          <w:sz w:val="20"/>
          <w:szCs w:val="20"/>
          <w:color w:val="auto"/>
        </w:rPr>
      </w:pPr>
    </w:p>
    <w:p>
      <w:pPr>
        <w:ind w:left="1880"/>
        <w:spacing w:after="0"/>
        <w:tabs>
          <w:tab w:leader="none" w:pos="5560" w:val="left"/>
          <w:tab w:leader="none" w:pos="8300" w:val="left"/>
        </w:tabs>
        <w:rPr>
          <w:sz w:val="20"/>
          <w:szCs w:val="20"/>
          <w:color w:val="auto"/>
        </w:rPr>
      </w:pPr>
      <w:r>
        <w:rPr>
          <w:rFonts w:ascii="Arial" w:cs="Arial" w:eastAsia="Arial" w:hAnsi="Arial"/>
          <w:sz w:val="14"/>
          <w:szCs w:val="14"/>
          <w:color w:val="auto"/>
        </w:rPr>
        <w:t>Chair:</w:t>
      </w:r>
      <w:r>
        <w:rPr>
          <w:sz w:val="20"/>
          <w:szCs w:val="20"/>
          <w:color w:val="auto"/>
        </w:rPr>
        <w:tab/>
      </w:r>
      <w:r>
        <w:rPr>
          <w:rFonts w:ascii="Arial" w:cs="Arial" w:eastAsia="Arial" w:hAnsi="Arial"/>
          <w:sz w:val="14"/>
          <w:szCs w:val="14"/>
          <w:color w:val="auto"/>
        </w:rPr>
        <w:t>Member:</w:t>
      </w:r>
      <w:r>
        <w:rPr>
          <w:sz w:val="20"/>
          <w:szCs w:val="20"/>
          <w:color w:val="auto"/>
        </w:rPr>
        <w:tab/>
      </w:r>
      <w:r>
        <w:rPr>
          <w:rFonts w:ascii="Arial" w:cs="Arial" w:eastAsia="Arial" w:hAnsi="Arial"/>
          <w:sz w:val="14"/>
          <w:szCs w:val="14"/>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5715</wp:posOffset>
            </wp:positionV>
            <wp:extent cx="85090" cy="135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090" cy="135890"/>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5715</wp:posOffset>
            </wp:positionV>
            <wp:extent cx="76200" cy="135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200" cy="135890"/>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5715</wp:posOffset>
            </wp:positionV>
            <wp:extent cx="85090" cy="135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090" cy="13589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404495</wp:posOffset>
            </wp:positionV>
            <wp:extent cx="6964045" cy="3905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CFCFC"/>
        </w:rPr>
        <w:t>    v</w:t>
      </w:r>
    </w:p>
    <w:p>
      <w:pPr>
        <w:sectPr>
          <w:pgSz w:w="11900" w:h="16838" w:orient="portrait"/>
          <w:cols w:equalWidth="0" w:num="1">
            <w:col w:w="11080"/>
          </w:cols>
          <w:pgMar w:left="320" w:top="478"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9BDE"/>
        </w:rPr>
        <w:t>Profile of the Board’s Nominees for Director</w:t>
      </w:r>
    </w:p>
    <w:p>
      <w:pPr>
        <w:spacing w:after="0" w:line="34"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color w:val="auto"/>
        </w:rPr>
        <w:t>The Board’s nominees are balanced by experience, age, gender and tenure. The Board’s nominees are a skilled, knowledgeable and diverse group, with each member contributing and having his or her voice heard while supporting and appropriately challenging management. The Nominating, Governance and Social Responsibility Committee and the Board believe the mix of experience, expertise, and perspectives on the Board serves to strengthen management and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142240</wp:posOffset>
            </wp:positionV>
            <wp:extent cx="4857750" cy="19704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857750" cy="197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right="400"/>
        <w:spacing w:after="0" w:line="262" w:lineRule="auto"/>
        <w:rPr>
          <w:sz w:val="20"/>
          <w:szCs w:val="20"/>
          <w:color w:val="auto"/>
        </w:rPr>
      </w:pPr>
      <w:r>
        <w:rPr>
          <w:rFonts w:ascii="Arial" w:cs="Arial" w:eastAsia="Arial" w:hAnsi="Arial"/>
          <w:sz w:val="16"/>
          <w:szCs w:val="16"/>
          <w:color w:val="auto"/>
        </w:rPr>
        <w:t>The Board’s nominees for director consist of proven leaders with experience across a wide range of industries, including digital gaming, consumer products and consumer brands, with a significant amount of turnaround and operational experience, giving us a diverse set of skills, viewpoints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64045" cy="27514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6404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FCFCFC"/>
        </w:rPr>
        <w:t>    vi</w:t>
      </w:r>
    </w:p>
    <w:p>
      <w:pPr>
        <w:sectPr>
          <w:pgSz w:w="11900" w:h="16838" w:orient="portrait"/>
          <w:cols w:equalWidth="0" w:num="1">
            <w:col w:w="11000"/>
          </w:cols>
          <w:pgMar w:left="320" w:top="478" w:right="5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213995</wp:posOffset>
            </wp:positionV>
            <wp:extent cx="5655945" cy="52311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5945" cy="523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9BDE"/>
        </w:rPr>
        <w:t>Shareholder Engagement</w:t>
      </w:r>
    </w:p>
    <w:p>
      <w:pPr>
        <w:spacing w:after="0" w:line="37" w:lineRule="exact"/>
        <w:rPr>
          <w:sz w:val="20"/>
          <w:szCs w:val="20"/>
          <w:color w:val="auto"/>
        </w:rPr>
      </w:pPr>
    </w:p>
    <w:p>
      <w:pPr>
        <w:ind w:left="160" w:right="40"/>
        <w:spacing w:after="0" w:line="258" w:lineRule="auto"/>
        <w:rPr>
          <w:sz w:val="20"/>
          <w:szCs w:val="20"/>
          <w:color w:val="auto"/>
        </w:rPr>
      </w:pPr>
      <w:r>
        <w:rPr>
          <w:rFonts w:ascii="Arial" w:cs="Arial" w:eastAsia="Arial" w:hAnsi="Arial"/>
          <w:sz w:val="16"/>
          <w:szCs w:val="16"/>
          <w:color w:val="auto"/>
        </w:rPr>
        <w:t>We regularly engage with our shareholders on our strategy and performance, as well as financial, compensation, corporate governance and other Environmental, Social and Governance (ESG) matters. We do this as part of our commitment to build relationships, discuss and receive feedback on our strategy, be responsive to shareholders and ensure that our actions are informed by the viewpoints of our investors.</w:t>
      </w:r>
    </w:p>
    <w:p>
      <w:pPr>
        <w:spacing w:after="0" w:line="136"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auto"/>
        </w:rPr>
        <w:t>Our shareholder engagement efforts are conducted year-round. In addition to discussions just before our annual meeting, we initiate discussions during a quieter period several months before, typically in the fourth quarter, reaching out to our largest shareholders.</w:t>
      </w:r>
    </w:p>
    <w:p>
      <w:pPr>
        <w:spacing w:after="0" w:line="134"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Board members, such as the independent chair or chair of one of the Board committees, are made available to participate in some of these discussions. We believe that positive, two-way dialogue builds informed relationships that promote transparency and accountability. Management provides written and oral updates on the discussions with shareholders to the Board, which considers shareholder perspectives, as well as the interests of all stakeholders, when overseeing company strategy, formulating governance practices and designing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6964045" cy="3905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  vii</w:t>
      </w:r>
    </w:p>
    <w:p>
      <w:pPr>
        <w:sectPr>
          <w:pgSz w:w="11900" w:h="16838" w:orient="portrait"/>
          <w:cols w:equalWidth="0" w:num="1">
            <w:col w:w="11020"/>
          </w:cols>
          <w:pgMar w:left="320" w:top="478" w:right="5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color w:val="auto"/>
        </w:rPr>
        <w:t>In addition to our year-round engagement, as we have done for many years, we proactively extended an invitation to our top 25 shareholders (holding in the aggregate approximately 59% of our outstanding shares) to meet and we had discussions with those who accepted our invitation. This year we covered a variety of topics, with a primary focus on the actions we have taken in response to shareholder feedback over the past year, as well as our business strategy, risks and opportunities, our executive compensation plans, pay competitiveness, corporate governance, director refreshment, director composition, skill-sets, director on-boarding and evaluation process, trade associations, and ESG disclosure, programs and priorities.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Key Actions Taken in the Past Year Considering Shareholder Feedback</w:t>
      </w:r>
    </w:p>
    <w:p>
      <w:pPr>
        <w:spacing w:after="0" w:line="124" w:lineRule="exact"/>
        <w:rPr>
          <w:sz w:val="20"/>
          <w:szCs w:val="20"/>
          <w:color w:val="auto"/>
        </w:rPr>
      </w:pPr>
    </w:p>
    <w:p>
      <w:pPr>
        <w:ind w:left="1020" w:hanging="318"/>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Launched our Playing to Win Strategy, with a focus on gaming, IP licensing and entertainment, and toys.</w:t>
      </w:r>
    </w:p>
    <w:p>
      <w:pPr>
        <w:spacing w:after="0" w:line="19" w:lineRule="exact"/>
        <w:rPr>
          <w:rFonts w:ascii="Arial" w:cs="Arial" w:eastAsia="Arial" w:hAnsi="Arial"/>
          <w:sz w:val="16"/>
          <w:szCs w:val="16"/>
          <w:color w:val="auto"/>
        </w:rPr>
      </w:pPr>
    </w:p>
    <w:p>
      <w:pPr>
        <w:ind w:left="1020" w:hanging="318"/>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Further reduced complexity across our business resulting in improved cost structure.</w:t>
      </w:r>
    </w:p>
    <w:p>
      <w:pPr>
        <w:spacing w:after="0" w:line="3" w:lineRule="exact"/>
        <w:rPr>
          <w:rFonts w:ascii="Arial" w:cs="Arial" w:eastAsia="Arial" w:hAnsi="Arial"/>
          <w:sz w:val="16"/>
          <w:szCs w:val="16"/>
          <w:color w:val="auto"/>
        </w:rPr>
      </w:pPr>
    </w:p>
    <w:p>
      <w:pPr>
        <w:ind w:left="1020" w:right="380" w:hanging="318"/>
        <w:spacing w:after="0" w:line="244"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Announced a dual headquarters structure to align our business focuses, with our toy and games business to be operated out of our new Boston, MA office starting in Q4 2026, and our digital and Wizards business operating principally out of our Renton, WA office.</w:t>
      </w:r>
    </w:p>
    <w:p>
      <w:pPr>
        <w:ind w:left="1020" w:hanging="318"/>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Spent $225 million to reduce long-term debt in 2025.</w:t>
      </w:r>
    </w:p>
    <w:p>
      <w:pPr>
        <w:spacing w:after="0" w:line="3" w:lineRule="exact"/>
        <w:rPr>
          <w:rFonts w:ascii="Arial" w:cs="Arial" w:eastAsia="Arial" w:hAnsi="Arial"/>
          <w:sz w:val="16"/>
          <w:szCs w:val="16"/>
          <w:color w:val="auto"/>
        </w:rPr>
      </w:pPr>
    </w:p>
    <w:p>
      <w:pPr>
        <w:ind w:left="1020" w:right="40" w:hanging="318"/>
        <w:spacing w:after="0" w:line="244"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Continued our board refreshment with the retirement of one longer-tenured director and the addition of two new directors with chief executive officer, digital gaming, branding and consumer products experience.</w:t>
      </w:r>
    </w:p>
    <w:p>
      <w:pPr>
        <w:ind w:left="1020" w:hanging="318"/>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Continued program to reward performance based on key financial metrics.</w:t>
      </w:r>
    </w:p>
    <w:p>
      <w:pPr>
        <w:spacing w:after="0" w:line="3" w:lineRule="exact"/>
        <w:rPr>
          <w:rFonts w:ascii="Arial" w:cs="Arial" w:eastAsia="Arial" w:hAnsi="Arial"/>
          <w:sz w:val="16"/>
          <w:szCs w:val="16"/>
          <w:color w:val="auto"/>
        </w:rPr>
      </w:pPr>
    </w:p>
    <w:p>
      <w:pPr>
        <w:ind w:left="1020" w:hanging="318"/>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Continued to make progress on our Impact strategy and ESG initiatives.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Environmental, Social and Governance</w:t>
      </w:r>
    </w:p>
    <w:p>
      <w:pPr>
        <w:spacing w:after="0" w:line="127" w:lineRule="exact"/>
        <w:rPr>
          <w:sz w:val="20"/>
          <w:szCs w:val="20"/>
          <w:color w:val="auto"/>
        </w:rPr>
      </w:pPr>
    </w:p>
    <w:p>
      <w:pPr>
        <w:ind w:left="160" w:right="320"/>
        <w:spacing w:after="0" w:line="249" w:lineRule="auto"/>
        <w:rPr>
          <w:sz w:val="20"/>
          <w:szCs w:val="20"/>
          <w:color w:val="auto"/>
        </w:rPr>
      </w:pPr>
      <w:r>
        <w:rPr>
          <w:rFonts w:ascii="Arial" w:cs="Arial" w:eastAsia="Arial" w:hAnsi="Arial"/>
          <w:sz w:val="16"/>
          <w:szCs w:val="16"/>
          <w:color w:val="auto"/>
        </w:rPr>
        <w:t>ESG starts with our Board, with specific oversight by our Nominating, Governance and Social Responsibility Committee of the Board (“Governance Committee”). ESG topics, such as climate and sustainability, human rights and ethical sourcing, are regular agenda items at Governance Committee meetings. The Governance Committee analyzes these issues and makes recommendations to the full Board. In addition, the Audit Committee of our Board oversees SEC and public disclosures in specific matters, such as conflict minerals and enterprise risk. The full Board receives regular updates regarding our ESG progress. And our CEO and the Executive Leadership Team (“ELT”) regularly review our ESG performance, progress and opportunities. Our ELT and members of our global corporate sustainability team meet several times a year to ensure management oversight of the Company’s ESG strategy, impact and performance. This group sets the direction for our global ESG strategy and ensures the integration of ESG throughout the organization.</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9BDE"/>
        </w:rPr>
        <w:t>Focus Area: Climate and Sustainability</w:t>
      </w:r>
    </w:p>
    <w:p>
      <w:pPr>
        <w:spacing w:after="0" w:line="150" w:lineRule="exact"/>
        <w:rPr>
          <w:sz w:val="20"/>
          <w:szCs w:val="20"/>
          <w:color w:val="auto"/>
        </w:rPr>
      </w:pPr>
    </w:p>
    <w:p>
      <w:pPr>
        <w:ind w:left="160" w:right="560"/>
        <w:spacing w:after="0" w:line="279" w:lineRule="auto"/>
        <w:rPr>
          <w:sz w:val="20"/>
          <w:szCs w:val="20"/>
          <w:color w:val="auto"/>
        </w:rPr>
      </w:pPr>
      <w:r>
        <w:rPr>
          <w:rFonts w:ascii="Arial" w:cs="Arial" w:eastAsia="Arial" w:hAnsi="Arial"/>
          <w:sz w:val="16"/>
          <w:szCs w:val="16"/>
          <w:color w:val="auto"/>
        </w:rPr>
        <w:t>We recognize the impact our business can have on the environment and are working to reduce our footprint. We view sustainability challenges as opportunities to innovate and to continuously improve our product design and operational efficiencies.</w:t>
      </w:r>
    </w:p>
    <w:p>
      <w:pPr>
        <w:spacing w:after="0" w:line="121"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We continue to work to integrate climate risk identification and mitigation into our overall enterprise risk management process and business. As part of this effort, we published a Climate and Nature Transition Plan and an IFRS S2 disclosure, where we describe how climate change could impact our business and the key actions we are taking that are designed to strengthen our resiliency. These disclosures contribute to our ongoing preparation work for the European Union’s Corporate Sustainability Reporting Directive (“CSRD”).</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9BDE"/>
        </w:rPr>
        <w:t>Focus Area: Human Rights and Ethical Sourcing</w:t>
      </w:r>
    </w:p>
    <w:p>
      <w:pPr>
        <w:spacing w:after="0" w:line="150"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Our Human Rights and Ethical Sourcing program launched over 30 years ago and is dedicated to ensuring that facilities involved in the production of our toys, games and licensed consumer products comply with Hasbro’s Global Business Ethics Principles. The program is designed to ensure fair and safe working conditions; fairness, dignity and respect for workers; and robust supplier engagement to ensure strong safety, health and environmental performance. While working on these issues with partners, suppliers, third-party factories and licensees is complex, we remain vigilant in our commitment to ensure workers in our supply chain are treated in accordance with our high ethical standards and applicable laws.</w:t>
      </w:r>
    </w:p>
    <w:p>
      <w:pPr>
        <w:spacing w:after="0" w:line="140" w:lineRule="exact"/>
        <w:rPr>
          <w:sz w:val="20"/>
          <w:szCs w:val="20"/>
          <w:color w:val="auto"/>
        </w:rPr>
      </w:pPr>
    </w:p>
    <w:p>
      <w:pPr>
        <w:ind w:left="160" w:right="400"/>
        <w:spacing w:after="0" w:line="279" w:lineRule="auto"/>
        <w:rPr>
          <w:sz w:val="20"/>
          <w:szCs w:val="20"/>
          <w:color w:val="auto"/>
        </w:rPr>
      </w:pPr>
      <w:r>
        <w:rPr>
          <w:rFonts w:ascii="Arial" w:cs="Arial" w:eastAsia="Arial" w:hAnsi="Arial"/>
          <w:sz w:val="16"/>
          <w:szCs w:val="16"/>
          <w:color w:val="auto"/>
        </w:rPr>
        <w:t>We believe that “play” is a human right, and we understand our influence as a leading toy maker comes with great responsibility to ensure children’s safety - physically, mentally and emotionally. We recognize the well-being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221615</wp:posOffset>
            </wp:positionV>
            <wp:extent cx="6964045" cy="3905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FCFCFC"/>
        </w:rPr>
        <w:t>    viii</w:t>
      </w:r>
    </w:p>
    <w:p>
      <w:pPr>
        <w:sectPr>
          <w:pgSz w:w="11900" w:h="16838" w:orient="portrait"/>
          <w:cols w:equalWidth="0" w:num="1">
            <w:col w:w="11040"/>
          </w:cols>
          <w:pgMar w:left="320" w:top="478"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right="220"/>
        <w:spacing w:after="0" w:line="279" w:lineRule="auto"/>
        <w:rPr>
          <w:sz w:val="20"/>
          <w:szCs w:val="20"/>
          <w:color w:val="auto"/>
        </w:rPr>
      </w:pPr>
      <w:r>
        <w:rPr>
          <w:rFonts w:ascii="Arial" w:cs="Arial" w:eastAsia="Arial" w:hAnsi="Arial"/>
          <w:sz w:val="16"/>
          <w:szCs w:val="16"/>
          <w:color w:val="auto"/>
        </w:rPr>
        <w:t>children globally is inextricably linked to the success of our Company. Our commitment to respecting the human rights of children is implemented in the following areas.</w:t>
      </w:r>
    </w:p>
    <w:p>
      <w:pPr>
        <w:spacing w:after="0" w:line="67" w:lineRule="exact"/>
        <w:rPr>
          <w:sz w:val="20"/>
          <w:szCs w:val="20"/>
          <w:color w:val="auto"/>
        </w:rPr>
      </w:pPr>
    </w:p>
    <w:p>
      <w:pPr>
        <w:ind w:left="1020" w:right="60" w:hanging="318"/>
        <w:spacing w:after="0" w:line="251"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Product Safety</w:t>
      </w:r>
      <w:r>
        <w:rPr>
          <w:rFonts w:ascii="Arial" w:cs="Arial" w:eastAsia="Arial" w:hAnsi="Arial"/>
          <w:sz w:val="16"/>
          <w:szCs w:val="16"/>
          <w:color w:val="auto"/>
        </w:rPr>
        <w:t>: Understanding our responsibility to respect human rights extends to our products, we implement our human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to children through our deep and long-standing commitment to product safety. To ensure the safety of children who play with our products, we have rigorous quality assurance and product safety standards and processes.</w:t>
      </w:r>
    </w:p>
    <w:p>
      <w:pPr>
        <w:ind w:left="1020" w:right="120" w:hanging="318"/>
        <w:spacing w:after="0" w:line="258"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Community</w:t>
      </w:r>
      <w:r>
        <w:rPr>
          <w:rFonts w:ascii="Arial" w:cs="Arial" w:eastAsia="Arial" w:hAnsi="Arial"/>
          <w:sz w:val="16"/>
          <w:szCs w:val="16"/>
          <w:color w:val="auto"/>
        </w:rPr>
        <w:t>: Our human rights commitment to children’s rights and well-being is implemented, in part, through our community investments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children-based initiatives.</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 more information on our ESG activities, please see our CSR website at https://csr.hasbro.com/en-us/esg-reports.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3568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Executive Compensation</w:t>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Proposal 2 — Advisory Vote on Compensation of Named Executive Officers</w:t>
      </w:r>
    </w:p>
    <w:p>
      <w:pPr>
        <w:spacing w:after="0" w:line="141" w:lineRule="exact"/>
        <w:rPr>
          <w:sz w:val="20"/>
          <w:szCs w:val="20"/>
          <w:color w:val="auto"/>
        </w:rPr>
      </w:pPr>
    </w:p>
    <w:p>
      <w:pPr>
        <w:ind w:left="160" w:right="160"/>
        <w:spacing w:after="0" w:line="251" w:lineRule="auto"/>
        <w:rPr>
          <w:sz w:val="20"/>
          <w:szCs w:val="20"/>
          <w:color w:val="auto"/>
        </w:rPr>
      </w:pPr>
      <w:r>
        <w:rPr>
          <w:rFonts w:ascii="Arial" w:cs="Arial" w:eastAsia="Arial" w:hAnsi="Arial"/>
          <w:sz w:val="16"/>
          <w:szCs w:val="16"/>
          <w:color w:val="auto"/>
        </w:rPr>
        <w:t>Our Board of Directors recommends that shareholders vote, on an advisory basis, to approve the compensation paid to our named executive officers (“NEOs”) as described in this Proxy Statement. Our compensation programs embody a pay-for-performance philosophy that supports our business strategy and closely aligns executive interests with those of our shareholders. Our shareholders supported our Say-on-Pay votes in the last three years, with favorable votes from 96.7%, 87.6% and 91.4% of the shares voted at the 2025, 2024 and 2023 Annual Meetings, respectively. Highlights of our compensation programs for 2025 and our compensation best practices follow. Detailed information about this proposal can be found below under the heading “Shareholder Advisory Vote on Compensation for Named Executive Officers (Proposal 2)” and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142240</wp:posOffset>
            </wp:positionV>
            <wp:extent cx="5163185" cy="2199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63185" cy="2199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60" w:type="dxa"/>
            <w:vAlign w:val="bottom"/>
            <w:shd w:val="clear" w:color="auto" w:fill="CCEBF8"/>
          </w:tcPr>
          <w:p>
            <w:pPr>
              <w:spacing w:after="0"/>
              <w:rPr>
                <w:sz w:val="24"/>
                <w:szCs w:val="24"/>
                <w:color w:val="auto"/>
              </w:rPr>
            </w:pPr>
          </w:p>
        </w:tc>
        <w:tc>
          <w:tcPr>
            <w:tcW w:w="480" w:type="dxa"/>
            <w:vAlign w:val="bottom"/>
            <w:shd w:val="clear" w:color="auto" w:fill="CCEBF8"/>
          </w:tcPr>
          <w:p>
            <w:pPr>
              <w:spacing w:after="0"/>
              <w:rPr>
                <w:sz w:val="24"/>
                <w:szCs w:val="24"/>
                <w:color w:val="auto"/>
              </w:rPr>
            </w:pPr>
          </w:p>
        </w:tc>
        <w:tc>
          <w:tcPr>
            <w:tcW w:w="9480" w:type="dxa"/>
            <w:vAlign w:val="bottom"/>
            <w:shd w:val="clear" w:color="auto" w:fill="CCEBF8"/>
          </w:tcPr>
          <w:p>
            <w:pPr>
              <w:ind w:left="1960"/>
              <w:spacing w:after="0"/>
              <w:rPr>
                <w:sz w:val="20"/>
                <w:szCs w:val="20"/>
                <w:color w:val="auto"/>
              </w:rPr>
            </w:pPr>
            <w:r>
              <w:rPr>
                <w:rFonts w:ascii="Arial" w:cs="Arial" w:eastAsia="Arial" w:hAnsi="Arial"/>
                <w:sz w:val="18"/>
                <w:szCs w:val="18"/>
                <w:b w:val="1"/>
                <w:bCs w:val="1"/>
                <w:color w:val="009BDE"/>
              </w:rPr>
              <w:t>2025 Executive Compensation Program Elements</w:t>
            </w:r>
          </w:p>
        </w:tc>
      </w:tr>
      <w:tr>
        <w:trPr>
          <w:trHeight w:val="108"/>
        </w:trPr>
        <w:tc>
          <w:tcPr>
            <w:tcW w:w="10920" w:type="dxa"/>
            <w:vAlign w:val="bottom"/>
            <w:tcBorders>
              <w:bottom w:val="single" w:sz="8" w:color="009BDE"/>
            </w:tcBorders>
            <w:gridSpan w:val="3"/>
            <w:shd w:val="clear" w:color="auto" w:fill="CCEBF8"/>
          </w:tcPr>
          <w:p>
            <w:pPr>
              <w:spacing w:after="0"/>
              <w:rPr>
                <w:sz w:val="9"/>
                <w:szCs w:val="9"/>
                <w:color w:val="auto"/>
              </w:rPr>
            </w:pPr>
          </w:p>
        </w:tc>
      </w:tr>
      <w:tr>
        <w:trPr>
          <w:trHeight w:val="294"/>
        </w:trPr>
        <w:tc>
          <w:tcPr>
            <w:tcW w:w="10920" w:type="dxa"/>
            <w:vAlign w:val="bottom"/>
            <w:gridSpan w:val="3"/>
          </w:tcPr>
          <w:p>
            <w:pPr>
              <w:ind w:left="80"/>
              <w:spacing w:after="0"/>
              <w:rPr>
                <w:sz w:val="20"/>
                <w:szCs w:val="20"/>
                <w:color w:val="auto"/>
              </w:rPr>
            </w:pPr>
            <w:r>
              <w:rPr>
                <w:rFonts w:ascii="Arial" w:cs="Arial" w:eastAsia="Arial" w:hAnsi="Arial"/>
                <w:sz w:val="16"/>
                <w:szCs w:val="16"/>
                <w:b w:val="1"/>
                <w:bCs w:val="1"/>
                <w:color w:val="auto"/>
              </w:rPr>
              <w:t>Type of Annual Cash Compensation</w:t>
            </w:r>
          </w:p>
        </w:tc>
      </w:tr>
      <w:tr>
        <w:trPr>
          <w:trHeight w:val="87"/>
        </w:trPr>
        <w:tc>
          <w:tcPr>
            <w:tcW w:w="960" w:type="dxa"/>
            <w:vAlign w:val="bottom"/>
            <w:tcBorders>
              <w:bottom w:val="single" w:sz="8" w:color="009BDE"/>
            </w:tcBorders>
          </w:tcPr>
          <w:p>
            <w:pPr>
              <w:spacing w:after="0"/>
              <w:rPr>
                <w:sz w:val="7"/>
                <w:szCs w:val="7"/>
                <w:color w:val="auto"/>
              </w:rPr>
            </w:pPr>
          </w:p>
        </w:tc>
        <w:tc>
          <w:tcPr>
            <w:tcW w:w="9960" w:type="dxa"/>
            <w:vAlign w:val="bottom"/>
            <w:tcBorders>
              <w:bottom w:val="single" w:sz="8" w:color="009BDE"/>
            </w:tcBorders>
            <w:gridSpan w:val="2"/>
          </w:tcPr>
          <w:p>
            <w:pPr>
              <w:spacing w:after="0"/>
              <w:rPr>
                <w:sz w:val="7"/>
                <w:szCs w:val="7"/>
                <w:color w:val="auto"/>
              </w:rPr>
            </w:pPr>
          </w:p>
        </w:tc>
      </w:tr>
      <w:tr>
        <w:trPr>
          <w:trHeight w:val="260"/>
        </w:trPr>
        <w:tc>
          <w:tcPr>
            <w:tcW w:w="960" w:type="dxa"/>
            <w:vAlign w:val="bottom"/>
          </w:tcPr>
          <w:p>
            <w:pPr>
              <w:ind w:left="80"/>
              <w:spacing w:after="0"/>
              <w:rPr>
                <w:sz w:val="20"/>
                <w:szCs w:val="20"/>
                <w:color w:val="auto"/>
              </w:rPr>
            </w:pPr>
            <w:r>
              <w:rPr>
                <w:rFonts w:ascii="Arial" w:cs="Arial" w:eastAsia="Arial" w:hAnsi="Arial"/>
                <w:sz w:val="16"/>
                <w:szCs w:val="16"/>
                <w:color w:val="auto"/>
              </w:rPr>
              <w:t>Base</w:t>
            </w:r>
          </w:p>
        </w:tc>
        <w:tc>
          <w:tcPr>
            <w:tcW w:w="9960" w:type="dxa"/>
            <w:vAlign w:val="bottom"/>
            <w:gridSpan w:val="2"/>
          </w:tcPr>
          <w:p>
            <w:pPr>
              <w:ind w:left="260"/>
              <w:spacing w:after="0"/>
              <w:rPr>
                <w:sz w:val="20"/>
                <w:szCs w:val="20"/>
                <w:color w:val="auto"/>
              </w:rPr>
            </w:pPr>
            <w:r>
              <w:rPr>
                <w:rFonts w:ascii="Arial" w:cs="Arial" w:eastAsia="Arial" w:hAnsi="Arial"/>
                <w:sz w:val="16"/>
                <w:szCs w:val="16"/>
                <w:color w:val="auto"/>
              </w:rPr>
              <w:t>• Fixed compensation</w:t>
            </w:r>
          </w:p>
        </w:tc>
      </w:tr>
      <w:tr>
        <w:trPr>
          <w:trHeight w:val="225"/>
        </w:trPr>
        <w:tc>
          <w:tcPr>
            <w:tcW w:w="960" w:type="dxa"/>
            <w:vAlign w:val="bottom"/>
          </w:tcPr>
          <w:p>
            <w:pPr>
              <w:ind w:left="80"/>
              <w:spacing w:after="0"/>
              <w:rPr>
                <w:sz w:val="20"/>
                <w:szCs w:val="20"/>
                <w:color w:val="auto"/>
              </w:rPr>
            </w:pPr>
            <w:r>
              <w:rPr>
                <w:rFonts w:ascii="Arial" w:cs="Arial" w:eastAsia="Arial" w:hAnsi="Arial"/>
                <w:sz w:val="16"/>
                <w:szCs w:val="16"/>
                <w:color w:val="auto"/>
              </w:rPr>
              <w:t>Salary</w:t>
            </w:r>
          </w:p>
        </w:tc>
        <w:tc>
          <w:tcPr>
            <w:tcW w:w="9960" w:type="dxa"/>
            <w:vAlign w:val="bottom"/>
            <w:gridSpan w:val="2"/>
          </w:tcPr>
          <w:p>
            <w:pPr>
              <w:ind w:left="260"/>
              <w:spacing w:after="0"/>
              <w:rPr>
                <w:sz w:val="20"/>
                <w:szCs w:val="20"/>
                <w:color w:val="auto"/>
              </w:rPr>
            </w:pPr>
            <w:r>
              <w:rPr>
                <w:rFonts w:ascii="Arial" w:cs="Arial" w:eastAsia="Arial" w:hAnsi="Arial"/>
                <w:sz w:val="16"/>
                <w:szCs w:val="16"/>
                <w:color w:val="auto"/>
              </w:rPr>
              <w:t>• Set at a market competitive level, in light of individual experience and performance</w:t>
            </w:r>
          </w:p>
        </w:tc>
      </w:tr>
      <w:tr>
        <w:trPr>
          <w:trHeight w:val="97"/>
        </w:trPr>
        <w:tc>
          <w:tcPr>
            <w:tcW w:w="960" w:type="dxa"/>
            <w:vAlign w:val="bottom"/>
            <w:tcBorders>
              <w:bottom w:val="single" w:sz="8" w:color="009BDE"/>
            </w:tcBorders>
          </w:tcPr>
          <w:p>
            <w:pPr>
              <w:spacing w:after="0"/>
              <w:rPr>
                <w:sz w:val="8"/>
                <w:szCs w:val="8"/>
                <w:color w:val="auto"/>
              </w:rPr>
            </w:pPr>
          </w:p>
        </w:tc>
        <w:tc>
          <w:tcPr>
            <w:tcW w:w="480" w:type="dxa"/>
            <w:vAlign w:val="bottom"/>
            <w:tcBorders>
              <w:bottom w:val="single" w:sz="8" w:color="009BDE"/>
            </w:tcBorders>
          </w:tcPr>
          <w:p>
            <w:pPr>
              <w:spacing w:after="0"/>
              <w:rPr>
                <w:sz w:val="8"/>
                <w:szCs w:val="8"/>
                <w:color w:val="auto"/>
              </w:rPr>
            </w:pPr>
          </w:p>
        </w:tc>
        <w:tc>
          <w:tcPr>
            <w:tcW w:w="9480" w:type="dxa"/>
            <w:vAlign w:val="bottom"/>
            <w:tcBorders>
              <w:bottom w:val="single" w:sz="8" w:color="009BDE"/>
            </w:tcBorders>
          </w:tcPr>
          <w:p>
            <w:pPr>
              <w:spacing w:after="0"/>
              <w:rPr>
                <w:sz w:val="8"/>
                <w:szCs w:val="8"/>
                <w:color w:val="auto"/>
              </w:rPr>
            </w:pPr>
          </w:p>
        </w:tc>
      </w:tr>
      <w:tr>
        <w:trPr>
          <w:trHeight w:val="260"/>
        </w:trPr>
        <w:tc>
          <w:tcPr>
            <w:tcW w:w="960" w:type="dxa"/>
            <w:vAlign w:val="bottom"/>
          </w:tcPr>
          <w:p>
            <w:pPr>
              <w:ind w:left="80"/>
              <w:spacing w:after="0"/>
              <w:rPr>
                <w:sz w:val="20"/>
                <w:szCs w:val="20"/>
                <w:color w:val="auto"/>
              </w:rPr>
            </w:pPr>
            <w:r>
              <w:rPr>
                <w:rFonts w:ascii="Arial" w:cs="Arial" w:eastAsia="Arial" w:hAnsi="Arial"/>
                <w:sz w:val="16"/>
                <w:szCs w:val="16"/>
                <w:color w:val="auto"/>
              </w:rPr>
              <w:t>Annual</w:t>
            </w:r>
          </w:p>
        </w:tc>
        <w:tc>
          <w:tcPr>
            <w:tcW w:w="480" w:type="dxa"/>
            <w:vAlign w:val="bottom"/>
          </w:tcPr>
          <w:p>
            <w:pPr>
              <w:ind w:left="260"/>
              <w:spacing w:after="0"/>
              <w:rPr>
                <w:sz w:val="20"/>
                <w:szCs w:val="20"/>
                <w:color w:val="auto"/>
              </w:rPr>
            </w:pPr>
            <w:r>
              <w:rPr>
                <w:rFonts w:ascii="Arial" w:cs="Arial" w:eastAsia="Arial" w:hAnsi="Arial"/>
                <w:sz w:val="16"/>
                <w:szCs w:val="16"/>
                <w:color w:val="auto"/>
              </w:rPr>
              <w:t>•</w:t>
            </w:r>
          </w:p>
        </w:tc>
        <w:tc>
          <w:tcPr>
            <w:tcW w:w="9480" w:type="dxa"/>
            <w:vAlign w:val="bottom"/>
          </w:tcPr>
          <w:p>
            <w:pPr>
              <w:ind w:left="40"/>
              <w:spacing w:after="0"/>
              <w:rPr>
                <w:sz w:val="20"/>
                <w:szCs w:val="20"/>
                <w:color w:val="auto"/>
              </w:rPr>
            </w:pPr>
            <w:r>
              <w:rPr>
                <w:rFonts w:ascii="Arial" w:cs="Arial" w:eastAsia="Arial" w:hAnsi="Arial"/>
                <w:sz w:val="16"/>
                <w:szCs w:val="16"/>
                <w:color w:val="auto"/>
              </w:rPr>
              <w:t>Performance-based</w:t>
            </w:r>
          </w:p>
        </w:tc>
      </w:tr>
      <w:tr>
        <w:trPr>
          <w:trHeight w:val="187"/>
        </w:trPr>
        <w:tc>
          <w:tcPr>
            <w:tcW w:w="960" w:type="dxa"/>
            <w:vAlign w:val="bottom"/>
          </w:tcPr>
          <w:p>
            <w:pPr>
              <w:ind w:left="80"/>
              <w:spacing w:after="0"/>
              <w:rPr>
                <w:sz w:val="20"/>
                <w:szCs w:val="20"/>
                <w:color w:val="auto"/>
              </w:rPr>
            </w:pPr>
            <w:r>
              <w:rPr>
                <w:rFonts w:ascii="Arial" w:cs="Arial" w:eastAsia="Arial" w:hAnsi="Arial"/>
                <w:sz w:val="16"/>
                <w:szCs w:val="16"/>
                <w:color w:val="auto"/>
              </w:rPr>
              <w:t>Incentive</w:t>
            </w:r>
          </w:p>
        </w:tc>
        <w:tc>
          <w:tcPr>
            <w:tcW w:w="9960" w:type="dxa"/>
            <w:vAlign w:val="bottom"/>
            <w:gridSpan w:val="2"/>
          </w:tcPr>
          <w:p>
            <w:pPr>
              <w:ind w:left="400"/>
              <w:spacing w:after="0"/>
              <w:rPr>
                <w:sz w:val="20"/>
                <w:szCs w:val="20"/>
                <w:color w:val="auto"/>
              </w:rPr>
            </w:pPr>
            <w:r>
              <w:rPr>
                <w:rFonts w:ascii="Arial" w:cs="Arial" w:eastAsia="Arial" w:hAnsi="Arial"/>
                <w:sz w:val="16"/>
                <w:szCs w:val="16"/>
                <w:color w:val="auto"/>
              </w:rPr>
              <w:t>- Tied to company and business area achievement against stated annual financial goals</w:t>
            </w:r>
          </w:p>
        </w:tc>
      </w:tr>
      <w:tr>
        <w:trPr>
          <w:trHeight w:val="187"/>
        </w:trPr>
        <w:tc>
          <w:tcPr>
            <w:tcW w:w="960" w:type="dxa"/>
            <w:vAlign w:val="bottom"/>
          </w:tcPr>
          <w:p>
            <w:pPr>
              <w:ind w:left="80"/>
              <w:spacing w:after="0"/>
              <w:rPr>
                <w:sz w:val="20"/>
                <w:szCs w:val="20"/>
                <w:color w:val="auto"/>
              </w:rPr>
            </w:pPr>
            <w:r>
              <w:rPr>
                <w:rFonts w:ascii="Arial" w:cs="Arial" w:eastAsia="Arial" w:hAnsi="Arial"/>
                <w:sz w:val="16"/>
                <w:szCs w:val="16"/>
                <w:color w:val="auto"/>
              </w:rPr>
              <w:t>Awards</w:t>
            </w:r>
          </w:p>
        </w:tc>
        <w:tc>
          <w:tcPr>
            <w:tcW w:w="480" w:type="dxa"/>
            <w:vAlign w:val="bottom"/>
          </w:tcPr>
          <w:p>
            <w:pPr>
              <w:ind w:left="260"/>
              <w:spacing w:after="0"/>
              <w:rPr>
                <w:sz w:val="20"/>
                <w:szCs w:val="20"/>
                <w:color w:val="auto"/>
              </w:rPr>
            </w:pPr>
            <w:r>
              <w:rPr>
                <w:rFonts w:ascii="Arial" w:cs="Arial" w:eastAsia="Arial" w:hAnsi="Arial"/>
                <w:sz w:val="16"/>
                <w:szCs w:val="16"/>
                <w:color w:val="auto"/>
              </w:rPr>
              <w:t>•</w:t>
            </w:r>
          </w:p>
        </w:tc>
        <w:tc>
          <w:tcPr>
            <w:tcW w:w="9480" w:type="dxa"/>
            <w:vAlign w:val="bottom"/>
          </w:tcPr>
          <w:p>
            <w:pPr>
              <w:ind w:left="40"/>
              <w:spacing w:after="0"/>
              <w:rPr>
                <w:sz w:val="20"/>
                <w:szCs w:val="20"/>
                <w:color w:val="auto"/>
              </w:rPr>
            </w:pPr>
            <w:r>
              <w:rPr>
                <w:rFonts w:ascii="Arial" w:cs="Arial" w:eastAsia="Arial" w:hAnsi="Arial"/>
                <w:sz w:val="16"/>
                <w:szCs w:val="16"/>
                <w:color w:val="auto"/>
              </w:rPr>
              <w:t>Performance measures evaluated</w:t>
            </w:r>
          </w:p>
        </w:tc>
      </w:tr>
      <w:tr>
        <w:trPr>
          <w:trHeight w:val="187"/>
        </w:trPr>
        <w:tc>
          <w:tcPr>
            <w:tcW w:w="960" w:type="dxa"/>
            <w:vAlign w:val="bottom"/>
          </w:tcPr>
          <w:p>
            <w:pPr>
              <w:spacing w:after="0"/>
              <w:rPr>
                <w:sz w:val="16"/>
                <w:szCs w:val="16"/>
                <w:color w:val="auto"/>
              </w:rPr>
            </w:pPr>
          </w:p>
        </w:tc>
        <w:tc>
          <w:tcPr>
            <w:tcW w:w="9960" w:type="dxa"/>
            <w:vAlign w:val="bottom"/>
            <w:gridSpan w:val="2"/>
          </w:tcPr>
          <w:p>
            <w:pPr>
              <w:ind w:left="400"/>
              <w:spacing w:after="0"/>
              <w:rPr>
                <w:sz w:val="20"/>
                <w:szCs w:val="20"/>
                <w:color w:val="auto"/>
              </w:rPr>
            </w:pPr>
            <w:r>
              <w:rPr>
                <w:rFonts w:ascii="Arial" w:cs="Arial" w:eastAsia="Arial" w:hAnsi="Arial"/>
                <w:sz w:val="16"/>
                <w:szCs w:val="16"/>
                <w:color w:val="auto"/>
              </w:rPr>
              <w:t>- Total Net Revenues</w:t>
            </w:r>
          </w:p>
        </w:tc>
      </w:tr>
      <w:tr>
        <w:trPr>
          <w:trHeight w:val="203"/>
        </w:trPr>
        <w:tc>
          <w:tcPr>
            <w:tcW w:w="960" w:type="dxa"/>
            <w:vAlign w:val="bottom"/>
          </w:tcPr>
          <w:p>
            <w:pPr>
              <w:spacing w:after="0"/>
              <w:rPr>
                <w:sz w:val="17"/>
                <w:szCs w:val="17"/>
                <w:color w:val="auto"/>
              </w:rPr>
            </w:pPr>
          </w:p>
        </w:tc>
        <w:tc>
          <w:tcPr>
            <w:tcW w:w="480" w:type="dxa"/>
            <w:vAlign w:val="bottom"/>
          </w:tcPr>
          <w:p>
            <w:pPr>
              <w:ind w:left="400"/>
              <w:spacing w:after="0"/>
              <w:rPr>
                <w:sz w:val="20"/>
                <w:szCs w:val="20"/>
                <w:color w:val="auto"/>
              </w:rPr>
            </w:pPr>
            <w:r>
              <w:rPr>
                <w:rFonts w:ascii="Arial" w:cs="Arial" w:eastAsia="Arial" w:hAnsi="Arial"/>
                <w:sz w:val="16"/>
                <w:szCs w:val="16"/>
                <w:color w:val="auto"/>
              </w:rPr>
              <w:t>-</w:t>
            </w:r>
          </w:p>
        </w:tc>
        <w:tc>
          <w:tcPr>
            <w:tcW w:w="9480" w:type="dxa"/>
            <w:vAlign w:val="bottom"/>
          </w:tcPr>
          <w:p>
            <w:pPr>
              <w:ind w:left="40"/>
              <w:spacing w:after="0"/>
              <w:rPr>
                <w:sz w:val="20"/>
                <w:szCs w:val="20"/>
                <w:color w:val="auto"/>
              </w:rPr>
            </w:pPr>
            <w:r>
              <w:rPr>
                <w:rFonts w:ascii="Arial" w:cs="Arial" w:eastAsia="Arial" w:hAnsi="Arial"/>
                <w:sz w:val="16"/>
                <w:szCs w:val="16"/>
                <w:color w:val="auto"/>
              </w:rPr>
              <w:t>Operating Profit Dollars</w:t>
            </w:r>
          </w:p>
        </w:tc>
      </w:tr>
    </w:tbl>
    <w:p>
      <w:pPr>
        <w:ind w:left="1640" w:right="120" w:hanging="259"/>
        <w:spacing w:after="0" w:line="258" w:lineRule="auto"/>
        <w:tabs>
          <w:tab w:leader="none" w:pos="1620" w:val="left"/>
        </w:tabs>
        <w:rPr>
          <w:sz w:val="20"/>
          <w:szCs w:val="20"/>
          <w:color w:val="auto"/>
        </w:rPr>
      </w:pPr>
      <w:r>
        <w:rPr>
          <w:rFonts w:ascii="Arial" w:cs="Arial" w:eastAsia="Arial" w:hAnsi="Arial"/>
          <w:sz w:val="16"/>
          <w:szCs w:val="16"/>
          <w:color w:val="auto"/>
        </w:rPr>
        <w:t>•</w:t>
        <w:tab/>
        <w:t>Individual Performance Adjustment: Designed to enable us to reward for strategic and operating performance not captured by the financial metrics listed by allowing the Committee to adjust the payouts down to 0% or up to +35% based on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53340</wp:posOffset>
            </wp:positionV>
            <wp:extent cx="69297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307975</wp:posOffset>
            </wp:positionV>
            <wp:extent cx="6964045" cy="3905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FCFCFC"/>
        </w:rPr>
        <w:t>    ix</w:t>
      </w:r>
    </w:p>
    <w:p>
      <w:pPr>
        <w:sectPr>
          <w:pgSz w:w="11900" w:h="16838" w:orient="portrait"/>
          <w:cols w:equalWidth="0" w:num="1">
            <w:col w:w="11080"/>
          </w:cols>
          <w:pgMar w:left="320" w:top="478"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37"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1280" w:type="dxa"/>
            <w:vAlign w:val="bottom"/>
            <w:shd w:val="clear" w:color="auto" w:fill="CCEBF8"/>
          </w:tcPr>
          <w:p>
            <w:pPr>
              <w:spacing w:after="0"/>
              <w:rPr>
                <w:sz w:val="24"/>
                <w:szCs w:val="24"/>
                <w:color w:val="auto"/>
              </w:rPr>
            </w:pPr>
          </w:p>
        </w:tc>
        <w:tc>
          <w:tcPr>
            <w:tcW w:w="9640" w:type="dxa"/>
            <w:vAlign w:val="bottom"/>
            <w:shd w:val="clear" w:color="auto" w:fill="CCEBF8"/>
          </w:tcPr>
          <w:p>
            <w:pPr>
              <w:ind w:left="2120"/>
              <w:spacing w:after="0"/>
              <w:rPr>
                <w:sz w:val="20"/>
                <w:szCs w:val="20"/>
                <w:color w:val="auto"/>
              </w:rPr>
            </w:pPr>
            <w:r>
              <w:rPr>
                <w:rFonts w:ascii="Arial" w:cs="Arial" w:eastAsia="Arial" w:hAnsi="Arial"/>
                <w:sz w:val="18"/>
                <w:szCs w:val="18"/>
                <w:b w:val="1"/>
                <w:bCs w:val="1"/>
                <w:color w:val="009BDE"/>
              </w:rPr>
              <w:t>2025 Executive Compensation Program Elements</w:t>
            </w:r>
          </w:p>
        </w:tc>
      </w:tr>
      <w:tr>
        <w:trPr>
          <w:trHeight w:val="108"/>
        </w:trPr>
        <w:tc>
          <w:tcPr>
            <w:tcW w:w="10920" w:type="dxa"/>
            <w:vAlign w:val="bottom"/>
            <w:tcBorders>
              <w:bottom w:val="single" w:sz="8" w:color="009BDE"/>
            </w:tcBorders>
            <w:gridSpan w:val="2"/>
            <w:shd w:val="clear" w:color="auto" w:fill="CCEBF8"/>
          </w:tcPr>
          <w:p>
            <w:pPr>
              <w:spacing w:after="0"/>
              <w:rPr>
                <w:sz w:val="9"/>
                <w:szCs w:val="9"/>
                <w:color w:val="auto"/>
              </w:rPr>
            </w:pPr>
          </w:p>
        </w:tc>
      </w:tr>
      <w:tr>
        <w:trPr>
          <w:trHeight w:val="294"/>
        </w:trPr>
        <w:tc>
          <w:tcPr>
            <w:tcW w:w="10920" w:type="dxa"/>
            <w:vAlign w:val="bottom"/>
            <w:gridSpan w:val="2"/>
          </w:tcPr>
          <w:p>
            <w:pPr>
              <w:ind w:left="80"/>
              <w:spacing w:after="0"/>
              <w:rPr>
                <w:sz w:val="20"/>
                <w:szCs w:val="20"/>
                <w:color w:val="auto"/>
              </w:rPr>
            </w:pPr>
            <w:r>
              <w:rPr>
                <w:rFonts w:ascii="Arial" w:cs="Arial" w:eastAsia="Arial" w:hAnsi="Arial"/>
                <w:sz w:val="16"/>
                <w:szCs w:val="16"/>
                <w:b w:val="1"/>
                <w:bCs w:val="1"/>
                <w:color w:val="auto"/>
              </w:rPr>
              <w:t>Type of Annual Long-Term Incentive Compensation</w:t>
            </w:r>
          </w:p>
        </w:tc>
      </w:tr>
      <w:tr>
        <w:trPr>
          <w:trHeight w:val="87"/>
        </w:trPr>
        <w:tc>
          <w:tcPr>
            <w:tcW w:w="1280" w:type="dxa"/>
            <w:vAlign w:val="bottom"/>
            <w:tcBorders>
              <w:bottom w:val="single" w:sz="8" w:color="009BDE"/>
            </w:tcBorders>
          </w:tcPr>
          <w:p>
            <w:pPr>
              <w:spacing w:after="0"/>
              <w:rPr>
                <w:sz w:val="7"/>
                <w:szCs w:val="7"/>
                <w:color w:val="auto"/>
              </w:rPr>
            </w:pPr>
          </w:p>
        </w:tc>
        <w:tc>
          <w:tcPr>
            <w:tcW w:w="9640" w:type="dxa"/>
            <w:vAlign w:val="bottom"/>
            <w:tcBorders>
              <w:bottom w:val="single" w:sz="8" w:color="009BDE"/>
            </w:tcBorders>
          </w:tcPr>
          <w:p>
            <w:pPr>
              <w:spacing w:after="0"/>
              <w:rPr>
                <w:sz w:val="7"/>
                <w:szCs w:val="7"/>
                <w:color w:val="auto"/>
              </w:rPr>
            </w:pPr>
          </w:p>
        </w:tc>
      </w:tr>
      <w:tr>
        <w:trPr>
          <w:trHeight w:val="260"/>
        </w:trPr>
        <w:tc>
          <w:tcPr>
            <w:tcW w:w="1280" w:type="dxa"/>
            <w:vAlign w:val="bottom"/>
          </w:tcPr>
          <w:p>
            <w:pPr>
              <w:ind w:left="80"/>
              <w:spacing w:after="0"/>
              <w:rPr>
                <w:sz w:val="20"/>
                <w:szCs w:val="20"/>
                <w:color w:val="auto"/>
              </w:rPr>
            </w:pPr>
            <w:r>
              <w:rPr>
                <w:rFonts w:ascii="Arial" w:cs="Arial" w:eastAsia="Arial" w:hAnsi="Arial"/>
                <w:sz w:val="16"/>
                <w:szCs w:val="16"/>
                <w:color w:val="auto"/>
              </w:rPr>
              <w:t>Performance</w:t>
            </w:r>
          </w:p>
        </w:tc>
        <w:tc>
          <w:tcPr>
            <w:tcW w:w="9640" w:type="dxa"/>
            <w:vAlign w:val="bottom"/>
          </w:tcPr>
          <w:p>
            <w:pPr>
              <w:ind w:left="260"/>
              <w:spacing w:after="0"/>
              <w:rPr>
                <w:sz w:val="20"/>
                <w:szCs w:val="20"/>
                <w:color w:val="auto"/>
              </w:rPr>
            </w:pPr>
            <w:r>
              <w:rPr>
                <w:rFonts w:ascii="Arial" w:cs="Arial" w:eastAsia="Arial" w:hAnsi="Arial"/>
                <w:sz w:val="16"/>
                <w:szCs w:val="16"/>
                <w:color w:val="auto"/>
              </w:rPr>
              <w:t>• Represented 50% of annual target equity award value for our CEO and other NEOs</w:t>
            </w:r>
          </w:p>
        </w:tc>
      </w:tr>
      <w:tr>
        <w:trPr>
          <w:trHeight w:val="187"/>
        </w:trPr>
        <w:tc>
          <w:tcPr>
            <w:tcW w:w="1280" w:type="dxa"/>
            <w:vAlign w:val="bottom"/>
          </w:tcPr>
          <w:p>
            <w:pPr>
              <w:ind w:left="80"/>
              <w:spacing w:after="0"/>
              <w:rPr>
                <w:sz w:val="20"/>
                <w:szCs w:val="20"/>
                <w:color w:val="auto"/>
              </w:rPr>
            </w:pPr>
            <w:r>
              <w:rPr>
                <w:rFonts w:ascii="Arial" w:cs="Arial" w:eastAsia="Arial" w:hAnsi="Arial"/>
                <w:sz w:val="16"/>
                <w:szCs w:val="16"/>
                <w:color w:val="auto"/>
              </w:rPr>
              <w:t>Share Units</w:t>
            </w:r>
          </w:p>
        </w:tc>
        <w:tc>
          <w:tcPr>
            <w:tcW w:w="9640" w:type="dxa"/>
            <w:vAlign w:val="bottom"/>
          </w:tcPr>
          <w:p>
            <w:pPr>
              <w:ind w:left="260"/>
              <w:spacing w:after="0"/>
              <w:rPr>
                <w:sz w:val="20"/>
                <w:szCs w:val="20"/>
                <w:color w:val="auto"/>
              </w:rPr>
            </w:pPr>
            <w:r>
              <w:rPr>
                <w:rFonts w:ascii="Arial" w:cs="Arial" w:eastAsia="Arial" w:hAnsi="Arial"/>
                <w:sz w:val="16"/>
                <w:szCs w:val="16"/>
                <w:color w:val="auto"/>
              </w:rPr>
              <w:t>• Earned based on challenging long-term three-year goals requiring sustained strong operating performance</w:t>
            </w:r>
          </w:p>
        </w:tc>
      </w:tr>
      <w:tr>
        <w:trPr>
          <w:trHeight w:val="187"/>
        </w:trPr>
        <w:tc>
          <w:tcPr>
            <w:tcW w:w="1280" w:type="dxa"/>
            <w:vAlign w:val="bottom"/>
          </w:tcPr>
          <w:p>
            <w:pPr>
              <w:spacing w:after="0"/>
              <w:rPr>
                <w:sz w:val="16"/>
                <w:szCs w:val="16"/>
                <w:color w:val="auto"/>
              </w:rPr>
            </w:pPr>
          </w:p>
        </w:tc>
        <w:tc>
          <w:tcPr>
            <w:tcW w:w="9640" w:type="dxa"/>
            <w:vAlign w:val="bottom"/>
          </w:tcPr>
          <w:p>
            <w:pPr>
              <w:ind w:left="260"/>
              <w:spacing w:after="0"/>
              <w:rPr>
                <w:sz w:val="20"/>
                <w:szCs w:val="20"/>
                <w:color w:val="auto"/>
              </w:rPr>
            </w:pPr>
            <w:r>
              <w:rPr>
                <w:rFonts w:ascii="Arial" w:cs="Arial" w:eastAsia="Arial" w:hAnsi="Arial"/>
                <w:sz w:val="16"/>
                <w:szCs w:val="16"/>
                <w:color w:val="auto"/>
              </w:rPr>
              <w:t>• Aligns management behavior with maximizing shareholder value</w:t>
            </w:r>
          </w:p>
        </w:tc>
      </w:tr>
      <w:tr>
        <w:trPr>
          <w:trHeight w:val="187"/>
        </w:trPr>
        <w:tc>
          <w:tcPr>
            <w:tcW w:w="1280" w:type="dxa"/>
            <w:vAlign w:val="bottom"/>
          </w:tcPr>
          <w:p>
            <w:pPr>
              <w:spacing w:after="0"/>
              <w:rPr>
                <w:sz w:val="16"/>
                <w:szCs w:val="16"/>
                <w:color w:val="auto"/>
              </w:rPr>
            </w:pPr>
          </w:p>
        </w:tc>
        <w:tc>
          <w:tcPr>
            <w:tcW w:w="9640" w:type="dxa"/>
            <w:vAlign w:val="bottom"/>
          </w:tcPr>
          <w:p>
            <w:pPr>
              <w:ind w:left="260"/>
              <w:spacing w:after="0"/>
              <w:rPr>
                <w:sz w:val="20"/>
                <w:szCs w:val="20"/>
                <w:color w:val="auto"/>
              </w:rPr>
            </w:pPr>
            <w:r>
              <w:rPr>
                <w:rFonts w:ascii="Arial" w:cs="Arial" w:eastAsia="Arial" w:hAnsi="Arial"/>
                <w:sz w:val="16"/>
                <w:szCs w:val="16"/>
                <w:color w:val="auto"/>
              </w:rPr>
              <w:t>• Tied to achievement of EPS targets over a 3-year performance period</w:t>
            </w:r>
          </w:p>
        </w:tc>
      </w:tr>
      <w:tr>
        <w:trPr>
          <w:trHeight w:val="187"/>
        </w:trPr>
        <w:tc>
          <w:tcPr>
            <w:tcW w:w="1280" w:type="dxa"/>
            <w:vAlign w:val="bottom"/>
          </w:tcPr>
          <w:p>
            <w:pPr>
              <w:spacing w:after="0"/>
              <w:rPr>
                <w:sz w:val="16"/>
                <w:szCs w:val="16"/>
                <w:color w:val="auto"/>
              </w:rPr>
            </w:pPr>
          </w:p>
        </w:tc>
        <w:tc>
          <w:tcPr>
            <w:tcW w:w="9640" w:type="dxa"/>
            <w:vAlign w:val="bottom"/>
          </w:tcPr>
          <w:p>
            <w:pPr>
              <w:ind w:left="260"/>
              <w:spacing w:after="0"/>
              <w:rPr>
                <w:sz w:val="20"/>
                <w:szCs w:val="20"/>
                <w:color w:val="auto"/>
              </w:rPr>
            </w:pPr>
            <w:r>
              <w:rPr>
                <w:rFonts w:ascii="Arial" w:cs="Arial" w:eastAsia="Arial" w:hAnsi="Arial"/>
                <w:sz w:val="16"/>
                <w:szCs w:val="16"/>
                <w:color w:val="auto"/>
              </w:rPr>
              <w:t>• Modified +/- 25% by our relative TSR performance compared to S&amp;P 500 companies</w:t>
            </w:r>
          </w:p>
        </w:tc>
      </w:tr>
      <w:tr>
        <w:trPr>
          <w:trHeight w:val="187"/>
        </w:trPr>
        <w:tc>
          <w:tcPr>
            <w:tcW w:w="1280" w:type="dxa"/>
            <w:vAlign w:val="bottom"/>
          </w:tcPr>
          <w:p>
            <w:pPr>
              <w:spacing w:after="0"/>
              <w:rPr>
                <w:sz w:val="16"/>
                <w:szCs w:val="16"/>
                <w:color w:val="auto"/>
              </w:rPr>
            </w:pPr>
          </w:p>
        </w:tc>
        <w:tc>
          <w:tcPr>
            <w:tcW w:w="9640" w:type="dxa"/>
            <w:vAlign w:val="bottom"/>
          </w:tcPr>
          <w:p>
            <w:pPr>
              <w:ind w:left="260"/>
              <w:spacing w:after="0"/>
              <w:rPr>
                <w:sz w:val="20"/>
                <w:szCs w:val="20"/>
                <w:color w:val="auto"/>
              </w:rPr>
            </w:pPr>
            <w:r>
              <w:rPr>
                <w:rFonts w:ascii="Arial" w:cs="Arial" w:eastAsia="Arial" w:hAnsi="Arial"/>
                <w:sz w:val="16"/>
                <w:szCs w:val="16"/>
                <w:color w:val="auto"/>
              </w:rPr>
              <w:t>• If our cumulative TSR at the end of a 3-year performance period is greater than or equal to 33%, the award vests at a minimum of</w:t>
            </w:r>
          </w:p>
        </w:tc>
      </w:tr>
      <w:tr>
        <w:trPr>
          <w:trHeight w:val="211"/>
        </w:trPr>
        <w:tc>
          <w:tcPr>
            <w:tcW w:w="1280" w:type="dxa"/>
            <w:vAlign w:val="bottom"/>
          </w:tcPr>
          <w:p>
            <w:pPr>
              <w:spacing w:after="0"/>
              <w:rPr>
                <w:sz w:val="18"/>
                <w:szCs w:val="18"/>
                <w:color w:val="auto"/>
              </w:rPr>
            </w:pPr>
          </w:p>
        </w:tc>
        <w:tc>
          <w:tcPr>
            <w:tcW w:w="9640" w:type="dxa"/>
            <w:vAlign w:val="bottom"/>
          </w:tcPr>
          <w:p>
            <w:pPr>
              <w:ind w:left="400"/>
              <w:spacing w:after="0"/>
              <w:rPr>
                <w:sz w:val="20"/>
                <w:szCs w:val="20"/>
                <w:color w:val="auto"/>
              </w:rPr>
            </w:pPr>
            <w:r>
              <w:rPr>
                <w:rFonts w:ascii="Arial" w:cs="Arial" w:eastAsia="Arial" w:hAnsi="Arial"/>
                <w:sz w:val="16"/>
                <w:szCs w:val="16"/>
                <w:color w:val="auto"/>
              </w:rPr>
              <w:t>50% of target</w:t>
            </w:r>
          </w:p>
        </w:tc>
      </w:tr>
      <w:tr>
        <w:trPr>
          <w:trHeight w:val="97"/>
        </w:trPr>
        <w:tc>
          <w:tcPr>
            <w:tcW w:w="1280" w:type="dxa"/>
            <w:vAlign w:val="bottom"/>
            <w:tcBorders>
              <w:bottom w:val="single" w:sz="8" w:color="009BDE"/>
            </w:tcBorders>
          </w:tcPr>
          <w:p>
            <w:pPr>
              <w:spacing w:after="0"/>
              <w:rPr>
                <w:sz w:val="8"/>
                <w:szCs w:val="8"/>
                <w:color w:val="auto"/>
              </w:rPr>
            </w:pPr>
          </w:p>
        </w:tc>
        <w:tc>
          <w:tcPr>
            <w:tcW w:w="9640" w:type="dxa"/>
            <w:vAlign w:val="bottom"/>
            <w:tcBorders>
              <w:bottom w:val="single" w:sz="8" w:color="009BDE"/>
            </w:tcBorders>
          </w:tcPr>
          <w:p>
            <w:pPr>
              <w:spacing w:after="0"/>
              <w:rPr>
                <w:sz w:val="8"/>
                <w:szCs w:val="8"/>
                <w:color w:val="auto"/>
              </w:rPr>
            </w:pPr>
          </w:p>
        </w:tc>
      </w:tr>
      <w:tr>
        <w:trPr>
          <w:trHeight w:val="260"/>
        </w:trPr>
        <w:tc>
          <w:tcPr>
            <w:tcW w:w="1280" w:type="dxa"/>
            <w:vAlign w:val="bottom"/>
          </w:tcPr>
          <w:p>
            <w:pPr>
              <w:ind w:left="80"/>
              <w:spacing w:after="0"/>
              <w:rPr>
                <w:sz w:val="20"/>
                <w:szCs w:val="20"/>
                <w:color w:val="auto"/>
              </w:rPr>
            </w:pPr>
            <w:r>
              <w:rPr>
                <w:rFonts w:ascii="Arial" w:cs="Arial" w:eastAsia="Arial" w:hAnsi="Arial"/>
                <w:sz w:val="16"/>
                <w:szCs w:val="16"/>
                <w:color w:val="auto"/>
              </w:rPr>
              <w:t>Restricted</w:t>
            </w:r>
          </w:p>
        </w:tc>
        <w:tc>
          <w:tcPr>
            <w:tcW w:w="9640" w:type="dxa"/>
            <w:vAlign w:val="bottom"/>
          </w:tcPr>
          <w:p>
            <w:pPr>
              <w:ind w:left="260"/>
              <w:spacing w:after="0"/>
              <w:rPr>
                <w:sz w:val="20"/>
                <w:szCs w:val="20"/>
                <w:color w:val="auto"/>
              </w:rPr>
            </w:pPr>
            <w:r>
              <w:rPr>
                <w:rFonts w:ascii="Arial" w:cs="Arial" w:eastAsia="Arial" w:hAnsi="Arial"/>
                <w:sz w:val="16"/>
                <w:szCs w:val="16"/>
                <w:color w:val="auto"/>
              </w:rPr>
              <w:t>• Represented 50% of annual target equity award value for our CEO and the other NEOs</w:t>
            </w:r>
          </w:p>
        </w:tc>
      </w:tr>
      <w:tr>
        <w:trPr>
          <w:trHeight w:val="187"/>
        </w:trPr>
        <w:tc>
          <w:tcPr>
            <w:tcW w:w="1280" w:type="dxa"/>
            <w:vAlign w:val="bottom"/>
          </w:tcPr>
          <w:p>
            <w:pPr>
              <w:ind w:left="80"/>
              <w:spacing w:after="0"/>
              <w:rPr>
                <w:sz w:val="20"/>
                <w:szCs w:val="20"/>
                <w:color w:val="auto"/>
              </w:rPr>
            </w:pPr>
            <w:r>
              <w:rPr>
                <w:rFonts w:ascii="Arial" w:cs="Arial" w:eastAsia="Arial" w:hAnsi="Arial"/>
                <w:sz w:val="16"/>
                <w:szCs w:val="16"/>
                <w:color w:val="auto"/>
              </w:rPr>
              <w:t>Stock Units</w:t>
            </w:r>
          </w:p>
        </w:tc>
        <w:tc>
          <w:tcPr>
            <w:tcW w:w="9640" w:type="dxa"/>
            <w:vAlign w:val="bottom"/>
          </w:tcPr>
          <w:p>
            <w:pPr>
              <w:ind w:left="260"/>
              <w:spacing w:after="0"/>
              <w:rPr>
                <w:sz w:val="20"/>
                <w:szCs w:val="20"/>
                <w:color w:val="auto"/>
              </w:rPr>
            </w:pPr>
            <w:r>
              <w:rPr>
                <w:rFonts w:ascii="Arial" w:cs="Arial" w:eastAsia="Arial" w:hAnsi="Arial"/>
                <w:sz w:val="16"/>
                <w:szCs w:val="16"/>
                <w:color w:val="auto"/>
              </w:rPr>
              <w:t>• Vest in three equal annual installments over the first three anniversaries of the grant date</w:t>
            </w:r>
          </w:p>
        </w:tc>
      </w:tr>
      <w:tr>
        <w:trPr>
          <w:trHeight w:val="211"/>
        </w:trPr>
        <w:tc>
          <w:tcPr>
            <w:tcW w:w="1280" w:type="dxa"/>
            <w:vAlign w:val="bottom"/>
          </w:tcPr>
          <w:p>
            <w:pPr>
              <w:spacing w:after="0"/>
              <w:rPr>
                <w:sz w:val="18"/>
                <w:szCs w:val="18"/>
                <w:color w:val="auto"/>
              </w:rPr>
            </w:pPr>
          </w:p>
        </w:tc>
        <w:tc>
          <w:tcPr>
            <w:tcW w:w="9640" w:type="dxa"/>
            <w:vAlign w:val="bottom"/>
          </w:tcPr>
          <w:p>
            <w:pPr>
              <w:ind w:left="260"/>
              <w:spacing w:after="0"/>
              <w:rPr>
                <w:sz w:val="20"/>
                <w:szCs w:val="20"/>
                <w:color w:val="auto"/>
              </w:rPr>
            </w:pPr>
            <w:r>
              <w:rPr>
                <w:rFonts w:ascii="Arial" w:cs="Arial" w:eastAsia="Arial" w:hAnsi="Arial"/>
                <w:sz w:val="16"/>
                <w:szCs w:val="16"/>
                <w:color w:val="auto"/>
              </w:rPr>
              <w:t>• Provides appropriate retention to executives while continuing to align with shareholder interests through stock price performance</w:t>
            </w:r>
          </w:p>
        </w:tc>
      </w:tr>
      <w:tr>
        <w:trPr>
          <w:trHeight w:val="97"/>
        </w:trPr>
        <w:tc>
          <w:tcPr>
            <w:tcW w:w="1280" w:type="dxa"/>
            <w:vAlign w:val="bottom"/>
            <w:tcBorders>
              <w:bottom w:val="single" w:sz="8" w:color="009BDE"/>
            </w:tcBorders>
          </w:tcPr>
          <w:p>
            <w:pPr>
              <w:spacing w:after="0"/>
              <w:rPr>
                <w:sz w:val="8"/>
                <w:szCs w:val="8"/>
                <w:color w:val="auto"/>
              </w:rPr>
            </w:pPr>
          </w:p>
        </w:tc>
        <w:tc>
          <w:tcPr>
            <w:tcW w:w="9640" w:type="dxa"/>
            <w:vAlign w:val="bottom"/>
            <w:tcBorders>
              <w:bottom w:val="single" w:sz="8" w:color="009BD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153035</wp:posOffset>
            </wp:positionV>
            <wp:extent cx="6929755" cy="26244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975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Our Auditors</w:t>
      </w:r>
    </w:p>
    <w:p>
      <w:pPr>
        <w:spacing w:after="0" w:line="312" w:lineRule="exact"/>
        <w:rPr>
          <w:sz w:val="20"/>
          <w:szCs w:val="20"/>
          <w:color w:val="auto"/>
        </w:rPr>
      </w:pPr>
    </w:p>
    <w:p>
      <w:pPr>
        <w:ind w:left="160" w:right="700"/>
        <w:spacing w:after="0" w:line="250" w:lineRule="auto"/>
        <w:rPr>
          <w:sz w:val="20"/>
          <w:szCs w:val="20"/>
          <w:color w:val="auto"/>
        </w:rPr>
      </w:pPr>
      <w:r>
        <w:rPr>
          <w:rFonts w:ascii="Arial" w:cs="Arial" w:eastAsia="Arial" w:hAnsi="Arial"/>
          <w:sz w:val="20"/>
          <w:szCs w:val="20"/>
          <w:b w:val="1"/>
          <w:bCs w:val="1"/>
          <w:color w:val="009BDE"/>
        </w:rPr>
        <w:t>Proposal 3 — Proposal to Ratify the Selection of KPMG LLP as the Company’s Independent Registered Public Accounting Firm for the 2026 Fiscal Year</w:t>
      </w:r>
    </w:p>
    <w:p>
      <w:pPr>
        <w:spacing w:after="0" w:line="1" w:lineRule="exact"/>
        <w:rPr>
          <w:sz w:val="20"/>
          <w:szCs w:val="20"/>
          <w:color w:val="auto"/>
        </w:rPr>
      </w:pPr>
    </w:p>
    <w:p>
      <w:pPr>
        <w:ind w:left="160" w:right="60"/>
        <w:spacing w:after="0" w:line="251" w:lineRule="auto"/>
        <w:rPr>
          <w:sz w:val="20"/>
          <w:szCs w:val="20"/>
          <w:color w:val="auto"/>
        </w:rPr>
      </w:pPr>
      <w:r>
        <w:rPr>
          <w:rFonts w:ascii="Arial" w:cs="Arial" w:eastAsia="Arial" w:hAnsi="Arial"/>
          <w:sz w:val="16"/>
          <w:szCs w:val="16"/>
          <w:color w:val="auto"/>
        </w:rPr>
        <w:t>You are being asked to vote to ratify the selection of KPMG LLP as our independent registered public accounting firm for fiscal 2026. Detailed information about this proposal can be found below under the heading “Proposal to Ratify the Selection of KPMG LLP as the Company’s Independent Registered Public Accounting Firm for the 2026 Fiscal Year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464820</wp:posOffset>
            </wp:positionV>
            <wp:extent cx="6964045" cy="3905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FCFCFC"/>
        </w:rPr>
        <w:t>     x</w:t>
      </w:r>
    </w:p>
    <w:p>
      <w:pPr>
        <w:sectPr>
          <w:pgSz w:w="11900" w:h="16838" w:orient="portrait"/>
          <w:cols w:equalWidth="0" w:num="1">
            <w:col w:w="11080"/>
          </w:cols>
          <w:pgMar w:left="320" w:top="478"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Election of Directors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6938010" cy="11887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38010" cy="1188720"/>
                    </a:xfrm>
                    <a:prstGeom prst="rect">
                      <a:avLst/>
                    </a:prstGeom>
                    <a:noFill/>
                  </pic:spPr>
                </pic:pic>
              </a:graphicData>
            </a:graphic>
          </wp:anchor>
        </w:drawing>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009BDE"/>
        </w:rPr>
        <w:t>The Board of Directors unanimously recommends a vote “</w:t>
      </w:r>
      <w:r>
        <w:rPr>
          <w:rFonts w:ascii="Arial" w:cs="Arial" w:eastAsia="Arial" w:hAnsi="Arial"/>
          <w:sz w:val="21"/>
          <w:szCs w:val="21"/>
          <w:b w:val="1"/>
          <w:bCs w:val="1"/>
          <w:u w:val="single" w:color="auto"/>
          <w:color w:val="009BDE"/>
        </w:rPr>
        <w:t>FOR ALL</w:t>
      </w:r>
      <w:r>
        <w:rPr>
          <w:rFonts w:ascii="Arial" w:cs="Arial" w:eastAsia="Arial" w:hAnsi="Arial"/>
          <w:sz w:val="21"/>
          <w:szCs w:val="21"/>
          <w:b w:val="1"/>
          <w:bCs w:val="1"/>
          <w:color w:val="009BDE"/>
        </w:rPr>
        <w:t>” of the following</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009BDE"/>
        </w:rPr>
        <w:t>Board nominees at the 2026 Annual Meeting:</w:t>
      </w:r>
    </w:p>
    <w:p>
      <w:pPr>
        <w:spacing w:after="0" w:line="177" w:lineRule="exact"/>
        <w:rPr>
          <w:sz w:val="20"/>
          <w:szCs w:val="20"/>
          <w:color w:val="auto"/>
        </w:rPr>
      </w:pPr>
    </w:p>
    <w:tbl>
      <w:tblPr>
        <w:tblLayout w:type="fixed"/>
        <w:tblInd w:w="320" w:type="dxa"/>
        <w:tblCellMar>
          <w:top w:w="0" w:type="dxa"/>
          <w:left w:w="0" w:type="dxa"/>
          <w:bottom w:w="0" w:type="dxa"/>
          <w:right w:w="0" w:type="dxa"/>
        </w:tblCellMar>
      </w:tblPr>
      <w:tr>
        <w:trPr>
          <w:trHeight w:val="241"/>
        </w:trPr>
        <w:tc>
          <w:tcPr>
            <w:tcW w:w="2780" w:type="dxa"/>
            <w:vAlign w:val="bottom"/>
          </w:tcPr>
          <w:p>
            <w:pPr>
              <w:spacing w:after="0"/>
              <w:rPr>
                <w:sz w:val="20"/>
                <w:szCs w:val="20"/>
                <w:color w:val="auto"/>
              </w:rPr>
            </w:pPr>
            <w:r>
              <w:rPr>
                <w:rFonts w:ascii="Arial" w:cs="Arial" w:eastAsia="Arial" w:hAnsi="Arial"/>
                <w:sz w:val="21"/>
                <w:szCs w:val="21"/>
                <w:b w:val="1"/>
                <w:bCs w:val="1"/>
                <w:color w:val="009BDE"/>
              </w:rPr>
              <w:t>Douglas Bowser</w:t>
            </w:r>
          </w:p>
        </w:tc>
        <w:tc>
          <w:tcPr>
            <w:tcW w:w="3660" w:type="dxa"/>
            <w:vAlign w:val="bottom"/>
          </w:tcPr>
          <w:p>
            <w:pPr>
              <w:ind w:left="900"/>
              <w:spacing w:after="0"/>
              <w:rPr>
                <w:sz w:val="20"/>
                <w:szCs w:val="20"/>
                <w:color w:val="auto"/>
              </w:rPr>
            </w:pPr>
            <w:r>
              <w:rPr>
                <w:rFonts w:ascii="Arial" w:cs="Arial" w:eastAsia="Arial" w:hAnsi="Arial"/>
                <w:sz w:val="21"/>
                <w:szCs w:val="21"/>
                <w:b w:val="1"/>
                <w:bCs w:val="1"/>
                <w:color w:val="009BDE"/>
              </w:rPr>
              <w:t>Frank D. Gibeau</w:t>
            </w:r>
          </w:p>
        </w:tc>
        <w:tc>
          <w:tcPr>
            <w:tcW w:w="2940" w:type="dxa"/>
            <w:vAlign w:val="bottom"/>
          </w:tcPr>
          <w:p>
            <w:pPr>
              <w:ind w:left="960"/>
              <w:spacing w:after="0"/>
              <w:rPr>
                <w:sz w:val="20"/>
                <w:szCs w:val="20"/>
                <w:color w:val="auto"/>
              </w:rPr>
            </w:pPr>
            <w:r>
              <w:rPr>
                <w:rFonts w:ascii="Arial" w:cs="Arial" w:eastAsia="Arial" w:hAnsi="Arial"/>
                <w:sz w:val="21"/>
                <w:szCs w:val="21"/>
                <w:b w:val="1"/>
                <w:bCs w:val="1"/>
                <w:color w:val="009BDE"/>
              </w:rPr>
              <w:t>Laurel J. Richie</w:t>
            </w:r>
          </w:p>
        </w:tc>
      </w:tr>
      <w:tr>
        <w:trPr>
          <w:trHeight w:val="241"/>
        </w:trPr>
        <w:tc>
          <w:tcPr>
            <w:tcW w:w="2780" w:type="dxa"/>
            <w:vAlign w:val="bottom"/>
          </w:tcPr>
          <w:p>
            <w:pPr>
              <w:spacing w:after="0"/>
              <w:rPr>
                <w:sz w:val="20"/>
                <w:szCs w:val="20"/>
                <w:color w:val="auto"/>
              </w:rPr>
            </w:pPr>
            <w:r>
              <w:rPr>
                <w:rFonts w:ascii="Arial" w:cs="Arial" w:eastAsia="Arial" w:hAnsi="Arial"/>
                <w:sz w:val="21"/>
                <w:szCs w:val="21"/>
                <w:b w:val="1"/>
                <w:bCs w:val="1"/>
                <w:color w:val="009BDE"/>
              </w:rPr>
              <w:t>Hope F. Cochran</w:t>
            </w:r>
          </w:p>
        </w:tc>
        <w:tc>
          <w:tcPr>
            <w:tcW w:w="3660" w:type="dxa"/>
            <w:vAlign w:val="bottom"/>
          </w:tcPr>
          <w:p>
            <w:pPr>
              <w:ind w:left="900"/>
              <w:spacing w:after="0"/>
              <w:rPr>
                <w:sz w:val="20"/>
                <w:szCs w:val="20"/>
                <w:color w:val="auto"/>
              </w:rPr>
            </w:pPr>
            <w:r>
              <w:rPr>
                <w:rFonts w:ascii="Arial" w:cs="Arial" w:eastAsia="Arial" w:hAnsi="Arial"/>
                <w:sz w:val="21"/>
                <w:szCs w:val="21"/>
                <w:b w:val="1"/>
                <w:bCs w:val="1"/>
                <w:color w:val="009BDE"/>
              </w:rPr>
              <w:t>Elizabeth Hamren</w:t>
            </w:r>
          </w:p>
        </w:tc>
        <w:tc>
          <w:tcPr>
            <w:tcW w:w="2940" w:type="dxa"/>
            <w:vAlign w:val="bottom"/>
          </w:tcPr>
          <w:p>
            <w:pPr>
              <w:ind w:left="960"/>
              <w:spacing w:after="0"/>
              <w:rPr>
                <w:sz w:val="20"/>
                <w:szCs w:val="20"/>
                <w:color w:val="auto"/>
              </w:rPr>
            </w:pPr>
            <w:r>
              <w:rPr>
                <w:rFonts w:ascii="Arial" w:cs="Arial" w:eastAsia="Arial" w:hAnsi="Arial"/>
                <w:sz w:val="21"/>
                <w:szCs w:val="21"/>
                <w:b w:val="1"/>
                <w:bCs w:val="1"/>
                <w:color w:val="009BDE"/>
                <w:w w:val="99"/>
              </w:rPr>
              <w:t>Richard S. Stoddart</w:t>
            </w:r>
          </w:p>
        </w:tc>
      </w:tr>
      <w:tr>
        <w:trPr>
          <w:trHeight w:val="241"/>
        </w:trPr>
        <w:tc>
          <w:tcPr>
            <w:tcW w:w="2780" w:type="dxa"/>
            <w:vAlign w:val="bottom"/>
          </w:tcPr>
          <w:p>
            <w:pPr>
              <w:spacing w:after="0"/>
              <w:rPr>
                <w:sz w:val="20"/>
                <w:szCs w:val="20"/>
                <w:color w:val="auto"/>
              </w:rPr>
            </w:pPr>
            <w:r>
              <w:rPr>
                <w:rFonts w:ascii="Arial" w:cs="Arial" w:eastAsia="Arial" w:hAnsi="Arial"/>
                <w:sz w:val="21"/>
                <w:szCs w:val="21"/>
                <w:b w:val="1"/>
                <w:bCs w:val="1"/>
                <w:color w:val="009BDE"/>
              </w:rPr>
              <w:t>Christian P. Cocks</w:t>
            </w:r>
          </w:p>
        </w:tc>
        <w:tc>
          <w:tcPr>
            <w:tcW w:w="3660" w:type="dxa"/>
            <w:vAlign w:val="bottom"/>
          </w:tcPr>
          <w:p>
            <w:pPr>
              <w:ind w:left="900"/>
              <w:spacing w:after="0"/>
              <w:rPr>
                <w:sz w:val="20"/>
                <w:szCs w:val="20"/>
                <w:color w:val="auto"/>
              </w:rPr>
            </w:pPr>
            <w:r>
              <w:rPr>
                <w:rFonts w:ascii="Arial" w:cs="Arial" w:eastAsia="Arial" w:hAnsi="Arial"/>
                <w:sz w:val="21"/>
                <w:szCs w:val="21"/>
                <w:b w:val="1"/>
                <w:bCs w:val="1"/>
                <w:color w:val="009BDE"/>
              </w:rPr>
              <w:t>Darin S. Harris</w:t>
            </w:r>
          </w:p>
        </w:tc>
        <w:tc>
          <w:tcPr>
            <w:tcW w:w="2940" w:type="dxa"/>
            <w:vAlign w:val="bottom"/>
          </w:tcPr>
          <w:p>
            <w:pPr>
              <w:ind w:left="960"/>
              <w:spacing w:after="0"/>
              <w:rPr>
                <w:sz w:val="20"/>
                <w:szCs w:val="20"/>
                <w:color w:val="auto"/>
              </w:rPr>
            </w:pPr>
            <w:r>
              <w:rPr>
                <w:rFonts w:ascii="Arial" w:cs="Arial" w:eastAsia="Arial" w:hAnsi="Arial"/>
                <w:sz w:val="21"/>
                <w:szCs w:val="21"/>
                <w:b w:val="1"/>
                <w:bCs w:val="1"/>
                <w:color w:val="009BDE"/>
              </w:rPr>
              <w:t>Carla Vernón</w:t>
            </w:r>
          </w:p>
        </w:tc>
      </w:tr>
      <w:tr>
        <w:trPr>
          <w:trHeight w:val="296"/>
        </w:trPr>
        <w:tc>
          <w:tcPr>
            <w:tcW w:w="2780" w:type="dxa"/>
            <w:vAlign w:val="bottom"/>
          </w:tcPr>
          <w:p>
            <w:pPr>
              <w:spacing w:after="0"/>
              <w:rPr>
                <w:sz w:val="20"/>
                <w:szCs w:val="20"/>
                <w:color w:val="auto"/>
              </w:rPr>
            </w:pPr>
            <w:r>
              <w:rPr>
                <w:rFonts w:ascii="Arial" w:cs="Arial" w:eastAsia="Arial" w:hAnsi="Arial"/>
                <w:sz w:val="21"/>
                <w:szCs w:val="21"/>
                <w:b w:val="1"/>
                <w:bCs w:val="1"/>
                <w:color w:val="009BDE"/>
              </w:rPr>
              <w:t>Lisa Gersh</w:t>
            </w:r>
          </w:p>
        </w:tc>
        <w:tc>
          <w:tcPr>
            <w:tcW w:w="3660" w:type="dxa"/>
            <w:vAlign w:val="bottom"/>
          </w:tcPr>
          <w:p>
            <w:pPr>
              <w:ind w:left="900"/>
              <w:spacing w:after="0"/>
              <w:rPr>
                <w:sz w:val="20"/>
                <w:szCs w:val="20"/>
                <w:color w:val="auto"/>
              </w:rPr>
            </w:pPr>
            <w:r>
              <w:rPr>
                <w:rFonts w:ascii="Arial" w:cs="Arial" w:eastAsia="Arial" w:hAnsi="Arial"/>
                <w:sz w:val="21"/>
                <w:szCs w:val="21"/>
                <w:b w:val="1"/>
                <w:bCs w:val="1"/>
                <w:color w:val="009BDE"/>
              </w:rPr>
              <w:t>Owen Mahoney</w:t>
            </w:r>
          </w:p>
        </w:tc>
        <w:tc>
          <w:tcPr>
            <w:tcW w:w="2940" w:type="dxa"/>
            <w:vAlign w:val="bottom"/>
          </w:tcPr>
          <w:p>
            <w:pPr>
              <w:spacing w:after="0"/>
              <w:rPr>
                <w:sz w:val="24"/>
                <w:szCs w:val="24"/>
                <w:color w:val="auto"/>
              </w:rPr>
            </w:pPr>
          </w:p>
        </w:tc>
      </w:tr>
    </w:tbl>
    <w:p>
      <w:pPr>
        <w:spacing w:after="0" w:line="254" w:lineRule="exact"/>
        <w:rPr>
          <w:sz w:val="20"/>
          <w:szCs w:val="20"/>
          <w:color w:val="auto"/>
        </w:rPr>
      </w:pPr>
    </w:p>
    <w:p>
      <w:pPr>
        <w:jc w:val="both"/>
        <w:ind w:left="160" w:right="100"/>
        <w:spacing w:after="0" w:line="262" w:lineRule="auto"/>
        <w:rPr>
          <w:sz w:val="20"/>
          <w:szCs w:val="20"/>
          <w:color w:val="auto"/>
        </w:rPr>
      </w:pPr>
      <w:r>
        <w:rPr>
          <w:rFonts w:ascii="Arial" w:cs="Arial" w:eastAsia="Arial" w:hAnsi="Arial"/>
          <w:sz w:val="16"/>
          <w:szCs w:val="16"/>
          <w:color w:val="auto"/>
        </w:rPr>
        <w:t>At the Annual Meeting, you will be asked to elect eleven (11) directors at the Annual Meeting. All of the directors elected at the Annual Meeting will serve until the 2027 Annual Meeting of Shareholders (the “2027 Meeting”), and until their successors are duly elected and qualified, or until their earlier death, resignation or removal. Shareholders cannot vote “FOR” more than eleven (11) directors at the Annual Meeting.</w:t>
      </w:r>
    </w:p>
    <w:p>
      <w:pPr>
        <w:spacing w:after="0" w:line="106"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auto"/>
        </w:rPr>
        <w:t xml:space="preserve">Based upon the Company’s criteria for nominations of directors to the Board and the unanimous recommendation of the Nominating, Governance and Social Responsibility Committee, the Board unanimously determined to nominate </w:t>
      </w:r>
      <w:r>
        <w:rPr>
          <w:rFonts w:ascii="Arial" w:cs="Arial" w:eastAsia="Arial" w:hAnsi="Arial"/>
          <w:sz w:val="16"/>
          <w:szCs w:val="16"/>
          <w:b w:val="1"/>
          <w:bCs w:val="1"/>
          <w:color w:val="auto"/>
        </w:rPr>
        <w:t>Douglas Bowser</w:t>
      </w:r>
      <w:r>
        <w:rPr>
          <w:rFonts w:ascii="Arial" w:cs="Arial" w:eastAsia="Arial" w:hAnsi="Arial"/>
          <w:sz w:val="16"/>
          <w:szCs w:val="16"/>
          <w:color w:val="auto"/>
        </w:rPr>
        <w:t xml:space="preserve">, </w:t>
      </w:r>
      <w:r>
        <w:rPr>
          <w:rFonts w:ascii="Arial" w:cs="Arial" w:eastAsia="Arial" w:hAnsi="Arial"/>
          <w:sz w:val="16"/>
          <w:szCs w:val="16"/>
          <w:b w:val="1"/>
          <w:bCs w:val="1"/>
          <w:color w:val="auto"/>
        </w:rPr>
        <w:t>Hope F. Cochran, Christian P. Cocks, Lisa Gersh,</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Frank D. Gibeau, Elizabeth Hamren, Darin S. Harris, Owen Mahoney, Laurel J. Richie, Richard S. Stoddart and Carla Vernón </w:t>
      </w:r>
      <w:r>
        <w:rPr>
          <w:rFonts w:ascii="Arial" w:cs="Arial" w:eastAsia="Arial" w:hAnsi="Arial"/>
          <w:sz w:val="16"/>
          <w:szCs w:val="16"/>
          <w:color w:val="auto"/>
        </w:rPr>
        <w:t>for election by</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to serve until the 2027 Annual Meeting. Each nominee has consented to being named in the proxy statement and serving as a director if elected.</w:t>
      </w:r>
    </w:p>
    <w:p>
      <w:pPr>
        <w:spacing w:after="0" w:line="114"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Under Article II, Section 2.6 of Hasbro’s Second Amended and Restated By-laws (“By-Laws”), the affirmative vote of a majority of votes cast with respect to each director nominee will be required for the nominee to be elected. A majority of votes cast means that the number of votes cast “FOR” a director nominee must exceed the number of votes cast “AGAINST” that director nominee. Abstentions will not be counted as votes cast either for or against the nominees.</w:t>
      </w:r>
    </w:p>
    <w:p>
      <w:pPr>
        <w:spacing w:after="0" w:line="98"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If you submit a validly executed proxy card but do not specify how you want to vote your shares with respect to the election of directors, then your shares will be voted in line with the Board’s recommendation with respect to the proposal. Should any of the Board’s nominees be unable or unwilling to stand for election at the time of the Annual Meeting, the proxies named on the proxy card may vote for a replacement nominee recommended by the Board of Directors, or the Board may reduce the number of directors to be elected at the Annual Meeting. At this time, the Board knows of no reason why any of the Board’s nominees would not be able to serve as a director if elected.</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Election of Board Nominees</w:t>
      </w:r>
    </w:p>
    <w:p>
      <w:pPr>
        <w:spacing w:after="0" w:line="141"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color w:val="auto"/>
        </w:rPr>
        <w:t>In considering candidates for election to the Board, the Nominating, Governance and Social Responsibility Committee and the Board consider a number of factors, including:</w:t>
      </w:r>
    </w:p>
    <w:p>
      <w:pPr>
        <w:spacing w:after="0" w:line="67" w:lineRule="exact"/>
        <w:rPr>
          <w:sz w:val="20"/>
          <w:szCs w:val="20"/>
          <w:color w:val="auto"/>
        </w:rPr>
      </w:pPr>
    </w:p>
    <w:p>
      <w:pPr>
        <w:ind w:left="380" w:hanging="213"/>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past and current employment, experience and overall qualifications;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skills, expertise and involvement in areas that are of importance to the Company’s business;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Board’s and the Company’s strategic focus;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business ethics and professional reputation;</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board experiences;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business, financial and strategic judgment; and</w:t>
      </w:r>
    </w:p>
    <w:p>
      <w:pPr>
        <w:spacing w:after="0" w:line="123" w:lineRule="exact"/>
        <w:rPr>
          <w:rFonts w:ascii="Arial" w:cs="Arial" w:eastAsia="Arial" w:hAnsi="Arial"/>
          <w:sz w:val="16"/>
          <w:szCs w:val="16"/>
          <w:color w:val="auto"/>
        </w:rPr>
      </w:pPr>
    </w:p>
    <w:p>
      <w:pPr>
        <w:ind w:left="380" w:right="160" w:hanging="213"/>
        <w:spacing w:after="0" w:line="279"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desire to have a well-balanced Board that represents a mix of backgrounds, perspectives and expertise and reflects our broad consumer and fan demographics.</w:t>
      </w:r>
    </w:p>
    <w:p>
      <w:pPr>
        <w:spacing w:after="0" w:line="54"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Each of the Board nominees for election to the Board at the Annual Meeting has served in senior positions at complex organizations and has demonstrated a successful track record of strategic, business and financial planning, execution and operating skills in these positions. In addition, each of the Board nominees has proven experience in management and leadership development and an understanding of operating and corporate governance issues for a large multinational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6964045" cy="3905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CFCFC"/>
        </w:rPr>
        <w:t>    1</w:t>
      </w:r>
    </w:p>
    <w:p>
      <w:pPr>
        <w:sectPr>
          <w:pgSz w:w="11900" w:h="16838" w:orient="portrait"/>
          <w:cols w:equalWidth="0" w:num="1">
            <w:col w:w="11060"/>
          </w:cols>
          <w:pgMar w:left="320" w:top="478"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The following highlights certain skills, experience and characteristics possessed by the Board nominees for election to the Board and explains what we mean when referring to experience. Further information on each nominee’s qualifications is provided below in the individual biographies. In addition to the skills listed below, our nominees for election as directors each have experience with oversight of risk management, as described below under “Role of the Board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139065</wp:posOffset>
            </wp:positionV>
            <wp:extent cx="6964045" cy="59613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64045" cy="596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CFCFC"/>
        </w:rPr>
        <w:t>    2</w:t>
      </w:r>
    </w:p>
    <w:p>
      <w:pPr>
        <w:sectPr>
          <w:pgSz w:w="11900" w:h="16838" w:orient="portrait"/>
          <w:cols w:equalWidth="0" w:num="1">
            <w:col w:w="11040"/>
          </w:cols>
          <w:pgMar w:left="320" w:top="478"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Nominees for Election as Directors</w:t>
      </w:r>
    </w:p>
    <w:p>
      <w:pPr>
        <w:spacing w:after="0" w:line="128"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The following sets forth certain biographical information regarding each of the Board’s director nominees as of April 17, 2026, as well as particular experience, qualifications, attributes or skills (beyond those indicated in the preceding charts), which led the Company’s Board to conclude that the nominee should serve as a director of the Company. Except as otherwise indicated, each person has had the same principal occupation or employment 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692975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960" w:type="dxa"/>
        <w:tblCellMar>
          <w:top w:w="0" w:type="dxa"/>
          <w:left w:w="0" w:type="dxa"/>
          <w:bottom w:w="0" w:type="dxa"/>
          <w:right w:w="0" w:type="dxa"/>
        </w:tblCellMar>
      </w:tblPr>
      <w:tr>
        <w:trPr>
          <w:trHeight w:val="355"/>
        </w:trPr>
        <w:tc>
          <w:tcPr>
            <w:tcW w:w="2560" w:type="dxa"/>
            <w:vAlign w:val="bottom"/>
          </w:tcPr>
          <w:p>
            <w:pPr>
              <w:spacing w:after="0"/>
              <w:rPr>
                <w:sz w:val="20"/>
                <w:szCs w:val="20"/>
                <w:color w:val="auto"/>
              </w:rPr>
            </w:pPr>
            <w:r>
              <w:rPr>
                <w:rFonts w:ascii="Arial" w:cs="Arial" w:eastAsia="Arial" w:hAnsi="Arial"/>
                <w:sz w:val="25"/>
                <w:szCs w:val="25"/>
                <w:b w:val="1"/>
                <w:bCs w:val="1"/>
                <w:color w:val="009BDE"/>
              </w:rPr>
              <w:t>Douglas Bowser</w:t>
            </w:r>
          </w:p>
        </w:tc>
        <w:tc>
          <w:tcPr>
            <w:tcW w:w="2380" w:type="dxa"/>
            <w:vAlign w:val="bottom"/>
          </w:tcPr>
          <w:p>
            <w:pPr>
              <w:ind w:left="580"/>
              <w:spacing w:after="0"/>
              <w:rPr>
                <w:sz w:val="20"/>
                <w:szCs w:val="20"/>
                <w:color w:val="auto"/>
              </w:rPr>
            </w:pPr>
            <w:r>
              <w:rPr>
                <w:rFonts w:ascii="Arial" w:cs="Arial" w:eastAsia="Arial" w:hAnsi="Arial"/>
                <w:sz w:val="16"/>
                <w:szCs w:val="16"/>
                <w:color w:val="auto"/>
              </w:rPr>
              <w:t xml:space="preserve">        </w:t>
            </w:r>
          </w:p>
        </w:tc>
        <w:tc>
          <w:tcPr>
            <w:tcW w:w="2940" w:type="dxa"/>
            <w:vAlign w:val="bottom"/>
          </w:tcPr>
          <w:p>
            <w:pPr>
              <w:ind w:left="960"/>
              <w:spacing w:after="0"/>
              <w:rPr>
                <w:sz w:val="20"/>
                <w:szCs w:val="20"/>
                <w:color w:val="auto"/>
              </w:rPr>
            </w:pPr>
            <w:r>
              <w:rPr>
                <w:rFonts w:ascii="Arial" w:cs="Arial" w:eastAsia="Arial" w:hAnsi="Arial"/>
                <w:sz w:val="25"/>
                <w:szCs w:val="25"/>
                <w:b w:val="1"/>
                <w:bCs w:val="1"/>
                <w:color w:val="009BDE"/>
                <w:w w:val="97"/>
              </w:rPr>
              <w:t>Hope F. Cochran</w:t>
            </w:r>
          </w:p>
        </w:tc>
      </w:tr>
      <w:tr>
        <w:trPr>
          <w:trHeight w:val="276"/>
        </w:trPr>
        <w:tc>
          <w:tcPr>
            <w:tcW w:w="2560" w:type="dxa"/>
            <w:vAlign w:val="bottom"/>
          </w:tcPr>
          <w:p>
            <w:pPr>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64</w:t>
            </w:r>
          </w:p>
        </w:tc>
        <w:tc>
          <w:tcPr>
            <w:tcW w:w="2380" w:type="dxa"/>
            <w:vAlign w:val="bottom"/>
          </w:tcPr>
          <w:p>
            <w:pPr>
              <w:spacing w:after="0"/>
              <w:rPr>
                <w:sz w:val="24"/>
                <w:szCs w:val="24"/>
                <w:color w:val="auto"/>
              </w:rPr>
            </w:pPr>
          </w:p>
        </w:tc>
        <w:tc>
          <w:tcPr>
            <w:tcW w:w="2940" w:type="dxa"/>
            <w:vAlign w:val="bottom"/>
          </w:tcPr>
          <w:p>
            <w:pPr>
              <w:ind w:left="96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54</w:t>
            </w:r>
          </w:p>
        </w:tc>
      </w:tr>
      <w:tr>
        <w:trPr>
          <w:trHeight w:val="281"/>
        </w:trPr>
        <w:tc>
          <w:tcPr>
            <w:tcW w:w="2560" w:type="dxa"/>
            <w:vAlign w:val="bottom"/>
          </w:tcPr>
          <w:p>
            <w:pPr>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2026</w:t>
            </w:r>
          </w:p>
        </w:tc>
        <w:tc>
          <w:tcPr>
            <w:tcW w:w="2380" w:type="dxa"/>
            <w:vAlign w:val="bottom"/>
          </w:tcPr>
          <w:p>
            <w:pPr>
              <w:spacing w:after="0"/>
              <w:rPr>
                <w:sz w:val="24"/>
                <w:szCs w:val="24"/>
                <w:color w:val="auto"/>
              </w:rPr>
            </w:pPr>
          </w:p>
        </w:tc>
        <w:tc>
          <w:tcPr>
            <w:tcW w:w="2940" w:type="dxa"/>
            <w:vAlign w:val="bottom"/>
          </w:tcPr>
          <w:p>
            <w:pPr>
              <w:ind w:left="96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-563245</wp:posOffset>
            </wp:positionV>
            <wp:extent cx="1714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-528955</wp:posOffset>
            </wp:positionV>
            <wp:extent cx="1714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-495300</wp:posOffset>
            </wp:positionV>
            <wp:extent cx="1714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-461010</wp:posOffset>
            </wp:positionV>
            <wp:extent cx="1714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-427355</wp:posOffset>
            </wp:positionV>
            <wp:extent cx="1714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-393065</wp:posOffset>
            </wp:positionV>
            <wp:extent cx="1714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-359410</wp:posOffset>
            </wp:positionV>
            <wp:extent cx="1714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-325120</wp:posOffset>
            </wp:positionV>
            <wp:extent cx="1714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-291465</wp:posOffset>
            </wp:positionV>
            <wp:extent cx="1714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-257175</wp:posOffset>
            </wp:positionV>
            <wp:extent cx="1714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-223520</wp:posOffset>
            </wp:positionV>
            <wp:extent cx="1714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-189230</wp:posOffset>
            </wp:positionV>
            <wp:extent cx="1714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-155575</wp:posOffset>
            </wp:positionV>
            <wp:extent cx="1714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-121285</wp:posOffset>
            </wp:positionV>
            <wp:extent cx="1714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-87630</wp:posOffset>
            </wp:positionV>
            <wp:extent cx="1714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-53340</wp:posOffset>
            </wp:positionV>
            <wp:extent cx="1714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-19685</wp:posOffset>
            </wp:positionV>
            <wp:extent cx="1714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-563245</wp:posOffset>
            </wp:positionV>
            <wp:extent cx="925830" cy="925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25830" cy="92583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-563245</wp:posOffset>
            </wp:positionV>
            <wp:extent cx="916940" cy="925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16940" cy="925830"/>
                    </a:xfrm>
                    <a:prstGeom prst="rect">
                      <a:avLst/>
                    </a:prstGeom>
                    <a:noFill/>
                  </pic:spPr>
                </pic:pic>
              </a:graphicData>
            </a:graphic>
          </wp:anchor>
        </w:drawing>
      </w:r>
    </w:p>
    <w:p>
      <w:pPr>
        <w:sectPr>
          <w:pgSz w:w="11900" w:h="16838" w:orient="portrait"/>
          <w:cols w:equalWidth="0" w:num="1">
            <w:col w:w="11020"/>
          </w:cols>
          <w:pgMar w:left="320" w:top="478" w:right="559" w:bottom="1440" w:gutter="0" w:footer="0" w:header="0"/>
        </w:sectPr>
      </w:pPr>
    </w:p>
    <w:p>
      <w:pPr>
        <w:spacing w:after="0" w:line="11"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-139065</wp:posOffset>
            </wp:positionV>
            <wp:extent cx="1714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-104775</wp:posOffset>
            </wp:positionV>
            <wp:extent cx="1714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-71120</wp:posOffset>
            </wp:positionV>
            <wp:extent cx="1714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-36830</wp:posOffset>
            </wp:positionV>
            <wp:extent cx="1714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-3175</wp:posOffset>
            </wp:positionV>
            <wp:extent cx="1714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-117475</wp:posOffset>
            </wp:positionV>
            <wp:extent cx="1714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-83820</wp:posOffset>
            </wp:positionV>
            <wp:extent cx="1714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-49530</wp:posOffset>
            </wp:positionV>
            <wp:extent cx="1714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-15875</wp:posOffset>
            </wp:positionV>
            <wp:extent cx="1714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17780</wp:posOffset>
            </wp:positionV>
            <wp:extent cx="1714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51435</wp:posOffset>
            </wp:positionV>
            <wp:extent cx="1714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85725</wp:posOffset>
            </wp:positionV>
            <wp:extent cx="1714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119380</wp:posOffset>
            </wp:positionV>
            <wp:extent cx="1714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153670</wp:posOffset>
            </wp:positionV>
            <wp:extent cx="17145" cy="336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 cy="33655"/>
                    </a:xfrm>
                    <a:prstGeom prst="rect">
                      <a:avLst/>
                    </a:prstGeom>
                    <a:noFill/>
                  </pic:spPr>
                </pic:pic>
              </a:graphicData>
            </a:graphic>
          </wp:anchor>
        </w:drawing>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-101600</wp:posOffset>
            </wp:positionV>
            <wp:extent cx="1714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-67945</wp:posOffset>
            </wp:positionV>
            <wp:extent cx="1714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-33655</wp:posOffset>
            </wp:positionV>
            <wp:extent cx="1714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0</wp:posOffset>
            </wp:positionV>
            <wp:extent cx="1714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-127635</wp:posOffset>
            </wp:positionV>
            <wp:extent cx="30911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ind w:left="180" w:right="380"/>
        <w:spacing w:after="0" w:line="246" w:lineRule="auto"/>
        <w:rPr>
          <w:sz w:val="20"/>
          <w:szCs w:val="20"/>
          <w:color w:val="auto"/>
        </w:rPr>
      </w:pPr>
      <w:r>
        <w:rPr>
          <w:rFonts w:ascii="Arial" w:cs="Arial" w:eastAsia="Arial" w:hAnsi="Arial"/>
          <w:sz w:val="16"/>
          <w:szCs w:val="16"/>
          <w:color w:val="auto"/>
        </w:rPr>
        <w:t>Douglas Bowser served as President and Chief Operating Officer of Nintendo of America Inc. from 2019 to December 2025, where he led operations across the Americas. Prior to that, Mr. Bowser had various executive roles at Nintendo, including from May 2015 to August 2016 as Vice President, Sales &amp; Marketing. Prior to joining Nintendo in 2015, Mr. Bowser spent eight years at Electronic Arts, most recently as Vice President of Global Business Planning, and prior to that worked at Procter &amp; Gamble for 23 years in various sales leadership roles in Asia, Latin America and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-1052830</wp:posOffset>
            </wp:positionV>
            <wp:extent cx="1714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-1019175</wp:posOffset>
            </wp:positionV>
            <wp:extent cx="1714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-984885</wp:posOffset>
            </wp:positionV>
            <wp:extent cx="1714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-951230</wp:posOffset>
            </wp:positionV>
            <wp:extent cx="1714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-916940</wp:posOffset>
            </wp:positionV>
            <wp:extent cx="1714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-883285</wp:posOffset>
            </wp:positionV>
            <wp:extent cx="1714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-848995</wp:posOffset>
            </wp:positionV>
            <wp:extent cx="1714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-815340</wp:posOffset>
            </wp:positionV>
            <wp:extent cx="1714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-781050</wp:posOffset>
            </wp:positionV>
            <wp:extent cx="1714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-747395</wp:posOffset>
            </wp:positionV>
            <wp:extent cx="1714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-713105</wp:posOffset>
            </wp:positionV>
            <wp:extent cx="1714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-679450</wp:posOffset>
            </wp:positionV>
            <wp:extent cx="1714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-645160</wp:posOffset>
            </wp:positionV>
            <wp:extent cx="1714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-611505</wp:posOffset>
            </wp:positionV>
            <wp:extent cx="1714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-577215</wp:posOffset>
            </wp:positionV>
            <wp:extent cx="1714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-543560</wp:posOffset>
            </wp:positionV>
            <wp:extent cx="1714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-509270</wp:posOffset>
            </wp:positionV>
            <wp:extent cx="1714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-475615</wp:posOffset>
            </wp:positionV>
            <wp:extent cx="1714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-441325</wp:posOffset>
            </wp:positionV>
            <wp:extent cx="1714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-407670</wp:posOffset>
            </wp:positionV>
            <wp:extent cx="1714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-373380</wp:posOffset>
            </wp:positionV>
            <wp:extent cx="1714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-339725</wp:posOffset>
            </wp:positionV>
            <wp:extent cx="1714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-305435</wp:posOffset>
            </wp:positionV>
            <wp:extent cx="1714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-271780</wp:posOffset>
            </wp:positionV>
            <wp:extent cx="1714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-237490</wp:posOffset>
            </wp:positionV>
            <wp:extent cx="1714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-203835</wp:posOffset>
            </wp:positionV>
            <wp:extent cx="1714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-169545</wp:posOffset>
            </wp:positionV>
            <wp:extent cx="1714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-135890</wp:posOffset>
            </wp:positionV>
            <wp:extent cx="1714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-101600</wp:posOffset>
            </wp:positionV>
            <wp:extent cx="1714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-67945</wp:posOffset>
            </wp:positionV>
            <wp:extent cx="1714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-33655</wp:posOffset>
            </wp:positionV>
            <wp:extent cx="1714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0</wp:posOffset>
            </wp:positionV>
            <wp:extent cx="1714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33655</wp:posOffset>
            </wp:positionV>
            <wp:extent cx="1714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67310</wp:posOffset>
            </wp:positionV>
            <wp:extent cx="1714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101600</wp:posOffset>
            </wp:positionV>
            <wp:extent cx="1714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135255</wp:posOffset>
            </wp:positionV>
            <wp:extent cx="3329305" cy="336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29305" cy="33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780"/>
        <w:spacing w:after="0"/>
        <w:rPr>
          <w:sz w:val="20"/>
          <w:szCs w:val="20"/>
          <w:color w:val="auto"/>
        </w:rPr>
      </w:pPr>
      <w:r>
        <w:rPr>
          <w:rFonts w:ascii="Arial" w:cs="Arial" w:eastAsia="Arial" w:hAnsi="Arial"/>
          <w:sz w:val="20"/>
          <w:szCs w:val="20"/>
          <w:b w:val="1"/>
          <w:bCs w:val="1"/>
          <w:color w:val="auto"/>
        </w:rPr>
        <w:t>Committees:</w:t>
      </w:r>
    </w:p>
    <w:p>
      <w:pPr>
        <w:ind w:left="1940" w:hanging="155"/>
        <w:spacing w:after="0" w:line="227" w:lineRule="auto"/>
        <w:tabs>
          <w:tab w:leader="none" w:pos="19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Audit (Chair)</w:t>
      </w:r>
    </w:p>
    <w:p>
      <w:pPr>
        <w:ind w:left="1940" w:hanging="155"/>
        <w:spacing w:after="0"/>
        <w:tabs>
          <w:tab w:leader="none" w:pos="19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Finance and Capital Allocation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-127635</wp:posOffset>
            </wp:positionV>
            <wp:extent cx="32188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18815" cy="8255"/>
                    </a:xfrm>
                    <a:prstGeom prst="rect">
                      <a:avLst/>
                    </a:prstGeom>
                    <a:noFill/>
                  </pic:spPr>
                </pic:pic>
              </a:graphicData>
            </a:graphic>
          </wp:anchor>
        </w:drawing>
      </w:r>
    </w:p>
    <w:p>
      <w:pPr>
        <w:spacing w:after="0" w:line="245" w:lineRule="auto"/>
        <w:rPr>
          <w:sz w:val="20"/>
          <w:szCs w:val="20"/>
          <w:color w:val="auto"/>
        </w:rPr>
      </w:pPr>
      <w:r>
        <w:rPr>
          <w:rFonts w:ascii="Arial" w:cs="Arial" w:eastAsia="Arial" w:hAnsi="Arial"/>
          <w:sz w:val="16"/>
          <w:szCs w:val="16"/>
          <w:color w:val="auto"/>
        </w:rPr>
        <w:t>Hope F. Cochran is a Venture Partner at Madrona Venture Group, a technology-focused venture capital group. Prior to joining Madrona in January 2017, Ms. Cochran was the Chief Financial Officer of King Digital Entertainment, the creator of Candy Crush and other successful mobile games, from 2013 to 2016, where she helped drive the company’s business and revenue growth, guided the Company’s IPO and successfully completed a $5.9 billion acquisition by Activision. From 2005 to 2013, Ms. Cochran was a financial executive at Clearwire, Inc., serving as Chief Financial Officer from 2011 to 2013.</w:t>
      </w:r>
    </w:p>
    <w:p>
      <w:pPr>
        <w:spacing w:after="0" w:line="1" w:lineRule="exact"/>
        <w:rPr>
          <w:sz w:val="20"/>
          <w:szCs w:val="20"/>
          <w:color w:val="auto"/>
        </w:rPr>
      </w:pPr>
    </w:p>
    <w:p>
      <w:pPr>
        <w:sectPr>
          <w:pgSz w:w="11900" w:h="16838" w:orient="portrait"/>
          <w:cols w:equalWidth="0" w:num="2">
            <w:col w:w="5360" w:space="720"/>
            <w:col w:w="4940"/>
          </w:cols>
          <w:pgMar w:left="320" w:top="478" w:right="559" w:bottom="1440" w:gutter="0" w:footer="0" w:header="0"/>
          <w:type w:val="continuous"/>
        </w:sectPr>
      </w:pPr>
    </w:p>
    <w:p>
      <w:pPr>
        <w:ind w:left="180"/>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-111125</wp:posOffset>
            </wp:positionV>
            <wp:extent cx="1714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-76835</wp:posOffset>
            </wp:positionV>
            <wp:extent cx="1714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-43180</wp:posOffset>
            </wp:positionV>
            <wp:extent cx="1714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-8890</wp:posOffset>
            </wp:positionV>
            <wp:extent cx="1714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300" w:right="473" w:hanging="128"/>
        <w:spacing w:after="0" w:line="244" w:lineRule="auto"/>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Extensive experience in software and digital gaming businesses, including platform strategy, publishing, and global go-to-market execution.</w:t>
      </w:r>
    </w:p>
    <w:p>
      <w:pPr>
        <w:ind w:left="300" w:right="313" w:hanging="128"/>
        <w:spacing w:after="0" w:line="244" w:lineRule="auto"/>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Significant responsibility for large-scale commercial operations, financial planning and supply chain management in publicly traded companies, supporting Board oversight of performance and capital allocation.</w:t>
      </w:r>
    </w:p>
    <w:p>
      <w:pPr>
        <w:ind w:left="300" w:right="413" w:hanging="128"/>
        <w:spacing w:after="0" w:line="244" w:lineRule="auto"/>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Deep experience building and managing global consumer brands and entertainment franchises, aligned with Hasbro’s brand-led strategy.</w:t>
      </w:r>
    </w:p>
    <w:p>
      <w:pPr>
        <w:ind w:left="300" w:right="713" w:hanging="128"/>
        <w:spacing w:after="0" w:line="244" w:lineRule="auto"/>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Long-standing relationships across global retail channels and digital marketplaces, enhancing the Board’s perspective on distribution and consumer engagement.</w:t>
      </w:r>
    </w:p>
    <w:p>
      <w:pPr>
        <w:jc w:val="both"/>
        <w:ind w:left="300" w:right="673" w:hanging="128"/>
        <w:spacing w:after="0" w:line="258" w:lineRule="auto"/>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Senior leadership experience across North America, Asia and Latin America, contributing a global perspective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-1771650</wp:posOffset>
            </wp:positionV>
            <wp:extent cx="1714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-1737995</wp:posOffset>
            </wp:positionV>
            <wp:extent cx="1714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-1703705</wp:posOffset>
            </wp:positionV>
            <wp:extent cx="1714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-1670050</wp:posOffset>
            </wp:positionV>
            <wp:extent cx="1714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-1635760</wp:posOffset>
            </wp:positionV>
            <wp:extent cx="1714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-1602105</wp:posOffset>
            </wp:positionV>
            <wp:extent cx="1714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-1567815</wp:posOffset>
            </wp:positionV>
            <wp:extent cx="1714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-1534160</wp:posOffset>
            </wp:positionV>
            <wp:extent cx="1714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-1499870</wp:posOffset>
            </wp:positionV>
            <wp:extent cx="1714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-1466215</wp:posOffset>
            </wp:positionV>
            <wp:extent cx="1714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-1431925</wp:posOffset>
            </wp:positionV>
            <wp:extent cx="1714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-1398270</wp:posOffset>
            </wp:positionV>
            <wp:extent cx="1714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-1363980</wp:posOffset>
            </wp:positionV>
            <wp:extent cx="1714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-1330325</wp:posOffset>
            </wp:positionV>
            <wp:extent cx="1714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-1296035</wp:posOffset>
            </wp:positionV>
            <wp:extent cx="1714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-1262380</wp:posOffset>
            </wp:positionV>
            <wp:extent cx="1714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-1228090</wp:posOffset>
            </wp:positionV>
            <wp:extent cx="1714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-1194435</wp:posOffset>
            </wp:positionV>
            <wp:extent cx="1714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-1160145</wp:posOffset>
            </wp:positionV>
            <wp:extent cx="1714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-1126490</wp:posOffset>
            </wp:positionV>
            <wp:extent cx="1714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-1092200</wp:posOffset>
            </wp:positionV>
            <wp:extent cx="1714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-1058545</wp:posOffset>
            </wp:positionV>
            <wp:extent cx="1714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-1024255</wp:posOffset>
            </wp:positionV>
            <wp:extent cx="1714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-990600</wp:posOffset>
            </wp:positionV>
            <wp:extent cx="1714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-956310</wp:posOffset>
            </wp:positionV>
            <wp:extent cx="1714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-922655</wp:posOffset>
            </wp:positionV>
            <wp:extent cx="1714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-888365</wp:posOffset>
            </wp:positionV>
            <wp:extent cx="1714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-854710</wp:posOffset>
            </wp:positionV>
            <wp:extent cx="1714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-820420</wp:posOffset>
            </wp:positionV>
            <wp:extent cx="1714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-786765</wp:posOffset>
            </wp:positionV>
            <wp:extent cx="1714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-752475</wp:posOffset>
            </wp:positionV>
            <wp:extent cx="1714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-718820</wp:posOffset>
            </wp:positionV>
            <wp:extent cx="1714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-685165</wp:posOffset>
            </wp:positionV>
            <wp:extent cx="1714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-650875</wp:posOffset>
            </wp:positionV>
            <wp:extent cx="1714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-617220</wp:posOffset>
            </wp:positionV>
            <wp:extent cx="1714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-582930</wp:posOffset>
            </wp:positionV>
            <wp:extent cx="1714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-549275</wp:posOffset>
            </wp:positionV>
            <wp:extent cx="1714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-514985</wp:posOffset>
            </wp:positionV>
            <wp:extent cx="1714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-481330</wp:posOffset>
            </wp:positionV>
            <wp:extent cx="1714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-447040</wp:posOffset>
            </wp:positionV>
            <wp:extent cx="1714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-413385</wp:posOffset>
            </wp:positionV>
            <wp:extent cx="1714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-379095</wp:posOffset>
            </wp:positionV>
            <wp:extent cx="1714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-345440</wp:posOffset>
            </wp:positionV>
            <wp:extent cx="1714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-311150</wp:posOffset>
            </wp:positionV>
            <wp:extent cx="1714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-277495</wp:posOffset>
            </wp:positionV>
            <wp:extent cx="1714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-243205</wp:posOffset>
            </wp:positionV>
            <wp:extent cx="1714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-209550</wp:posOffset>
            </wp:positionV>
            <wp:extent cx="1714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-175260</wp:posOffset>
            </wp:positionV>
            <wp:extent cx="1714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-141605</wp:posOffset>
            </wp:positionV>
            <wp:extent cx="1714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-107315</wp:posOffset>
            </wp:positionV>
            <wp:extent cx="1714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-73660</wp:posOffset>
            </wp:positionV>
            <wp:extent cx="1714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-39370</wp:posOffset>
            </wp:positionV>
            <wp:extent cx="1714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-5715</wp:posOffset>
            </wp:positionV>
            <wp:extent cx="1714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27940</wp:posOffset>
            </wp:positionV>
            <wp:extent cx="1714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61595</wp:posOffset>
            </wp:positionV>
            <wp:extent cx="1714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95885</wp:posOffset>
            </wp:positionV>
            <wp:extent cx="1714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129540</wp:posOffset>
            </wp:positionV>
            <wp:extent cx="17145" cy="336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7145" cy="33655"/>
                    </a:xfrm>
                    <a:prstGeom prst="rect">
                      <a:avLst/>
                    </a:prstGeom>
                    <a:noFill/>
                  </pic:spPr>
                </pic:pic>
              </a:graphicData>
            </a:graphic>
          </wp:anchor>
        </w:drawing>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-93345</wp:posOffset>
            </wp:positionV>
            <wp:extent cx="1714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-59690</wp:posOffset>
            </wp:positionV>
            <wp:extent cx="1714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-25400</wp:posOffset>
            </wp:positionV>
            <wp:extent cx="1714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7620</wp:posOffset>
            </wp:positionV>
            <wp:extent cx="1714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-127635</wp:posOffset>
            </wp:positionV>
            <wp:extent cx="30911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-83185</wp:posOffset>
            </wp:positionV>
            <wp:extent cx="1714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-49530</wp:posOffset>
            </wp:positionV>
            <wp:extent cx="1714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-15240</wp:posOffset>
            </wp:positionV>
            <wp:extent cx="1714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17780</wp:posOffset>
            </wp:positionV>
            <wp:extent cx="1714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52070</wp:posOffset>
            </wp:positionV>
            <wp:extent cx="1714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85725</wp:posOffset>
            </wp:positionV>
            <wp:extent cx="1714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120015</wp:posOffset>
            </wp:positionV>
            <wp:extent cx="17145" cy="336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7145" cy="33655"/>
                    </a:xfrm>
                    <a:prstGeom prst="rect">
                      <a:avLst/>
                    </a:prstGeom>
                    <a:noFill/>
                  </pic:spPr>
                </pic:pic>
              </a:graphicData>
            </a:graphic>
          </wp:anchor>
        </w:drawing>
      </w:r>
    </w:p>
    <w:p>
      <w:pPr>
        <w:spacing w:after="0" w:line="190" w:lineRule="exact"/>
        <w:rPr>
          <w:sz w:val="20"/>
          <w:szCs w:val="20"/>
          <w:color w:val="auto"/>
        </w:rPr>
      </w:pPr>
    </w:p>
    <w:p>
      <w:pPr>
        <w:ind w:left="180" w:right="753"/>
        <w:spacing w:after="0" w:line="244"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-237490</wp:posOffset>
            </wp:positionV>
            <wp:extent cx="1714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-203835</wp:posOffset>
            </wp:positionV>
            <wp:extent cx="1714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-169545</wp:posOffset>
            </wp:positionV>
            <wp:extent cx="1714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-135890</wp:posOffset>
            </wp:positionV>
            <wp:extent cx="1714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-101600</wp:posOffset>
            </wp:positionV>
            <wp:extent cx="1714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-67945</wp:posOffset>
            </wp:positionV>
            <wp:extent cx="1714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-33655</wp:posOffset>
            </wp:positionV>
            <wp:extent cx="1714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0</wp:posOffset>
            </wp:positionV>
            <wp:extent cx="1714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-262890</wp:posOffset>
            </wp:positionV>
            <wp:extent cx="30911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-83185</wp:posOffset>
            </wp:positionV>
            <wp:extent cx="1714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-49530</wp:posOffset>
            </wp:positionV>
            <wp:extent cx="1714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-15240</wp:posOffset>
            </wp:positionV>
            <wp:extent cx="1714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-127635</wp:posOffset>
            </wp:positionV>
            <wp:extent cx="32188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218815" cy="8255"/>
                    </a:xfrm>
                    <a:prstGeom prst="rect">
                      <a:avLst/>
                    </a:prstGeom>
                    <a:noFill/>
                  </pic:spPr>
                </pic:pic>
              </a:graphicData>
            </a:graphic>
          </wp:anchor>
        </w:drawing>
      </w:r>
    </w:p>
    <w:p>
      <w:pPr>
        <w:ind w:left="147" w:right="180" w:hanging="147"/>
        <w:spacing w:after="0" w:line="232" w:lineRule="auto"/>
        <w:tabs>
          <w:tab w:leader="none" w:pos="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Extensive experience spanning more than 20 years as a senior financial executive in the digital gaming, technology, telecom and venture capital industries.</w:t>
      </w:r>
    </w:p>
    <w:p>
      <w:pPr>
        <w:spacing w:after="0" w:line="1" w:lineRule="exact"/>
        <w:rPr>
          <w:rFonts w:ascii="Arial" w:cs="Arial" w:eastAsia="Arial" w:hAnsi="Arial"/>
          <w:sz w:val="18"/>
          <w:szCs w:val="18"/>
          <w:color w:val="auto"/>
        </w:rPr>
      </w:pPr>
    </w:p>
    <w:p>
      <w:pPr>
        <w:ind w:left="147" w:right="100" w:hanging="147"/>
        <w:spacing w:after="0" w:line="232" w:lineRule="auto"/>
        <w:tabs>
          <w:tab w:leader="none" w:pos="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Deep knowledge of digital content, mobile gaming and technology business models, supporting the Board’s oversight of Hasbro’s digital gaming and direct-to-consumer strategy.</w:t>
      </w:r>
    </w:p>
    <w:p>
      <w:pPr>
        <w:spacing w:after="0" w:line="2" w:lineRule="exact"/>
        <w:rPr>
          <w:rFonts w:ascii="Arial" w:cs="Arial" w:eastAsia="Arial" w:hAnsi="Arial"/>
          <w:sz w:val="18"/>
          <w:szCs w:val="18"/>
          <w:color w:val="auto"/>
        </w:rPr>
      </w:pPr>
    </w:p>
    <w:p>
      <w:pPr>
        <w:ind w:left="147" w:right="160" w:hanging="147"/>
        <w:spacing w:after="0" w:line="232" w:lineRule="auto"/>
        <w:tabs>
          <w:tab w:leader="none" w:pos="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business expertise in managing global teams, and talent in managing, growing and overseeing global businesses.</w:t>
      </w:r>
    </w:p>
    <w:p>
      <w:pPr>
        <w:spacing w:after="0" w:line="1" w:lineRule="exact"/>
        <w:rPr>
          <w:rFonts w:ascii="Arial" w:cs="Arial" w:eastAsia="Arial" w:hAnsi="Arial"/>
          <w:sz w:val="18"/>
          <w:szCs w:val="18"/>
          <w:color w:val="auto"/>
        </w:rPr>
      </w:pPr>
    </w:p>
    <w:p>
      <w:pPr>
        <w:jc w:val="both"/>
        <w:ind w:left="147" w:right="600" w:hanging="147"/>
        <w:spacing w:after="0" w:line="239" w:lineRule="auto"/>
        <w:tabs>
          <w:tab w:leader="none" w:pos="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 experience as a chief financial officer and overseeing financial and accounting issues for public companies.</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-127635</wp:posOffset>
            </wp:positionV>
            <wp:extent cx="32188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218815" cy="8255"/>
                    </a:xfrm>
                    <a:prstGeom prst="rect">
                      <a:avLst/>
                    </a:prstGeom>
                    <a:noFill/>
                  </pic:spPr>
                </pic:pic>
              </a:graphicData>
            </a:graphic>
          </wp:anchor>
        </w:drawing>
      </w:r>
    </w:p>
    <w:p>
      <w:pPr>
        <w:ind w:left="307" w:hanging="307"/>
        <w:spacing w:after="0"/>
        <w:tabs>
          <w:tab w:leader="none" w:pos="3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MongoDB, Inc.</w:t>
      </w:r>
    </w:p>
    <w:p>
      <w:pPr>
        <w:ind w:left="307" w:hanging="149"/>
        <w:spacing w:after="0"/>
        <w:tabs>
          <w:tab w:leader="none" w:pos="30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Audit Committee Chair</w:t>
      </w:r>
    </w:p>
    <w:p>
      <w:pPr>
        <w:spacing w:after="0" w:line="203" w:lineRule="exact"/>
        <w:rPr>
          <w:sz w:val="20"/>
          <w:szCs w:val="20"/>
          <w:color w:val="auto"/>
        </w:rPr>
      </w:pPr>
    </w:p>
    <w:p>
      <w:pPr>
        <w:ind w:left="7" w:right="20"/>
        <w:spacing w:after="0" w:line="243"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-262255</wp:posOffset>
            </wp:positionV>
            <wp:extent cx="32188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218815" cy="8255"/>
                    </a:xfrm>
                    <a:prstGeom prst="rect">
                      <a:avLst/>
                    </a:prstGeom>
                    <a:noFill/>
                  </pic:spPr>
                </pic:pic>
              </a:graphicData>
            </a:graphic>
          </wp:anchor>
        </w:drawing>
      </w:r>
    </w:p>
    <w:p>
      <w:pPr>
        <w:ind w:left="7"/>
        <w:spacing w:after="0"/>
        <w:rPr>
          <w:sz w:val="20"/>
          <w:szCs w:val="20"/>
          <w:color w:val="auto"/>
        </w:rPr>
      </w:pPr>
      <w:r>
        <w:rPr>
          <w:rFonts w:ascii="Arial" w:cs="Arial" w:eastAsia="Arial" w:hAnsi="Arial"/>
          <w:sz w:val="18"/>
          <w:szCs w:val="18"/>
          <w:color w:val="auto"/>
        </w:rPr>
        <w:t>• New Relic,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811530</wp:posOffset>
            </wp:positionV>
            <wp:extent cx="6964045" cy="3905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53" w:space="720"/>
            <w:col w:w="4947"/>
          </w:cols>
          <w:pgMar w:left="320" w:top="478"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FCFCFC"/>
        </w:rPr>
        <w:t>    3</w:t>
      </w:r>
    </w:p>
    <w:p>
      <w:pPr>
        <w:sectPr>
          <w:pgSz w:w="11900" w:h="16838" w:orient="portrait"/>
          <w:cols w:equalWidth="0" w:num="1">
            <w:col w:w="11020"/>
          </w:cols>
          <w:pgMar w:left="320" w:top="478" w:right="5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60" w:type="dxa"/>
        <w:tblCellMar>
          <w:top w:w="0" w:type="dxa"/>
          <w:left w:w="0" w:type="dxa"/>
          <w:bottom w:w="0" w:type="dxa"/>
          <w:right w:w="0" w:type="dxa"/>
        </w:tblCellMar>
      </w:tblPr>
      <w:tr>
        <w:trPr>
          <w:trHeight w:val="287"/>
        </w:trPr>
        <w:tc>
          <w:tcPr>
            <w:tcW w:w="4880" w:type="dxa"/>
            <w:vAlign w:val="bottom"/>
          </w:tcPr>
          <w:p>
            <w:pPr>
              <w:ind w:left="1800"/>
              <w:spacing w:after="0"/>
              <w:rPr>
                <w:sz w:val="20"/>
                <w:szCs w:val="20"/>
                <w:color w:val="auto"/>
              </w:rPr>
            </w:pPr>
            <w:r>
              <w:rPr>
                <w:rFonts w:ascii="Arial" w:cs="Arial" w:eastAsia="Arial" w:hAnsi="Arial"/>
                <w:sz w:val="25"/>
                <w:szCs w:val="25"/>
                <w:b w:val="1"/>
                <w:bCs w:val="1"/>
                <w:color w:val="009BDE"/>
              </w:rPr>
              <w:t>Christian P. Cocks</w:t>
            </w:r>
          </w:p>
        </w:tc>
        <w:tc>
          <w:tcPr>
            <w:tcW w:w="480" w:type="dxa"/>
            <w:vAlign w:val="bottom"/>
            <w:vMerge w:val="restart"/>
          </w:tcPr>
          <w:p>
            <w:pPr>
              <w:ind w:left="60"/>
              <w:spacing w:after="0"/>
              <w:rPr>
                <w:sz w:val="20"/>
                <w:szCs w:val="20"/>
                <w:color w:val="auto"/>
              </w:rPr>
            </w:pPr>
            <w:r>
              <w:rPr>
                <w:rFonts w:ascii="Arial" w:cs="Arial" w:eastAsia="Arial" w:hAnsi="Arial"/>
                <w:sz w:val="16"/>
                <w:szCs w:val="16"/>
                <w:color w:val="auto"/>
              </w:rPr>
              <w:t xml:space="preserve">    </w:t>
            </w:r>
          </w:p>
        </w:tc>
        <w:tc>
          <w:tcPr>
            <w:tcW w:w="500" w:type="dxa"/>
            <w:vAlign w:val="bottom"/>
            <w:vMerge w:val="restart"/>
          </w:tcPr>
          <w:p>
            <w:pPr>
              <w:ind w:left="220"/>
              <w:spacing w:after="0"/>
              <w:rPr>
                <w:sz w:val="20"/>
                <w:szCs w:val="20"/>
                <w:color w:val="auto"/>
              </w:rPr>
            </w:pPr>
            <w:r>
              <w:rPr>
                <w:rFonts w:ascii="Arial" w:cs="Arial" w:eastAsia="Arial" w:hAnsi="Arial"/>
                <w:sz w:val="16"/>
                <w:szCs w:val="16"/>
                <w:color w:val="auto"/>
              </w:rPr>
              <w:t xml:space="preserve">    </w:t>
            </w:r>
          </w:p>
        </w:tc>
        <w:tc>
          <w:tcPr>
            <w:tcW w:w="5060" w:type="dxa"/>
            <w:vAlign w:val="bottom"/>
          </w:tcPr>
          <w:p>
            <w:pPr>
              <w:ind w:left="1840"/>
              <w:spacing w:after="0"/>
              <w:rPr>
                <w:sz w:val="20"/>
                <w:szCs w:val="20"/>
                <w:color w:val="auto"/>
              </w:rPr>
            </w:pPr>
            <w:r>
              <w:rPr>
                <w:rFonts w:ascii="Arial" w:cs="Arial" w:eastAsia="Arial" w:hAnsi="Arial"/>
                <w:sz w:val="25"/>
                <w:szCs w:val="25"/>
                <w:b w:val="1"/>
                <w:bCs w:val="1"/>
                <w:color w:val="009BDE"/>
              </w:rPr>
              <w:t>Lisa Gersh</w:t>
            </w:r>
          </w:p>
        </w:tc>
        <w:tc>
          <w:tcPr>
            <w:tcW w:w="0" w:type="dxa"/>
            <w:vAlign w:val="bottom"/>
          </w:tcPr>
          <w:p>
            <w:pPr>
              <w:spacing w:after="0"/>
              <w:rPr>
                <w:sz w:val="1"/>
                <w:szCs w:val="1"/>
                <w:color w:val="auto"/>
              </w:rPr>
            </w:pPr>
          </w:p>
        </w:tc>
      </w:tr>
      <w:tr>
        <w:trPr>
          <w:trHeight w:val="50"/>
        </w:trPr>
        <w:tc>
          <w:tcPr>
            <w:tcW w:w="48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5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0"/>
        </w:trPr>
        <w:tc>
          <w:tcPr>
            <w:tcW w:w="4880" w:type="dxa"/>
            <w:vAlign w:val="bottom"/>
          </w:tcPr>
          <w:p>
            <w:pPr>
              <w:ind w:left="180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52</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60" w:type="dxa"/>
            <w:vAlign w:val="bottom"/>
          </w:tcPr>
          <w:p>
            <w:pPr>
              <w:ind w:left="184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81"/>
        </w:trPr>
        <w:tc>
          <w:tcPr>
            <w:tcW w:w="4880" w:type="dxa"/>
            <w:vAlign w:val="bottom"/>
          </w:tcPr>
          <w:p>
            <w:pPr>
              <w:ind w:left="180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2022</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60" w:type="dxa"/>
            <w:vAlign w:val="bottom"/>
          </w:tcPr>
          <w:p>
            <w:pPr>
              <w:ind w:left="184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2010</w:t>
            </w:r>
          </w:p>
        </w:tc>
        <w:tc>
          <w:tcPr>
            <w:tcW w:w="0" w:type="dxa"/>
            <w:vAlign w:val="bottom"/>
          </w:tcPr>
          <w:p>
            <w:pPr>
              <w:spacing w:after="0"/>
              <w:rPr>
                <w:sz w:val="1"/>
                <w:szCs w:val="1"/>
                <w:color w:val="auto"/>
              </w:rPr>
            </w:pPr>
          </w:p>
        </w:tc>
      </w:tr>
      <w:tr>
        <w:trPr>
          <w:trHeight w:val="227"/>
        </w:trPr>
        <w:tc>
          <w:tcPr>
            <w:tcW w:w="4880" w:type="dxa"/>
            <w:vAlign w:val="bottom"/>
          </w:tcPr>
          <w:p>
            <w:pPr>
              <w:ind w:left="1800"/>
              <w:spacing w:after="0" w:line="228" w:lineRule="exact"/>
              <w:rPr>
                <w:sz w:val="20"/>
                <w:szCs w:val="20"/>
                <w:color w:val="auto"/>
              </w:rPr>
            </w:pPr>
            <w:r>
              <w:rPr>
                <w:rFonts w:ascii="Arial" w:cs="Arial" w:eastAsia="Arial" w:hAnsi="Arial"/>
                <w:sz w:val="20"/>
                <w:szCs w:val="20"/>
                <w:b w:val="1"/>
                <w:bCs w:val="1"/>
                <w:color w:val="auto"/>
              </w:rPr>
              <w:t>Committees:</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60" w:type="dxa"/>
            <w:vAlign w:val="bottom"/>
          </w:tcPr>
          <w:p>
            <w:pPr>
              <w:ind w:left="1840"/>
              <w:spacing w:after="0" w:line="228" w:lineRule="exact"/>
              <w:rPr>
                <w:sz w:val="20"/>
                <w:szCs w:val="20"/>
                <w:color w:val="auto"/>
              </w:rPr>
            </w:pPr>
            <w:r>
              <w:rPr>
                <w:rFonts w:ascii="Arial" w:cs="Arial" w:eastAsia="Arial" w:hAnsi="Arial"/>
                <w:sz w:val="20"/>
                <w:szCs w:val="20"/>
                <w:b w:val="1"/>
                <w:bCs w:val="1"/>
                <w:color w:val="auto"/>
              </w:rPr>
              <w:t>Committees:</w:t>
            </w:r>
          </w:p>
        </w:tc>
        <w:tc>
          <w:tcPr>
            <w:tcW w:w="0" w:type="dxa"/>
            <w:vAlign w:val="bottom"/>
          </w:tcPr>
          <w:p>
            <w:pPr>
              <w:spacing w:after="0"/>
              <w:rPr>
                <w:sz w:val="1"/>
                <w:szCs w:val="1"/>
                <w:color w:val="auto"/>
              </w:rPr>
            </w:pPr>
          </w:p>
        </w:tc>
      </w:tr>
      <w:tr>
        <w:trPr>
          <w:trHeight w:val="257"/>
        </w:trPr>
        <w:tc>
          <w:tcPr>
            <w:tcW w:w="4880" w:type="dxa"/>
            <w:vAlign w:val="bottom"/>
          </w:tcPr>
          <w:p>
            <w:pPr>
              <w:ind w:left="1800"/>
              <w:spacing w:after="0"/>
              <w:rPr>
                <w:sz w:val="20"/>
                <w:szCs w:val="20"/>
                <w:color w:val="auto"/>
              </w:rPr>
            </w:pPr>
            <w:r>
              <w:rPr>
                <w:rFonts w:ascii="Arial" w:cs="Arial" w:eastAsia="Arial" w:hAnsi="Arial"/>
                <w:sz w:val="20"/>
                <w:szCs w:val="20"/>
                <w:color w:val="auto"/>
              </w:rPr>
              <w:t>• None</w:t>
            </w: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60" w:type="dxa"/>
            <w:vAlign w:val="bottom"/>
          </w:tcPr>
          <w:p>
            <w:pPr>
              <w:ind w:left="1840"/>
              <w:spacing w:after="0"/>
              <w:rPr>
                <w:sz w:val="20"/>
                <w:szCs w:val="20"/>
                <w:color w:val="auto"/>
              </w:rPr>
            </w:pPr>
            <w:r>
              <w:rPr>
                <w:rFonts w:ascii="Arial" w:cs="Arial" w:eastAsia="Arial" w:hAnsi="Arial"/>
                <w:sz w:val="20"/>
                <w:szCs w:val="20"/>
                <w:color w:val="auto"/>
              </w:rPr>
              <w:t>• Compensation and Talent</w:t>
            </w:r>
          </w:p>
        </w:tc>
        <w:tc>
          <w:tcPr>
            <w:tcW w:w="0" w:type="dxa"/>
            <w:vAlign w:val="bottom"/>
          </w:tcPr>
          <w:p>
            <w:pPr>
              <w:spacing w:after="0"/>
              <w:rPr>
                <w:sz w:val="1"/>
                <w:szCs w:val="1"/>
                <w:color w:val="auto"/>
              </w:rPr>
            </w:pPr>
          </w:p>
        </w:tc>
      </w:tr>
      <w:tr>
        <w:trPr>
          <w:trHeight w:val="259"/>
        </w:trPr>
        <w:tc>
          <w:tcPr>
            <w:tcW w:w="4880" w:type="dxa"/>
            <w:vAlign w:val="bottom"/>
            <w:tcBorders>
              <w:bottom w:val="single" w:sz="8" w:color="009BDE"/>
            </w:tcBorders>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60" w:type="dxa"/>
            <w:vAlign w:val="bottom"/>
            <w:tcBorders>
              <w:bottom w:val="single" w:sz="8" w:color="009BDE"/>
            </w:tcBorders>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line="180" w:lineRule="exact"/>
              <w:rPr>
                <w:sz w:val="20"/>
                <w:szCs w:val="20"/>
                <w:color w:val="auto"/>
              </w:rPr>
            </w:pPr>
            <w:r>
              <w:rPr>
                <w:rFonts w:ascii="Arial" w:cs="Arial" w:eastAsia="Arial" w:hAnsi="Arial"/>
                <w:sz w:val="18"/>
                <w:szCs w:val="18"/>
                <w:b w:val="1"/>
                <w:bCs w:val="1"/>
                <w:color w:val="009BDE"/>
              </w:rPr>
              <w:t>EXPERIENCE</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60" w:type="dxa"/>
            <w:vAlign w:val="bottom"/>
          </w:tcPr>
          <w:p>
            <w:pPr>
              <w:ind w:left="60"/>
              <w:spacing w:after="0" w:line="180" w:lineRule="exact"/>
              <w:rPr>
                <w:sz w:val="20"/>
                <w:szCs w:val="20"/>
                <w:color w:val="auto"/>
              </w:rPr>
            </w:pPr>
            <w:r>
              <w:rPr>
                <w:rFonts w:ascii="Arial" w:cs="Arial" w:eastAsia="Arial" w:hAnsi="Arial"/>
                <w:sz w:val="18"/>
                <w:szCs w:val="18"/>
                <w:b w:val="1"/>
                <w:bCs w:val="1"/>
                <w:color w:val="009BDE"/>
              </w:rPr>
              <w:t>EXPERIENCE</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Chris Cocks has served as Chief Executive Officer of Hasbro since</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Lisa Gersh is an outside advisor to companies investing in the media</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February 2022. Prior to that, he served as President and Chief</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space. She previously served as the Chief Executive Officer of</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Operating Officer of Wizards of the Coast and Digital Gaming since</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Alexander Wang (a global fashion brand) from October 2017 to</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2021 and prior to that served as President of Wizards of the Coast</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October 2018. Ms. Gersh served as the Chief Executive Officer of</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since 2016, when he joined Hasbro from Microsoft. During his 14</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Goop, Inc. (a lifestyle publication curated by Gwyneth Paltrow) from</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years at Microsoft, Mr. Cocks led a global sales and technical</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2014 to 2016, and President and Chief Executive Officer of Martha</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engagement team as Vice President, OEM Technical Sales and</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Stewart Living Omnimedia, Inc. (an integrated media and</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served in product management and marketing leadership positions</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merchandising company) from 2012 to 2013.</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at MSN and Xbox Games, where he worked on hit franchises like</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880" w:type="dxa"/>
            <w:vAlign w:val="bottom"/>
            <w:vMerge w:val="restart"/>
          </w:tcPr>
          <w:p>
            <w:pPr>
              <w:ind w:left="20"/>
              <w:spacing w:after="0"/>
              <w:rPr>
                <w:sz w:val="20"/>
                <w:szCs w:val="20"/>
                <w:color w:val="auto"/>
              </w:rPr>
            </w:pPr>
            <w:r>
              <w:rPr>
                <w:rFonts w:ascii="Arial" w:cs="Arial" w:eastAsia="Arial" w:hAnsi="Arial"/>
                <w:sz w:val="16"/>
                <w:szCs w:val="16"/>
                <w:color w:val="auto"/>
              </w:rPr>
              <w:t>HALO and FABLE.</w:t>
            </w: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6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8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60" w:type="dxa"/>
            <w:vAlign w:val="bottom"/>
            <w:vMerge w:val="restart"/>
          </w:tcPr>
          <w:p>
            <w:pPr>
              <w:ind w:left="60"/>
              <w:spacing w:after="0" w:line="176" w:lineRule="exact"/>
              <w:rPr>
                <w:sz w:val="20"/>
                <w:szCs w:val="20"/>
                <w:color w:val="auto"/>
              </w:rPr>
            </w:pPr>
            <w:r>
              <w:rPr>
                <w:rFonts w:ascii="Arial" w:cs="Arial" w:eastAsia="Arial" w:hAnsi="Arial"/>
                <w:sz w:val="18"/>
                <w:szCs w:val="18"/>
                <w:b w:val="1"/>
                <w:bCs w:val="1"/>
                <w:color w:val="009BDE"/>
              </w:rPr>
              <w:t>QUALIFICATIONS</w:t>
            </w:r>
          </w:p>
        </w:tc>
        <w:tc>
          <w:tcPr>
            <w:tcW w:w="0" w:type="dxa"/>
            <w:vAlign w:val="bottom"/>
          </w:tcPr>
          <w:p>
            <w:pPr>
              <w:spacing w:after="0"/>
              <w:rPr>
                <w:sz w:val="1"/>
                <w:szCs w:val="1"/>
                <w:color w:val="auto"/>
              </w:rPr>
            </w:pPr>
          </w:p>
        </w:tc>
      </w:tr>
      <w:tr>
        <w:trPr>
          <w:trHeight w:val="65"/>
        </w:trPr>
        <w:tc>
          <w:tcPr>
            <w:tcW w:w="4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4880" w:type="dxa"/>
            <w:vAlign w:val="bottom"/>
            <w:tcBorders>
              <w:bottom w:val="single" w:sz="8" w:color="009BDE"/>
            </w:tcBorders>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60" w:type="dxa"/>
            <w:vAlign w:val="bottom"/>
          </w:tcPr>
          <w:p>
            <w:pPr>
              <w:ind w:left="60"/>
              <w:spacing w:after="0" w:line="159" w:lineRule="exact"/>
              <w:rPr>
                <w:sz w:val="20"/>
                <w:szCs w:val="20"/>
                <w:color w:val="auto"/>
              </w:rPr>
            </w:pPr>
            <w:r>
              <w:rPr>
                <w:rFonts w:ascii="Arial" w:cs="Arial" w:eastAsia="Arial" w:hAnsi="Arial"/>
                <w:sz w:val="18"/>
                <w:szCs w:val="18"/>
                <w:color w:val="auto"/>
                <w:w w:val="99"/>
              </w:rPr>
              <w:t>• Extensive experience leading and advising companies across</w:t>
            </w:r>
          </w:p>
        </w:tc>
        <w:tc>
          <w:tcPr>
            <w:tcW w:w="0" w:type="dxa"/>
            <w:vAlign w:val="bottom"/>
          </w:tcPr>
          <w:p>
            <w:pPr>
              <w:spacing w:after="0"/>
              <w:rPr>
                <w:sz w:val="1"/>
                <w:szCs w:val="1"/>
                <w:color w:val="auto"/>
              </w:rPr>
            </w:pPr>
          </w:p>
        </w:tc>
      </w:tr>
      <w:tr>
        <w:trPr>
          <w:trHeight w:val="181"/>
        </w:trPr>
        <w:tc>
          <w:tcPr>
            <w:tcW w:w="4880" w:type="dxa"/>
            <w:vAlign w:val="bottom"/>
          </w:tcPr>
          <w:p>
            <w:pPr>
              <w:ind w:left="20"/>
              <w:spacing w:after="0" w:line="181" w:lineRule="exact"/>
              <w:rPr>
                <w:sz w:val="20"/>
                <w:szCs w:val="20"/>
                <w:color w:val="auto"/>
              </w:rPr>
            </w:pPr>
            <w:r>
              <w:rPr>
                <w:rFonts w:ascii="Arial" w:cs="Arial" w:eastAsia="Arial" w:hAnsi="Arial"/>
                <w:sz w:val="18"/>
                <w:szCs w:val="18"/>
                <w:b w:val="1"/>
                <w:bCs w:val="1"/>
                <w:color w:val="009BDE"/>
              </w:rPr>
              <w:t>QUALIFICATIONS</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60" w:type="dxa"/>
            <w:vAlign w:val="bottom"/>
          </w:tcPr>
          <w:p>
            <w:pPr>
              <w:ind w:left="200"/>
              <w:spacing w:after="0" w:line="181" w:lineRule="exact"/>
              <w:rPr>
                <w:sz w:val="20"/>
                <w:szCs w:val="20"/>
                <w:color w:val="auto"/>
              </w:rPr>
            </w:pPr>
            <w:r>
              <w:rPr>
                <w:rFonts w:ascii="Arial" w:cs="Arial" w:eastAsia="Arial" w:hAnsi="Arial"/>
                <w:sz w:val="18"/>
                <w:szCs w:val="18"/>
                <w:color w:val="auto"/>
              </w:rPr>
              <w:t>media, retail, publishing and entertainment industries,</w:t>
            </w:r>
          </w:p>
        </w:tc>
        <w:tc>
          <w:tcPr>
            <w:tcW w:w="0" w:type="dxa"/>
            <w:vAlign w:val="bottom"/>
          </w:tcPr>
          <w:p>
            <w:pPr>
              <w:spacing w:after="0"/>
              <w:rPr>
                <w:sz w:val="1"/>
                <w:szCs w:val="1"/>
                <w:color w:val="auto"/>
              </w:rPr>
            </w:pPr>
          </w:p>
        </w:tc>
      </w:tr>
      <w:tr>
        <w:trPr>
          <w:trHeight w:val="201"/>
        </w:trPr>
        <w:tc>
          <w:tcPr>
            <w:tcW w:w="4880" w:type="dxa"/>
            <w:vAlign w:val="bottom"/>
          </w:tcPr>
          <w:p>
            <w:pPr>
              <w:ind w:left="20"/>
              <w:spacing w:after="0"/>
              <w:rPr>
                <w:sz w:val="20"/>
                <w:szCs w:val="20"/>
                <w:color w:val="auto"/>
              </w:rPr>
            </w:pPr>
            <w:r>
              <w:rPr>
                <w:rFonts w:ascii="Arial" w:cs="Arial" w:eastAsia="Arial" w:hAnsi="Arial"/>
                <w:sz w:val="16"/>
                <w:szCs w:val="16"/>
                <w:color w:val="auto"/>
              </w:rPr>
              <w:t>• Highly strategic leader with a deep understanding of brand</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60" w:type="dxa"/>
            <w:vAlign w:val="bottom"/>
          </w:tcPr>
          <w:p>
            <w:pPr>
              <w:ind w:left="200"/>
              <w:spacing w:after="0" w:line="201" w:lineRule="exact"/>
              <w:rPr>
                <w:sz w:val="20"/>
                <w:szCs w:val="20"/>
                <w:color w:val="auto"/>
              </w:rPr>
            </w:pPr>
            <w:r>
              <w:rPr>
                <w:rFonts w:ascii="Arial" w:cs="Arial" w:eastAsia="Arial" w:hAnsi="Arial"/>
                <w:sz w:val="18"/>
                <w:szCs w:val="18"/>
                <w:color w:val="auto"/>
              </w:rPr>
              <w:t>supporting the Board’s oversight of Hasbro’s brand portfolio</w:t>
            </w:r>
          </w:p>
        </w:tc>
        <w:tc>
          <w:tcPr>
            <w:tcW w:w="0" w:type="dxa"/>
            <w:vAlign w:val="bottom"/>
          </w:tcPr>
          <w:p>
            <w:pPr>
              <w:spacing w:after="0"/>
              <w:rPr>
                <w:sz w:val="1"/>
                <w:szCs w:val="1"/>
                <w:color w:val="auto"/>
              </w:rPr>
            </w:pPr>
          </w:p>
        </w:tc>
      </w:tr>
      <w:tr>
        <w:trPr>
          <w:trHeight w:val="201"/>
        </w:trPr>
        <w:tc>
          <w:tcPr>
            <w:tcW w:w="4880" w:type="dxa"/>
            <w:vAlign w:val="bottom"/>
          </w:tcPr>
          <w:p>
            <w:pPr>
              <w:ind w:left="140"/>
              <w:spacing w:after="0"/>
              <w:rPr>
                <w:sz w:val="20"/>
                <w:szCs w:val="20"/>
                <w:color w:val="auto"/>
              </w:rPr>
            </w:pPr>
            <w:r>
              <w:rPr>
                <w:rFonts w:ascii="Arial" w:cs="Arial" w:eastAsia="Arial" w:hAnsi="Arial"/>
                <w:sz w:val="16"/>
                <w:szCs w:val="16"/>
                <w:color w:val="auto"/>
              </w:rPr>
              <w:t>building, fan engagement and omni-channel distribution across</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60" w:type="dxa"/>
            <w:vAlign w:val="bottom"/>
          </w:tcPr>
          <w:p>
            <w:pPr>
              <w:ind w:left="200"/>
              <w:spacing w:after="0" w:line="201" w:lineRule="exact"/>
              <w:rPr>
                <w:sz w:val="20"/>
                <w:szCs w:val="20"/>
                <w:color w:val="auto"/>
              </w:rPr>
            </w:pPr>
            <w:r>
              <w:rPr>
                <w:rFonts w:ascii="Arial" w:cs="Arial" w:eastAsia="Arial" w:hAnsi="Arial"/>
                <w:sz w:val="18"/>
                <w:szCs w:val="18"/>
                <w:color w:val="auto"/>
              </w:rPr>
              <w:t>and franchise strategy.</w:t>
            </w:r>
          </w:p>
        </w:tc>
        <w:tc>
          <w:tcPr>
            <w:tcW w:w="0" w:type="dxa"/>
            <w:vAlign w:val="bottom"/>
          </w:tcPr>
          <w:p>
            <w:pPr>
              <w:spacing w:after="0"/>
              <w:rPr>
                <w:sz w:val="1"/>
                <w:szCs w:val="1"/>
                <w:color w:val="auto"/>
              </w:rPr>
            </w:pPr>
          </w:p>
        </w:tc>
      </w:tr>
      <w:tr>
        <w:trPr>
          <w:trHeight w:val="201"/>
        </w:trPr>
        <w:tc>
          <w:tcPr>
            <w:tcW w:w="4880" w:type="dxa"/>
            <w:vAlign w:val="bottom"/>
          </w:tcPr>
          <w:p>
            <w:pPr>
              <w:ind w:left="140"/>
              <w:spacing w:after="0"/>
              <w:rPr>
                <w:sz w:val="20"/>
                <w:szCs w:val="20"/>
                <w:color w:val="auto"/>
              </w:rPr>
            </w:pPr>
            <w:r>
              <w:rPr>
                <w:rFonts w:ascii="Arial" w:cs="Arial" w:eastAsia="Arial" w:hAnsi="Arial"/>
                <w:sz w:val="16"/>
                <w:szCs w:val="16"/>
                <w:color w:val="auto"/>
              </w:rPr>
              <w:t>gaming, consumer products and entertainment.</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60" w:type="dxa"/>
            <w:vAlign w:val="bottom"/>
          </w:tcPr>
          <w:p>
            <w:pPr>
              <w:ind w:left="60"/>
              <w:spacing w:after="0" w:line="201" w:lineRule="exact"/>
              <w:rPr>
                <w:sz w:val="20"/>
                <w:szCs w:val="20"/>
                <w:color w:val="auto"/>
              </w:rPr>
            </w:pPr>
            <w:r>
              <w:rPr>
                <w:rFonts w:ascii="Arial" w:cs="Arial" w:eastAsia="Arial" w:hAnsi="Arial"/>
                <w:sz w:val="18"/>
                <w:szCs w:val="18"/>
                <w:color w:val="auto"/>
              </w:rPr>
              <w:t>• Served as Chief Executive Officer of Goop, Alexander Wang</w:t>
            </w:r>
          </w:p>
        </w:tc>
        <w:tc>
          <w:tcPr>
            <w:tcW w:w="0" w:type="dxa"/>
            <w:vAlign w:val="bottom"/>
          </w:tcPr>
          <w:p>
            <w:pPr>
              <w:spacing w:after="0"/>
              <w:rPr>
                <w:sz w:val="1"/>
                <w:szCs w:val="1"/>
                <w:color w:val="auto"/>
              </w:rPr>
            </w:pPr>
          </w:p>
        </w:tc>
      </w:tr>
      <w:tr>
        <w:trPr>
          <w:trHeight w:val="146"/>
        </w:trPr>
        <w:tc>
          <w:tcPr>
            <w:tcW w:w="4880" w:type="dxa"/>
            <w:vAlign w:val="bottom"/>
          </w:tcPr>
          <w:p>
            <w:pPr>
              <w:ind w:left="20"/>
              <w:spacing w:after="0" w:line="146" w:lineRule="exact"/>
              <w:rPr>
                <w:sz w:val="20"/>
                <w:szCs w:val="20"/>
                <w:color w:val="auto"/>
              </w:rPr>
            </w:pPr>
            <w:r>
              <w:rPr>
                <w:rFonts w:ascii="Arial" w:cs="Arial" w:eastAsia="Arial" w:hAnsi="Arial"/>
                <w:sz w:val="16"/>
                <w:szCs w:val="16"/>
                <w:color w:val="auto"/>
              </w:rPr>
              <w:t>• As Chief Executive Officer, leads Hasbro’s “Playing to Win”</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60" w:type="dxa"/>
            <w:vAlign w:val="bottom"/>
            <w:vMerge w:val="restart"/>
          </w:tcPr>
          <w:p>
            <w:pPr>
              <w:ind w:left="200"/>
              <w:spacing w:after="0"/>
              <w:rPr>
                <w:sz w:val="20"/>
                <w:szCs w:val="20"/>
                <w:color w:val="auto"/>
              </w:rPr>
            </w:pPr>
            <w:r>
              <w:rPr>
                <w:rFonts w:ascii="Arial" w:cs="Arial" w:eastAsia="Arial" w:hAnsi="Arial"/>
                <w:sz w:val="18"/>
                <w:szCs w:val="18"/>
                <w:color w:val="auto"/>
              </w:rPr>
              <w:t>and Martha Stewart Living Omnimedia, providing significant</w:t>
            </w:r>
          </w:p>
        </w:tc>
        <w:tc>
          <w:tcPr>
            <w:tcW w:w="0" w:type="dxa"/>
            <w:vAlign w:val="bottom"/>
          </w:tcPr>
          <w:p>
            <w:pPr>
              <w:spacing w:after="0"/>
              <w:rPr>
                <w:sz w:val="1"/>
                <w:szCs w:val="1"/>
                <w:color w:val="auto"/>
              </w:rPr>
            </w:pPr>
          </w:p>
        </w:tc>
      </w:tr>
      <w:tr>
        <w:trPr>
          <w:trHeight w:val="76"/>
        </w:trPr>
        <w:tc>
          <w:tcPr>
            <w:tcW w:w="4880" w:type="dxa"/>
            <w:vAlign w:val="bottom"/>
            <w:vMerge w:val="restart"/>
          </w:tcPr>
          <w:p>
            <w:pPr>
              <w:ind w:left="140"/>
              <w:spacing w:after="0"/>
              <w:rPr>
                <w:sz w:val="20"/>
                <w:szCs w:val="20"/>
                <w:color w:val="auto"/>
              </w:rPr>
            </w:pPr>
            <w:r>
              <w:rPr>
                <w:rFonts w:ascii="Arial" w:cs="Arial" w:eastAsia="Arial" w:hAnsi="Arial"/>
                <w:sz w:val="16"/>
                <w:szCs w:val="16"/>
                <w:color w:val="auto"/>
              </w:rPr>
              <w:t>strategy and enterprise transformation, providing the Board with</w:t>
            </w: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48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60" w:type="dxa"/>
            <w:vAlign w:val="bottom"/>
            <w:vMerge w:val="restart"/>
          </w:tcPr>
          <w:p>
            <w:pPr>
              <w:ind w:left="200"/>
              <w:spacing w:after="0" w:line="201" w:lineRule="exact"/>
              <w:rPr>
                <w:sz w:val="20"/>
                <w:szCs w:val="20"/>
                <w:color w:val="auto"/>
              </w:rPr>
            </w:pPr>
            <w:r>
              <w:rPr>
                <w:rFonts w:ascii="Arial" w:cs="Arial" w:eastAsia="Arial" w:hAnsi="Arial"/>
                <w:sz w:val="18"/>
                <w:szCs w:val="18"/>
                <w:color w:val="auto"/>
              </w:rPr>
              <w:t>leadership experience in strategic planning, operational</w:t>
            </w:r>
          </w:p>
        </w:tc>
        <w:tc>
          <w:tcPr>
            <w:tcW w:w="0" w:type="dxa"/>
            <w:vAlign w:val="bottom"/>
          </w:tcPr>
          <w:p>
            <w:pPr>
              <w:spacing w:after="0"/>
              <w:rPr>
                <w:sz w:val="1"/>
                <w:szCs w:val="1"/>
                <w:color w:val="auto"/>
              </w:rPr>
            </w:pPr>
          </w:p>
        </w:tc>
      </w:tr>
      <w:tr>
        <w:trPr>
          <w:trHeight w:val="89"/>
        </w:trPr>
        <w:tc>
          <w:tcPr>
            <w:tcW w:w="4880" w:type="dxa"/>
            <w:vAlign w:val="bottom"/>
            <w:vMerge w:val="restart"/>
          </w:tcPr>
          <w:p>
            <w:pPr>
              <w:ind w:left="140"/>
              <w:spacing w:after="0"/>
              <w:rPr>
                <w:sz w:val="20"/>
                <w:szCs w:val="20"/>
                <w:color w:val="auto"/>
              </w:rPr>
            </w:pPr>
            <w:r>
              <w:rPr>
                <w:rFonts w:ascii="Arial" w:cs="Arial" w:eastAsia="Arial" w:hAnsi="Arial"/>
                <w:sz w:val="16"/>
                <w:szCs w:val="16"/>
                <w:color w:val="auto"/>
              </w:rPr>
              <w:t>insight into long-term strategy, portfolio management and capital</w:t>
            </w: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8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60" w:type="dxa"/>
            <w:vAlign w:val="bottom"/>
            <w:vMerge w:val="restart"/>
          </w:tcPr>
          <w:p>
            <w:pPr>
              <w:ind w:left="200"/>
              <w:spacing w:after="0" w:line="201" w:lineRule="exact"/>
              <w:rPr>
                <w:sz w:val="20"/>
                <w:szCs w:val="20"/>
                <w:color w:val="auto"/>
              </w:rPr>
            </w:pPr>
            <w:r>
              <w:rPr>
                <w:rFonts w:ascii="Arial" w:cs="Arial" w:eastAsia="Arial" w:hAnsi="Arial"/>
                <w:sz w:val="18"/>
                <w:szCs w:val="18"/>
                <w:color w:val="auto"/>
              </w:rPr>
              <w:t>execution and corporate governance.</w:t>
            </w:r>
          </w:p>
        </w:tc>
        <w:tc>
          <w:tcPr>
            <w:tcW w:w="0" w:type="dxa"/>
            <w:vAlign w:val="bottom"/>
          </w:tcPr>
          <w:p>
            <w:pPr>
              <w:spacing w:after="0"/>
              <w:rPr>
                <w:sz w:val="1"/>
                <w:szCs w:val="1"/>
                <w:color w:val="auto"/>
              </w:rPr>
            </w:pPr>
          </w:p>
        </w:tc>
      </w:tr>
      <w:tr>
        <w:trPr>
          <w:trHeight w:val="102"/>
        </w:trPr>
        <w:tc>
          <w:tcPr>
            <w:tcW w:w="4880" w:type="dxa"/>
            <w:vAlign w:val="bottom"/>
            <w:vMerge w:val="restart"/>
          </w:tcPr>
          <w:p>
            <w:pPr>
              <w:ind w:left="140"/>
              <w:spacing w:after="0"/>
              <w:rPr>
                <w:sz w:val="20"/>
                <w:szCs w:val="20"/>
                <w:color w:val="auto"/>
              </w:rPr>
            </w:pPr>
            <w:r>
              <w:rPr>
                <w:rFonts w:ascii="Arial" w:cs="Arial" w:eastAsia="Arial" w:hAnsi="Arial"/>
                <w:sz w:val="16"/>
                <w:szCs w:val="16"/>
                <w:color w:val="auto"/>
              </w:rPr>
              <w:t>allocation.</w:t>
            </w: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48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60" w:type="dxa"/>
            <w:vAlign w:val="bottom"/>
            <w:vMerge w:val="restart"/>
          </w:tcPr>
          <w:p>
            <w:pPr>
              <w:ind w:left="60"/>
              <w:spacing w:after="0" w:line="201" w:lineRule="exact"/>
              <w:rPr>
                <w:sz w:val="20"/>
                <w:szCs w:val="20"/>
                <w:color w:val="auto"/>
              </w:rPr>
            </w:pPr>
            <w:r>
              <w:rPr>
                <w:rFonts w:ascii="Arial" w:cs="Arial" w:eastAsia="Arial" w:hAnsi="Arial"/>
                <w:sz w:val="18"/>
                <w:szCs w:val="18"/>
                <w:color w:val="auto"/>
              </w:rPr>
              <w:t>• Deep knowledge of television, digital media, publishing and</w:t>
            </w:r>
          </w:p>
        </w:tc>
        <w:tc>
          <w:tcPr>
            <w:tcW w:w="0" w:type="dxa"/>
            <w:vAlign w:val="bottom"/>
          </w:tcPr>
          <w:p>
            <w:pPr>
              <w:spacing w:after="0"/>
              <w:rPr>
                <w:sz w:val="1"/>
                <w:szCs w:val="1"/>
                <w:color w:val="auto"/>
              </w:rPr>
            </w:pPr>
          </w:p>
        </w:tc>
      </w:tr>
      <w:tr>
        <w:trPr>
          <w:trHeight w:val="116"/>
        </w:trPr>
        <w:tc>
          <w:tcPr>
            <w:tcW w:w="4880" w:type="dxa"/>
            <w:vAlign w:val="bottom"/>
            <w:vMerge w:val="restart"/>
          </w:tcPr>
          <w:p>
            <w:pPr>
              <w:ind w:left="20"/>
              <w:spacing w:after="0"/>
              <w:rPr>
                <w:sz w:val="20"/>
                <w:szCs w:val="20"/>
                <w:color w:val="auto"/>
              </w:rPr>
            </w:pPr>
            <w:r>
              <w:rPr>
                <w:rFonts w:ascii="Arial" w:cs="Arial" w:eastAsia="Arial" w:hAnsi="Arial"/>
                <w:sz w:val="16"/>
                <w:szCs w:val="16"/>
                <w:color w:val="auto"/>
              </w:rPr>
              <w:t>• Extensive experience building and scaling global tabletop and</w:t>
            </w: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8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60" w:type="dxa"/>
            <w:vAlign w:val="bottom"/>
            <w:vMerge w:val="restart"/>
          </w:tcPr>
          <w:p>
            <w:pPr>
              <w:ind w:left="200"/>
              <w:spacing w:after="0"/>
              <w:rPr>
                <w:sz w:val="20"/>
                <w:szCs w:val="20"/>
                <w:color w:val="auto"/>
              </w:rPr>
            </w:pPr>
            <w:r>
              <w:rPr>
                <w:rFonts w:ascii="Arial" w:cs="Arial" w:eastAsia="Arial" w:hAnsi="Arial"/>
                <w:sz w:val="18"/>
                <w:szCs w:val="18"/>
                <w:color w:val="auto"/>
              </w:rPr>
              <w:t>merchandising businesses, enhancing the Board’s</w:t>
            </w:r>
          </w:p>
        </w:tc>
        <w:tc>
          <w:tcPr>
            <w:tcW w:w="0" w:type="dxa"/>
            <w:vAlign w:val="bottom"/>
          </w:tcPr>
          <w:p>
            <w:pPr>
              <w:spacing w:after="0"/>
              <w:rPr>
                <w:sz w:val="1"/>
                <w:szCs w:val="1"/>
                <w:color w:val="auto"/>
              </w:rPr>
            </w:pPr>
          </w:p>
        </w:tc>
      </w:tr>
      <w:tr>
        <w:trPr>
          <w:trHeight w:val="161"/>
        </w:trPr>
        <w:tc>
          <w:tcPr>
            <w:tcW w:w="4880" w:type="dxa"/>
            <w:vAlign w:val="bottom"/>
          </w:tcPr>
          <w:p>
            <w:pPr>
              <w:ind w:left="140"/>
              <w:spacing w:after="0" w:line="161" w:lineRule="exact"/>
              <w:rPr>
                <w:sz w:val="20"/>
                <w:szCs w:val="20"/>
                <w:color w:val="auto"/>
              </w:rPr>
            </w:pPr>
            <w:r>
              <w:rPr>
                <w:rFonts w:ascii="Arial" w:cs="Arial" w:eastAsia="Arial" w:hAnsi="Arial"/>
                <w:sz w:val="16"/>
                <w:szCs w:val="16"/>
                <w:color w:val="auto"/>
              </w:rPr>
              <w:t>digital gaming franchises, including leadership of Wizards of the</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880" w:type="dxa"/>
            <w:vAlign w:val="bottom"/>
          </w:tcPr>
          <w:p>
            <w:pPr>
              <w:ind w:left="140"/>
              <w:spacing w:after="0"/>
              <w:rPr>
                <w:sz w:val="20"/>
                <w:szCs w:val="20"/>
                <w:color w:val="auto"/>
              </w:rPr>
            </w:pPr>
            <w:r>
              <w:rPr>
                <w:rFonts w:ascii="Arial" w:cs="Arial" w:eastAsia="Arial" w:hAnsi="Arial"/>
                <w:sz w:val="16"/>
                <w:szCs w:val="16"/>
                <w:color w:val="auto"/>
              </w:rPr>
              <w:t>Coast and Digital Gaming.</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200"/>
              <w:spacing w:after="0" w:line="188" w:lineRule="exact"/>
              <w:rPr>
                <w:sz w:val="20"/>
                <w:szCs w:val="20"/>
                <w:color w:val="auto"/>
              </w:rPr>
            </w:pPr>
            <w:r>
              <w:rPr>
                <w:rFonts w:ascii="Arial" w:cs="Arial" w:eastAsia="Arial" w:hAnsi="Arial"/>
                <w:sz w:val="18"/>
                <w:szCs w:val="18"/>
                <w:color w:val="auto"/>
                <w:w w:val="99"/>
              </w:rPr>
              <w:t>perspective on content development, brand monetization and</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 Track record of driving revenue growth and margin expansion,</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200"/>
              <w:spacing w:after="0" w:line="188" w:lineRule="exact"/>
              <w:rPr>
                <w:sz w:val="20"/>
                <w:szCs w:val="20"/>
                <w:color w:val="auto"/>
              </w:rPr>
            </w:pPr>
            <w:r>
              <w:rPr>
                <w:rFonts w:ascii="Arial" w:cs="Arial" w:eastAsia="Arial" w:hAnsi="Arial"/>
                <w:sz w:val="18"/>
                <w:szCs w:val="18"/>
                <w:color w:val="auto"/>
              </w:rPr>
              <w:t>licensing opportunities.</w:t>
            </w:r>
          </w:p>
        </w:tc>
        <w:tc>
          <w:tcPr>
            <w:tcW w:w="0" w:type="dxa"/>
            <w:vAlign w:val="bottom"/>
          </w:tcPr>
          <w:p>
            <w:pPr>
              <w:spacing w:after="0"/>
              <w:rPr>
                <w:sz w:val="1"/>
                <w:szCs w:val="1"/>
                <w:color w:val="auto"/>
              </w:rPr>
            </w:pPr>
          </w:p>
        </w:tc>
      </w:tr>
      <w:tr>
        <w:trPr>
          <w:trHeight w:val="195"/>
        </w:trPr>
        <w:tc>
          <w:tcPr>
            <w:tcW w:w="4880" w:type="dxa"/>
            <w:vAlign w:val="bottom"/>
          </w:tcPr>
          <w:p>
            <w:pPr>
              <w:ind w:left="140"/>
              <w:spacing w:after="0"/>
              <w:rPr>
                <w:sz w:val="20"/>
                <w:szCs w:val="20"/>
                <w:color w:val="auto"/>
              </w:rPr>
            </w:pPr>
            <w:r>
              <w:rPr>
                <w:rFonts w:ascii="Arial" w:cs="Arial" w:eastAsia="Arial" w:hAnsi="Arial"/>
                <w:sz w:val="16"/>
                <w:szCs w:val="16"/>
                <w:color w:val="auto"/>
              </w:rPr>
              <w:t>including leading Wizards of the Coast to exceed $1 billion in</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line="195" w:lineRule="exact"/>
              <w:rPr>
                <w:sz w:val="20"/>
                <w:szCs w:val="20"/>
                <w:color w:val="auto"/>
              </w:rPr>
            </w:pPr>
            <w:r>
              <w:rPr>
                <w:rFonts w:ascii="Arial" w:cs="Arial" w:eastAsia="Arial" w:hAnsi="Arial"/>
                <w:sz w:val="18"/>
                <w:szCs w:val="18"/>
                <w:color w:val="auto"/>
              </w:rPr>
              <w:t>• Track record of building and expanding global consumer-</w:t>
            </w:r>
          </w:p>
        </w:tc>
        <w:tc>
          <w:tcPr>
            <w:tcW w:w="0" w:type="dxa"/>
            <w:vAlign w:val="bottom"/>
          </w:tcPr>
          <w:p>
            <w:pPr>
              <w:spacing w:after="0"/>
              <w:rPr>
                <w:sz w:val="1"/>
                <w:szCs w:val="1"/>
                <w:color w:val="auto"/>
              </w:rPr>
            </w:pPr>
          </w:p>
        </w:tc>
      </w:tr>
      <w:tr>
        <w:trPr>
          <w:trHeight w:val="201"/>
        </w:trPr>
        <w:tc>
          <w:tcPr>
            <w:tcW w:w="4880" w:type="dxa"/>
            <w:vAlign w:val="bottom"/>
          </w:tcPr>
          <w:p>
            <w:pPr>
              <w:ind w:left="140"/>
              <w:spacing w:after="0"/>
              <w:rPr>
                <w:sz w:val="20"/>
                <w:szCs w:val="20"/>
                <w:color w:val="auto"/>
              </w:rPr>
            </w:pPr>
            <w:r>
              <w:rPr>
                <w:rFonts w:ascii="Arial" w:cs="Arial" w:eastAsia="Arial" w:hAnsi="Arial"/>
                <w:sz w:val="16"/>
                <w:szCs w:val="16"/>
                <w:color w:val="auto"/>
              </w:rPr>
              <w:t>revenue and delivering record operating profit margins for Hasbro.</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60" w:type="dxa"/>
            <w:vAlign w:val="bottom"/>
          </w:tcPr>
          <w:p>
            <w:pPr>
              <w:ind w:left="200"/>
              <w:spacing w:after="0" w:line="201" w:lineRule="exact"/>
              <w:rPr>
                <w:sz w:val="20"/>
                <w:szCs w:val="20"/>
                <w:color w:val="auto"/>
              </w:rPr>
            </w:pPr>
            <w:r>
              <w:rPr>
                <w:rFonts w:ascii="Arial" w:cs="Arial" w:eastAsia="Arial" w:hAnsi="Arial"/>
                <w:sz w:val="18"/>
                <w:szCs w:val="18"/>
                <w:color w:val="auto"/>
              </w:rPr>
              <w:t>facing brands, providing insight into consumer engagement,</w:t>
            </w:r>
          </w:p>
        </w:tc>
        <w:tc>
          <w:tcPr>
            <w:tcW w:w="0" w:type="dxa"/>
            <w:vAlign w:val="bottom"/>
          </w:tcPr>
          <w:p>
            <w:pPr>
              <w:spacing w:after="0"/>
              <w:rPr>
                <w:sz w:val="1"/>
                <w:szCs w:val="1"/>
                <w:color w:val="auto"/>
              </w:rPr>
            </w:pPr>
          </w:p>
        </w:tc>
      </w:tr>
      <w:tr>
        <w:trPr>
          <w:trHeight w:val="192"/>
        </w:trPr>
        <w:tc>
          <w:tcPr>
            <w:tcW w:w="4880" w:type="dxa"/>
            <w:vAlign w:val="bottom"/>
          </w:tcPr>
          <w:p>
            <w:pPr>
              <w:ind w:left="20"/>
              <w:spacing w:after="0"/>
              <w:rPr>
                <w:sz w:val="20"/>
                <w:szCs w:val="20"/>
                <w:color w:val="auto"/>
              </w:rPr>
            </w:pPr>
            <w:r>
              <w:rPr>
                <w:rFonts w:ascii="Arial" w:cs="Arial" w:eastAsia="Arial" w:hAnsi="Arial"/>
                <w:sz w:val="16"/>
                <w:szCs w:val="16"/>
                <w:color w:val="auto"/>
              </w:rPr>
              <w:t>• Experience overseeing development of successful digital and</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200"/>
              <w:spacing w:after="0" w:line="192" w:lineRule="exact"/>
              <w:rPr>
                <w:sz w:val="20"/>
                <w:szCs w:val="20"/>
                <w:color w:val="auto"/>
              </w:rPr>
            </w:pPr>
            <w:r>
              <w:rPr>
                <w:rFonts w:ascii="Arial" w:cs="Arial" w:eastAsia="Arial" w:hAnsi="Arial"/>
                <w:sz w:val="18"/>
                <w:szCs w:val="18"/>
                <w:color w:val="auto"/>
              </w:rPr>
              <w:t>omnichannel marketing and brand extension strategies.</w:t>
            </w:r>
          </w:p>
        </w:tc>
        <w:tc>
          <w:tcPr>
            <w:tcW w:w="0" w:type="dxa"/>
            <w:vAlign w:val="bottom"/>
          </w:tcPr>
          <w:p>
            <w:pPr>
              <w:spacing w:after="0"/>
              <w:rPr>
                <w:sz w:val="1"/>
                <w:szCs w:val="1"/>
                <w:color w:val="auto"/>
              </w:rPr>
            </w:pPr>
          </w:p>
        </w:tc>
      </w:tr>
      <w:tr>
        <w:trPr>
          <w:trHeight w:val="187"/>
        </w:trPr>
        <w:tc>
          <w:tcPr>
            <w:tcW w:w="4880" w:type="dxa"/>
            <w:vAlign w:val="bottom"/>
          </w:tcPr>
          <w:p>
            <w:pPr>
              <w:ind w:left="140"/>
              <w:spacing w:after="0"/>
              <w:rPr>
                <w:sz w:val="20"/>
                <w:szCs w:val="20"/>
                <w:color w:val="auto"/>
              </w:rPr>
            </w:pPr>
            <w:r>
              <w:rPr>
                <w:rFonts w:ascii="Arial" w:cs="Arial" w:eastAsia="Arial" w:hAnsi="Arial"/>
                <w:sz w:val="16"/>
                <w:szCs w:val="16"/>
                <w:color w:val="auto"/>
              </w:rPr>
              <w:t>tabletop titles, including Baldur’s Gate 3 and Monopoly Go!,</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880" w:type="dxa"/>
            <w:vAlign w:val="bottom"/>
            <w:vMerge w:val="restart"/>
          </w:tcPr>
          <w:p>
            <w:pPr>
              <w:ind w:left="140"/>
              <w:spacing w:after="0"/>
              <w:rPr>
                <w:sz w:val="20"/>
                <w:szCs w:val="20"/>
                <w:color w:val="auto"/>
              </w:rPr>
            </w:pPr>
            <w:r>
              <w:rPr>
                <w:rFonts w:ascii="Arial" w:cs="Arial" w:eastAsia="Arial" w:hAnsi="Arial"/>
                <w:sz w:val="16"/>
                <w:szCs w:val="16"/>
                <w:color w:val="auto"/>
              </w:rPr>
              <w:t>providing perspective on digital monetization and product lifecycle</w:t>
            </w: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48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60" w:type="dxa"/>
            <w:vAlign w:val="bottom"/>
            <w:vMerge w:val="restart"/>
          </w:tcPr>
          <w:p>
            <w:pPr>
              <w:ind w:left="60"/>
              <w:spacing w:after="0" w:line="176" w:lineRule="exact"/>
              <w:rPr>
                <w:sz w:val="20"/>
                <w:szCs w:val="20"/>
                <w:color w:val="auto"/>
              </w:rPr>
            </w:pPr>
            <w:r>
              <w:rPr>
                <w:rFonts w:ascii="Arial" w:cs="Arial" w:eastAsia="Arial" w:hAnsi="Arial"/>
                <w:sz w:val="18"/>
                <w:szCs w:val="18"/>
                <w:b w:val="1"/>
                <w:bCs w:val="1"/>
                <w:color w:val="009BDE"/>
              </w:rPr>
              <w:t>OTHER CURRENT PUBLIC COMPANY BOARDS</w:t>
            </w:r>
          </w:p>
        </w:tc>
        <w:tc>
          <w:tcPr>
            <w:tcW w:w="0" w:type="dxa"/>
            <w:vAlign w:val="bottom"/>
          </w:tcPr>
          <w:p>
            <w:pPr>
              <w:spacing w:after="0"/>
              <w:rPr>
                <w:sz w:val="1"/>
                <w:szCs w:val="1"/>
                <w:color w:val="auto"/>
              </w:rPr>
            </w:pPr>
          </w:p>
        </w:tc>
      </w:tr>
      <w:tr>
        <w:trPr>
          <w:trHeight w:val="102"/>
        </w:trPr>
        <w:tc>
          <w:tcPr>
            <w:tcW w:w="4880" w:type="dxa"/>
            <w:vAlign w:val="bottom"/>
            <w:vMerge w:val="restart"/>
          </w:tcPr>
          <w:p>
            <w:pPr>
              <w:ind w:left="140"/>
              <w:spacing w:after="0"/>
              <w:rPr>
                <w:sz w:val="20"/>
                <w:szCs w:val="20"/>
                <w:color w:val="auto"/>
              </w:rPr>
            </w:pPr>
            <w:r>
              <w:rPr>
                <w:rFonts w:ascii="Arial" w:cs="Arial" w:eastAsia="Arial" w:hAnsi="Arial"/>
                <w:sz w:val="16"/>
                <w:szCs w:val="16"/>
                <w:color w:val="auto"/>
              </w:rPr>
              <w:t>management.</w:t>
            </w: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48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60" w:type="dxa"/>
            <w:vAlign w:val="bottom"/>
            <w:vMerge w:val="restart"/>
          </w:tcPr>
          <w:p>
            <w:pPr>
              <w:ind w:left="60"/>
              <w:spacing w:after="0" w:line="201" w:lineRule="exact"/>
              <w:rPr>
                <w:sz w:val="20"/>
                <w:szCs w:val="20"/>
                <w:color w:val="auto"/>
              </w:rPr>
            </w:pPr>
            <w:r>
              <w:rPr>
                <w:rFonts w:ascii="Arial" w:cs="Arial" w:eastAsia="Arial" w:hAnsi="Arial"/>
                <w:sz w:val="18"/>
                <w:szCs w:val="18"/>
                <w:color w:val="auto"/>
              </w:rPr>
              <w:t>•   Starz Entertainment Corp.</w:t>
            </w:r>
          </w:p>
        </w:tc>
        <w:tc>
          <w:tcPr>
            <w:tcW w:w="0" w:type="dxa"/>
            <w:vAlign w:val="bottom"/>
          </w:tcPr>
          <w:p>
            <w:pPr>
              <w:spacing w:after="0"/>
              <w:rPr>
                <w:sz w:val="1"/>
                <w:szCs w:val="1"/>
                <w:color w:val="auto"/>
              </w:rPr>
            </w:pPr>
          </w:p>
        </w:tc>
      </w:tr>
      <w:tr>
        <w:trPr>
          <w:trHeight w:val="116"/>
        </w:trPr>
        <w:tc>
          <w:tcPr>
            <w:tcW w:w="4880" w:type="dxa"/>
            <w:vAlign w:val="bottom"/>
            <w:vMerge w:val="restart"/>
          </w:tcPr>
          <w:p>
            <w:pPr>
              <w:ind w:left="20"/>
              <w:spacing w:after="0"/>
              <w:rPr>
                <w:sz w:val="20"/>
                <w:szCs w:val="20"/>
                <w:color w:val="auto"/>
              </w:rPr>
            </w:pPr>
            <w:r>
              <w:rPr>
                <w:rFonts w:ascii="Arial" w:cs="Arial" w:eastAsia="Arial" w:hAnsi="Arial"/>
                <w:sz w:val="16"/>
                <w:szCs w:val="16"/>
                <w:color w:val="auto"/>
              </w:rPr>
              <w:t>• Prior leadership roles at Microsoft across Xbox, MSN and OEM</w:t>
            </w: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8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60" w:type="dxa"/>
            <w:vAlign w:val="bottom"/>
            <w:vMerge w:val="restart"/>
          </w:tcPr>
          <w:p>
            <w:pPr>
              <w:ind w:left="220"/>
              <w:spacing w:after="0"/>
              <w:rPr>
                <w:sz w:val="20"/>
                <w:szCs w:val="20"/>
                <w:color w:val="auto"/>
              </w:rPr>
            </w:pPr>
            <w:r>
              <w:rPr>
                <w:rFonts w:ascii="Arial" w:cs="Arial" w:eastAsia="Arial" w:hAnsi="Arial"/>
                <w:sz w:val="18"/>
                <w:szCs w:val="18"/>
                <w:color w:val="auto"/>
              </w:rPr>
              <w:t>- Nominating and Corporate Governance Committee Chair</w:t>
            </w:r>
          </w:p>
        </w:tc>
        <w:tc>
          <w:tcPr>
            <w:tcW w:w="0" w:type="dxa"/>
            <w:vAlign w:val="bottom"/>
          </w:tcPr>
          <w:p>
            <w:pPr>
              <w:spacing w:after="0"/>
              <w:rPr>
                <w:sz w:val="1"/>
                <w:szCs w:val="1"/>
                <w:color w:val="auto"/>
              </w:rPr>
            </w:pPr>
          </w:p>
        </w:tc>
      </w:tr>
      <w:tr>
        <w:trPr>
          <w:trHeight w:val="161"/>
        </w:trPr>
        <w:tc>
          <w:tcPr>
            <w:tcW w:w="4880" w:type="dxa"/>
            <w:vAlign w:val="bottom"/>
          </w:tcPr>
          <w:p>
            <w:pPr>
              <w:ind w:left="140"/>
              <w:spacing w:after="0" w:line="161" w:lineRule="exact"/>
              <w:rPr>
                <w:sz w:val="20"/>
                <w:szCs w:val="20"/>
                <w:color w:val="auto"/>
              </w:rPr>
            </w:pPr>
            <w:r>
              <w:rPr>
                <w:rFonts w:ascii="Arial" w:cs="Arial" w:eastAsia="Arial" w:hAnsi="Arial"/>
                <w:sz w:val="16"/>
                <w:szCs w:val="16"/>
                <w:color w:val="auto"/>
              </w:rPr>
              <w:t>sales provide insight into platform ecosystems, partnerships and</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40"/>
              <w:spacing w:after="0"/>
              <w:rPr>
                <w:sz w:val="20"/>
                <w:szCs w:val="20"/>
                <w:color w:val="auto"/>
              </w:rPr>
            </w:pPr>
            <w:r>
              <w:rPr>
                <w:rFonts w:ascii="Arial" w:cs="Arial" w:eastAsia="Arial" w:hAnsi="Arial"/>
                <w:sz w:val="16"/>
                <w:szCs w:val="16"/>
                <w:color w:val="auto"/>
              </w:rPr>
              <w:t>global technology markets.</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60" w:type="dxa"/>
            <w:vAlign w:val="bottom"/>
          </w:tcPr>
          <w:p>
            <w:pPr>
              <w:ind w:left="220"/>
              <w:spacing w:after="0"/>
              <w:rPr>
                <w:sz w:val="20"/>
                <w:szCs w:val="20"/>
                <w:color w:val="auto"/>
              </w:rPr>
            </w:pPr>
            <w:r>
              <w:rPr>
                <w:rFonts w:ascii="Arial" w:cs="Arial" w:eastAsia="Arial" w:hAnsi="Arial"/>
                <w:sz w:val="18"/>
                <w:szCs w:val="18"/>
                <w:color w:val="auto"/>
              </w:rPr>
              <w:t>- Compensation and Talent Committee</w:t>
            </w:r>
          </w:p>
        </w:tc>
        <w:tc>
          <w:tcPr>
            <w:tcW w:w="0" w:type="dxa"/>
            <w:vAlign w:val="bottom"/>
          </w:tcPr>
          <w:p>
            <w:pPr>
              <w:spacing w:after="0"/>
              <w:rPr>
                <w:sz w:val="1"/>
                <w:szCs w:val="1"/>
                <w:color w:val="auto"/>
              </w:rPr>
            </w:pPr>
          </w:p>
        </w:tc>
      </w:tr>
      <w:tr>
        <w:trPr>
          <w:trHeight w:val="204"/>
        </w:trPr>
        <w:tc>
          <w:tcPr>
            <w:tcW w:w="4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60" w:type="dxa"/>
            <w:vAlign w:val="bottom"/>
            <w:tcBorders>
              <w:bottom w:val="single" w:sz="8" w:color="009BDE"/>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009BD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60" w:type="dxa"/>
            <w:vAlign w:val="bottom"/>
            <w:vMerge w:val="restart"/>
          </w:tcPr>
          <w:p>
            <w:pPr>
              <w:ind w:left="60"/>
              <w:spacing w:after="0" w:line="194" w:lineRule="exact"/>
              <w:rPr>
                <w:sz w:val="20"/>
                <w:szCs w:val="20"/>
                <w:color w:val="auto"/>
              </w:rPr>
            </w:pPr>
            <w:r>
              <w:rPr>
                <w:rFonts w:ascii="Arial" w:cs="Arial" w:eastAsia="Arial" w:hAnsi="Arial"/>
                <w:sz w:val="18"/>
                <w:szCs w:val="18"/>
                <w:b w:val="1"/>
                <w:bCs w:val="1"/>
                <w:color w:val="009BDE"/>
                <w:w w:val="99"/>
              </w:rPr>
              <w:t>FORMER PUBLIC COMPANY BOARDS HELD IN THE PAST</w:t>
            </w:r>
          </w:p>
        </w:tc>
        <w:tc>
          <w:tcPr>
            <w:tcW w:w="0" w:type="dxa"/>
            <w:vAlign w:val="bottom"/>
          </w:tcPr>
          <w:p>
            <w:pPr>
              <w:spacing w:after="0"/>
              <w:rPr>
                <w:sz w:val="1"/>
                <w:szCs w:val="1"/>
                <w:color w:val="auto"/>
              </w:rPr>
            </w:pPr>
          </w:p>
        </w:tc>
      </w:tr>
      <w:tr>
        <w:trPr>
          <w:trHeight w:val="154"/>
        </w:trPr>
        <w:tc>
          <w:tcPr>
            <w:tcW w:w="4880" w:type="dxa"/>
            <w:vAlign w:val="bottom"/>
          </w:tcPr>
          <w:p>
            <w:pPr>
              <w:ind w:left="20"/>
              <w:spacing w:after="0" w:line="154" w:lineRule="exact"/>
              <w:rPr>
                <w:sz w:val="20"/>
                <w:szCs w:val="20"/>
                <w:color w:val="auto"/>
              </w:rPr>
            </w:pPr>
            <w:r>
              <w:rPr>
                <w:rFonts w:ascii="Arial" w:cs="Arial" w:eastAsia="Arial" w:hAnsi="Arial"/>
                <w:sz w:val="17"/>
                <w:szCs w:val="17"/>
                <w:b w:val="1"/>
                <w:bCs w:val="1"/>
                <w:color w:val="009BDE"/>
              </w:rPr>
              <w:t>OTHER CURRENT PUBLIC COMPANY BOARDS</w:t>
            </w: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Molson Coors Beverage Company</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line="188" w:lineRule="exact"/>
              <w:rPr>
                <w:sz w:val="20"/>
                <w:szCs w:val="20"/>
                <w:color w:val="auto"/>
              </w:rPr>
            </w:pPr>
            <w:r>
              <w:rPr>
                <w:rFonts w:ascii="Arial" w:cs="Arial" w:eastAsia="Arial" w:hAnsi="Arial"/>
                <w:sz w:val="18"/>
                <w:szCs w:val="18"/>
                <w:b w:val="1"/>
                <w:bCs w:val="1"/>
                <w:color w:val="009BDE"/>
              </w:rPr>
              <w:t>FIVE YEARS</w:t>
            </w:r>
          </w:p>
        </w:tc>
        <w:tc>
          <w:tcPr>
            <w:tcW w:w="0" w:type="dxa"/>
            <w:vAlign w:val="bottom"/>
          </w:tcPr>
          <w:p>
            <w:pPr>
              <w:spacing w:after="0"/>
              <w:rPr>
                <w:sz w:val="1"/>
                <w:szCs w:val="1"/>
                <w:color w:val="auto"/>
              </w:rPr>
            </w:pPr>
          </w:p>
        </w:tc>
      </w:tr>
      <w:tr>
        <w:trPr>
          <w:trHeight w:val="195"/>
        </w:trPr>
        <w:tc>
          <w:tcPr>
            <w:tcW w:w="4880" w:type="dxa"/>
            <w:vAlign w:val="bottom"/>
          </w:tcPr>
          <w:p>
            <w:pPr>
              <w:ind w:left="160"/>
              <w:spacing w:after="0"/>
              <w:rPr>
                <w:sz w:val="20"/>
                <w:szCs w:val="20"/>
                <w:color w:val="auto"/>
              </w:rPr>
            </w:pPr>
            <w:r>
              <w:rPr>
                <w:rFonts w:ascii="Arial" w:cs="Arial" w:eastAsia="Arial" w:hAnsi="Arial"/>
                <w:sz w:val="16"/>
                <w:szCs w:val="16"/>
                <w:color w:val="auto"/>
              </w:rPr>
              <w:t>- Compensation and HR</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line="195" w:lineRule="exact"/>
              <w:rPr>
                <w:sz w:val="20"/>
                <w:szCs w:val="20"/>
                <w:color w:val="auto"/>
              </w:rPr>
            </w:pPr>
            <w:r>
              <w:rPr>
                <w:rFonts w:ascii="Arial" w:cs="Arial" w:eastAsia="Arial" w:hAnsi="Arial"/>
                <w:sz w:val="18"/>
                <w:szCs w:val="18"/>
                <w:color w:val="auto"/>
              </w:rPr>
              <w:t>• Establishment Labs Holdings Inc.</w:t>
            </w:r>
          </w:p>
        </w:tc>
        <w:tc>
          <w:tcPr>
            <w:tcW w:w="0" w:type="dxa"/>
            <w:vAlign w:val="bottom"/>
          </w:tcPr>
          <w:p>
            <w:pPr>
              <w:spacing w:after="0"/>
              <w:rPr>
                <w:sz w:val="1"/>
                <w:szCs w:val="1"/>
                <w:color w:val="auto"/>
              </w:rPr>
            </w:pPr>
          </w:p>
        </w:tc>
      </w:tr>
      <w:tr>
        <w:trPr>
          <w:trHeight w:val="205"/>
        </w:trPr>
        <w:tc>
          <w:tcPr>
            <w:tcW w:w="4880" w:type="dxa"/>
            <w:vAlign w:val="bottom"/>
          </w:tcPr>
          <w:p>
            <w:pPr>
              <w:ind w:left="160"/>
              <w:spacing w:after="0"/>
              <w:rPr>
                <w:sz w:val="20"/>
                <w:szCs w:val="20"/>
                <w:color w:val="auto"/>
              </w:rPr>
            </w:pPr>
            <w:r>
              <w:rPr>
                <w:rFonts w:ascii="Arial" w:cs="Arial" w:eastAsia="Arial" w:hAnsi="Arial"/>
                <w:sz w:val="16"/>
                <w:szCs w:val="16"/>
                <w:color w:val="auto"/>
              </w:rPr>
              <w:t>- Audit</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60" w:type="dxa"/>
            <w:vAlign w:val="bottom"/>
          </w:tcPr>
          <w:p>
            <w:pPr>
              <w:ind w:left="60"/>
              <w:spacing w:after="0" w:line="206" w:lineRule="exact"/>
              <w:rPr>
                <w:sz w:val="20"/>
                <w:szCs w:val="20"/>
                <w:color w:val="auto"/>
              </w:rPr>
            </w:pPr>
            <w:r>
              <w:rPr>
                <w:rFonts w:ascii="Arial" w:cs="Arial" w:eastAsia="Arial" w:hAnsi="Arial"/>
                <w:sz w:val="18"/>
                <w:szCs w:val="18"/>
                <w:color w:val="auto"/>
              </w:rPr>
              <w:t>• MoneyLion Inc.</w:t>
            </w:r>
          </w:p>
        </w:tc>
        <w:tc>
          <w:tcPr>
            <w:tcW w:w="0" w:type="dxa"/>
            <w:vAlign w:val="bottom"/>
          </w:tcPr>
          <w:p>
            <w:pPr>
              <w:spacing w:after="0"/>
              <w:rPr>
                <w:sz w:val="1"/>
                <w:szCs w:val="1"/>
                <w:color w:val="auto"/>
              </w:rPr>
            </w:pPr>
          </w:p>
        </w:tc>
      </w:tr>
      <w:tr>
        <w:trPr>
          <w:trHeight w:val="211"/>
        </w:trPr>
        <w:tc>
          <w:tcPr>
            <w:tcW w:w="4880" w:type="dxa"/>
            <w:vAlign w:val="bottom"/>
          </w:tcPr>
          <w:p>
            <w:pPr>
              <w:ind w:left="160"/>
              <w:spacing w:after="0"/>
              <w:rPr>
                <w:sz w:val="20"/>
                <w:szCs w:val="20"/>
                <w:color w:val="auto"/>
              </w:rPr>
            </w:pPr>
            <w:r>
              <w:rPr>
                <w:rFonts w:ascii="Arial" w:cs="Arial" w:eastAsia="Arial" w:hAnsi="Arial"/>
                <w:sz w:val="16"/>
                <w:szCs w:val="16"/>
                <w:color w:val="auto"/>
              </w:rPr>
              <w:t>- Technology</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-574675</wp:posOffset>
            </wp:positionV>
            <wp:extent cx="1714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-540385</wp:posOffset>
            </wp:positionV>
            <wp:extent cx="1714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-506730</wp:posOffset>
            </wp:positionV>
            <wp:extent cx="1714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-472440</wp:posOffset>
            </wp:positionV>
            <wp:extent cx="1714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-438785</wp:posOffset>
            </wp:positionV>
            <wp:extent cx="1714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-404495</wp:posOffset>
            </wp:positionV>
            <wp:extent cx="1714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-370840</wp:posOffset>
            </wp:positionV>
            <wp:extent cx="1714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-336550</wp:posOffset>
            </wp:positionV>
            <wp:extent cx="1714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-302895</wp:posOffset>
            </wp:positionV>
            <wp:extent cx="1714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-268605</wp:posOffset>
            </wp:positionV>
            <wp:extent cx="1714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-234950</wp:posOffset>
            </wp:positionV>
            <wp:extent cx="1714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-200660</wp:posOffset>
            </wp:positionV>
            <wp:extent cx="1714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-167005</wp:posOffset>
            </wp:positionV>
            <wp:extent cx="1714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-132715</wp:posOffset>
            </wp:positionV>
            <wp:extent cx="1714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-99060</wp:posOffset>
            </wp:positionV>
            <wp:extent cx="1714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-64770</wp:posOffset>
            </wp:positionV>
            <wp:extent cx="1714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-31115</wp:posOffset>
            </wp:positionV>
            <wp:extent cx="1714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1905</wp:posOffset>
            </wp:positionV>
            <wp:extent cx="1714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36195</wp:posOffset>
            </wp:positionV>
            <wp:extent cx="1714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69850</wp:posOffset>
            </wp:positionV>
            <wp:extent cx="1714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104140</wp:posOffset>
            </wp:positionV>
            <wp:extent cx="1714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137795</wp:posOffset>
            </wp:positionV>
            <wp:extent cx="17145" cy="336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7145" cy="336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-3249930</wp:posOffset>
            </wp:positionV>
            <wp:extent cx="1714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-3215640</wp:posOffset>
            </wp:positionV>
            <wp:extent cx="1714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-3181985</wp:posOffset>
            </wp:positionV>
            <wp:extent cx="1714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-3147695</wp:posOffset>
            </wp:positionV>
            <wp:extent cx="1714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-3114040</wp:posOffset>
            </wp:positionV>
            <wp:extent cx="1714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-3079750</wp:posOffset>
            </wp:positionV>
            <wp:extent cx="1714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-3046095</wp:posOffset>
            </wp:positionV>
            <wp:extent cx="1714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-3011805</wp:posOffset>
            </wp:positionV>
            <wp:extent cx="1714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-2978150</wp:posOffset>
            </wp:positionV>
            <wp:extent cx="1714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-2943860</wp:posOffset>
            </wp:positionV>
            <wp:extent cx="1714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-2910205</wp:posOffset>
            </wp:positionV>
            <wp:extent cx="1714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-2875915</wp:posOffset>
            </wp:positionV>
            <wp:extent cx="1714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-2842260</wp:posOffset>
            </wp:positionV>
            <wp:extent cx="17145"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-2807970</wp:posOffset>
            </wp:positionV>
            <wp:extent cx="1714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-2774315</wp:posOffset>
            </wp:positionV>
            <wp:extent cx="1714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-2740025</wp:posOffset>
            </wp:positionV>
            <wp:extent cx="1714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-2706370</wp:posOffset>
            </wp:positionV>
            <wp:extent cx="1714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-2672080</wp:posOffset>
            </wp:positionV>
            <wp:extent cx="1714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-2638425</wp:posOffset>
            </wp:positionV>
            <wp:extent cx="1714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-2604135</wp:posOffset>
            </wp:positionV>
            <wp:extent cx="1714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-2570480</wp:posOffset>
            </wp:positionV>
            <wp:extent cx="1714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-2536190</wp:posOffset>
            </wp:positionV>
            <wp:extent cx="1714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-2502535</wp:posOffset>
            </wp:positionV>
            <wp:extent cx="1714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-2468245</wp:posOffset>
            </wp:positionV>
            <wp:extent cx="1714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-2434590</wp:posOffset>
            </wp:positionV>
            <wp:extent cx="1714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-2400300</wp:posOffset>
            </wp:positionV>
            <wp:extent cx="1714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-2366645</wp:posOffset>
            </wp:positionV>
            <wp:extent cx="1714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-2332355</wp:posOffset>
            </wp:positionV>
            <wp:extent cx="1714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-2298700</wp:posOffset>
            </wp:positionV>
            <wp:extent cx="1714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-2264410</wp:posOffset>
            </wp:positionV>
            <wp:extent cx="1714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-2230755</wp:posOffset>
            </wp:positionV>
            <wp:extent cx="1714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-2196465</wp:posOffset>
            </wp:positionV>
            <wp:extent cx="1714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-2162810</wp:posOffset>
            </wp:positionV>
            <wp:extent cx="1714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-2128520</wp:posOffset>
            </wp:positionV>
            <wp:extent cx="1714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-2094865</wp:posOffset>
            </wp:positionV>
            <wp:extent cx="1714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-2060575</wp:posOffset>
            </wp:positionV>
            <wp:extent cx="1714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-2026920</wp:posOffset>
            </wp:positionV>
            <wp:extent cx="17145"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-1992630</wp:posOffset>
            </wp:positionV>
            <wp:extent cx="1714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-1958975</wp:posOffset>
            </wp:positionV>
            <wp:extent cx="1714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-1924685</wp:posOffset>
            </wp:positionV>
            <wp:extent cx="1714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-1891030</wp:posOffset>
            </wp:positionV>
            <wp:extent cx="1714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-1856740</wp:posOffset>
            </wp:positionV>
            <wp:extent cx="1714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-1823085</wp:posOffset>
            </wp:positionV>
            <wp:extent cx="1714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-1788795</wp:posOffset>
            </wp:positionV>
            <wp:extent cx="1714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-1755140</wp:posOffset>
            </wp:positionV>
            <wp:extent cx="1714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-1720850</wp:posOffset>
            </wp:positionV>
            <wp:extent cx="1714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-1687195</wp:posOffset>
            </wp:positionV>
            <wp:extent cx="1714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-1652905</wp:posOffset>
            </wp:positionV>
            <wp:extent cx="1714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-1619250</wp:posOffset>
            </wp:positionV>
            <wp:extent cx="1714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-1584960</wp:posOffset>
            </wp:positionV>
            <wp:extent cx="1714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-1551305</wp:posOffset>
            </wp:positionV>
            <wp:extent cx="1714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-1517015</wp:posOffset>
            </wp:positionV>
            <wp:extent cx="1714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-1483360</wp:posOffset>
            </wp:positionV>
            <wp:extent cx="1714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-1449070</wp:posOffset>
            </wp:positionV>
            <wp:extent cx="1714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-1415415</wp:posOffset>
            </wp:positionV>
            <wp:extent cx="1714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-1381125</wp:posOffset>
            </wp:positionV>
            <wp:extent cx="1714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-1347470</wp:posOffset>
            </wp:positionV>
            <wp:extent cx="1714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-1313180</wp:posOffset>
            </wp:positionV>
            <wp:extent cx="1714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-1279525</wp:posOffset>
            </wp:positionV>
            <wp:extent cx="1714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-1245235</wp:posOffset>
            </wp:positionV>
            <wp:extent cx="1714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-1211580</wp:posOffset>
            </wp:positionV>
            <wp:extent cx="1714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-1177290</wp:posOffset>
            </wp:positionV>
            <wp:extent cx="17145"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-1143635</wp:posOffset>
            </wp:positionV>
            <wp:extent cx="1714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-1109345</wp:posOffset>
            </wp:positionV>
            <wp:extent cx="1714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-1075690</wp:posOffset>
            </wp:positionV>
            <wp:extent cx="1714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-1041400</wp:posOffset>
            </wp:positionV>
            <wp:extent cx="1714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-1007745</wp:posOffset>
            </wp:positionV>
            <wp:extent cx="1714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-973455</wp:posOffset>
            </wp:positionV>
            <wp:extent cx="1714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-939800</wp:posOffset>
            </wp:positionV>
            <wp:extent cx="1714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-906145</wp:posOffset>
            </wp:positionV>
            <wp:extent cx="1714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-871855</wp:posOffset>
            </wp:positionV>
            <wp:extent cx="1714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-838200</wp:posOffset>
            </wp:positionV>
            <wp:extent cx="1714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-803910</wp:posOffset>
            </wp:positionV>
            <wp:extent cx="1714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-770255</wp:posOffset>
            </wp:positionV>
            <wp:extent cx="1714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-735965</wp:posOffset>
            </wp:positionV>
            <wp:extent cx="1714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-702310</wp:posOffset>
            </wp:positionV>
            <wp:extent cx="1714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-668020</wp:posOffset>
            </wp:positionV>
            <wp:extent cx="1714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-634365</wp:posOffset>
            </wp:positionV>
            <wp:extent cx="17145" cy="336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7145" cy="336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-4735830</wp:posOffset>
            </wp:positionV>
            <wp:extent cx="1714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-4702175</wp:posOffset>
            </wp:positionV>
            <wp:extent cx="1714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-4667885</wp:posOffset>
            </wp:positionV>
            <wp:extent cx="1714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-4634230</wp:posOffset>
            </wp:positionV>
            <wp:extent cx="1714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-4599940</wp:posOffset>
            </wp:positionV>
            <wp:extent cx="1714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-4566285</wp:posOffset>
            </wp:positionV>
            <wp:extent cx="1714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-4531995</wp:posOffset>
            </wp:positionV>
            <wp:extent cx="1714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-4498340</wp:posOffset>
            </wp:positionV>
            <wp:extent cx="1714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-4464050</wp:posOffset>
            </wp:positionV>
            <wp:extent cx="1714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-4430395</wp:posOffset>
            </wp:positionV>
            <wp:extent cx="1714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-4396105</wp:posOffset>
            </wp:positionV>
            <wp:extent cx="1714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-4362450</wp:posOffset>
            </wp:positionV>
            <wp:extent cx="17145"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-4328160</wp:posOffset>
            </wp:positionV>
            <wp:extent cx="17145"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-4294505</wp:posOffset>
            </wp:positionV>
            <wp:extent cx="17145"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-4260215</wp:posOffset>
            </wp:positionV>
            <wp:extent cx="1714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-4226560</wp:posOffset>
            </wp:positionV>
            <wp:extent cx="17145"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-4192270</wp:posOffset>
            </wp:positionV>
            <wp:extent cx="17145"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-4158615</wp:posOffset>
            </wp:positionV>
            <wp:extent cx="1714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-4124325</wp:posOffset>
            </wp:positionV>
            <wp:extent cx="1714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-4090670</wp:posOffset>
            </wp:positionV>
            <wp:extent cx="17145"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-4056380</wp:posOffset>
            </wp:positionV>
            <wp:extent cx="1714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-4022725</wp:posOffset>
            </wp:positionV>
            <wp:extent cx="1714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-3988435</wp:posOffset>
            </wp:positionV>
            <wp:extent cx="1714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-3954780</wp:posOffset>
            </wp:positionV>
            <wp:extent cx="1714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-3920490</wp:posOffset>
            </wp:positionV>
            <wp:extent cx="1714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-3886835</wp:posOffset>
            </wp:positionV>
            <wp:extent cx="1714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-3852545</wp:posOffset>
            </wp:positionV>
            <wp:extent cx="1714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-3818890</wp:posOffset>
            </wp:positionV>
            <wp:extent cx="1714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-3784600</wp:posOffset>
            </wp:positionV>
            <wp:extent cx="17145"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-3750945</wp:posOffset>
            </wp:positionV>
            <wp:extent cx="17145"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-3716655</wp:posOffset>
            </wp:positionV>
            <wp:extent cx="1714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-3683000</wp:posOffset>
            </wp:positionV>
            <wp:extent cx="17145"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-3648710</wp:posOffset>
            </wp:positionV>
            <wp:extent cx="17145"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-3615055</wp:posOffset>
            </wp:positionV>
            <wp:extent cx="1714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-3580765</wp:posOffset>
            </wp:positionV>
            <wp:extent cx="17145"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-3547110</wp:posOffset>
            </wp:positionV>
            <wp:extent cx="1714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-3512820</wp:posOffset>
            </wp:positionV>
            <wp:extent cx="1714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-3479165</wp:posOffset>
            </wp:positionV>
            <wp:extent cx="1714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-3444875</wp:posOffset>
            </wp:positionV>
            <wp:extent cx="1714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-3411220</wp:posOffset>
            </wp:positionV>
            <wp:extent cx="1714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-3376930</wp:posOffset>
            </wp:positionV>
            <wp:extent cx="1714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-3343275</wp:posOffset>
            </wp:positionV>
            <wp:extent cx="1714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-3308985</wp:posOffset>
            </wp:positionV>
            <wp:extent cx="17145" cy="336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7145" cy="336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-5814695</wp:posOffset>
            </wp:positionV>
            <wp:extent cx="17145"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-5780405</wp:posOffset>
            </wp:positionV>
            <wp:extent cx="17145"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-5746750</wp:posOffset>
            </wp:positionV>
            <wp:extent cx="17145"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-5712460</wp:posOffset>
            </wp:positionV>
            <wp:extent cx="17145"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-5678805</wp:posOffset>
            </wp:positionV>
            <wp:extent cx="17145"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-5644515</wp:posOffset>
            </wp:positionV>
            <wp:extent cx="1714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-5610860</wp:posOffset>
            </wp:positionV>
            <wp:extent cx="17145"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-5576570</wp:posOffset>
            </wp:positionV>
            <wp:extent cx="1714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-5542915</wp:posOffset>
            </wp:positionV>
            <wp:extent cx="1714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-5508625</wp:posOffset>
            </wp:positionV>
            <wp:extent cx="1714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-5474970</wp:posOffset>
            </wp:positionV>
            <wp:extent cx="17145"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-5440680</wp:posOffset>
            </wp:positionV>
            <wp:extent cx="17145"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-5407025</wp:posOffset>
            </wp:positionV>
            <wp:extent cx="17145"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-5372735</wp:posOffset>
            </wp:positionV>
            <wp:extent cx="17145"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-5339080</wp:posOffset>
            </wp:positionV>
            <wp:extent cx="17145"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-5304790</wp:posOffset>
            </wp:positionV>
            <wp:extent cx="17145"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-5271135</wp:posOffset>
            </wp:positionV>
            <wp:extent cx="17145"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-5236845</wp:posOffset>
            </wp:positionV>
            <wp:extent cx="17145"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-5203190</wp:posOffset>
            </wp:positionV>
            <wp:extent cx="17145"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-5168900</wp:posOffset>
            </wp:positionV>
            <wp:extent cx="17145"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-5135245</wp:posOffset>
            </wp:positionV>
            <wp:extent cx="17145"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-5100955</wp:posOffset>
            </wp:positionV>
            <wp:extent cx="1714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-5067300</wp:posOffset>
            </wp:positionV>
            <wp:extent cx="17145"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-5033010</wp:posOffset>
            </wp:positionV>
            <wp:extent cx="1714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-4999355</wp:posOffset>
            </wp:positionV>
            <wp:extent cx="1714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-4965065</wp:posOffset>
            </wp:positionV>
            <wp:extent cx="17145"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-4931410</wp:posOffset>
            </wp:positionV>
            <wp:extent cx="1714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-4897120</wp:posOffset>
            </wp:positionV>
            <wp:extent cx="17145"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-4863465</wp:posOffset>
            </wp:positionV>
            <wp:extent cx="17145"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-4829175</wp:posOffset>
            </wp:positionV>
            <wp:extent cx="17145"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-4795520</wp:posOffset>
            </wp:positionV>
            <wp:extent cx="17145" cy="336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714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-5814695</wp:posOffset>
            </wp:positionV>
            <wp:extent cx="925830" cy="92583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925830" cy="92583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-5814695</wp:posOffset>
            </wp:positionV>
            <wp:extent cx="916940" cy="916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916940" cy="916940"/>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9BDE"/>
        </w:rPr>
        <w:t>FORMER PUBLIC COMPANY BOARDS HELD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-93345</wp:posOffset>
            </wp:positionV>
            <wp:extent cx="17145"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-59690</wp:posOffset>
            </wp:positionV>
            <wp:extent cx="17145"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-25400</wp:posOffset>
            </wp:positionV>
            <wp:extent cx="17145"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-127635</wp:posOffset>
            </wp:positionV>
            <wp:extent cx="30911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b w:val="1"/>
          <w:bCs w:val="1"/>
          <w:color w:val="009BDE"/>
        </w:rPr>
        <w:t>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-127635</wp:posOffset>
            </wp:positionV>
            <wp:extent cx="17145"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-93980</wp:posOffset>
            </wp:positionV>
            <wp:extent cx="17145"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-59690</wp:posOffset>
            </wp:positionV>
            <wp:extent cx="17145"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-26035</wp:posOffset>
            </wp:positionV>
            <wp:extent cx="17145"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535940</wp:posOffset>
            </wp:positionV>
            <wp:extent cx="6964045" cy="39052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964045" cy="39052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-108585</wp:posOffset>
            </wp:positionV>
            <wp:extent cx="17145"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-74930</wp:posOffset>
            </wp:positionV>
            <wp:extent cx="17145"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-40640</wp:posOffset>
            </wp:positionV>
            <wp:extent cx="17145"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-6985</wp:posOffset>
            </wp:positionV>
            <wp:extent cx="17145"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26035</wp:posOffset>
            </wp:positionV>
            <wp:extent cx="17145"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60325</wp:posOffset>
            </wp:positionV>
            <wp:extent cx="17145"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93980</wp:posOffset>
            </wp:positionV>
            <wp:extent cx="17145"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CFCFC"/>
        </w:rPr>
        <w:t>    4</w:t>
      </w:r>
    </w:p>
    <w:p>
      <w:pPr>
        <w:sectPr>
          <w:pgSz w:w="11900" w:h="16838" w:orient="portrait"/>
          <w:cols w:equalWidth="0" w:num="1">
            <w:col w:w="11080"/>
          </w:cols>
          <w:pgMar w:left="320" w:top="478"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60" w:type="dxa"/>
        <w:tblCellMar>
          <w:top w:w="0" w:type="dxa"/>
          <w:left w:w="0" w:type="dxa"/>
          <w:bottom w:w="0" w:type="dxa"/>
          <w:right w:w="0" w:type="dxa"/>
        </w:tblCellMar>
      </w:tblPr>
      <w:tr>
        <w:trPr>
          <w:trHeight w:val="287"/>
        </w:trPr>
        <w:tc>
          <w:tcPr>
            <w:tcW w:w="4880" w:type="dxa"/>
            <w:vAlign w:val="bottom"/>
          </w:tcPr>
          <w:p>
            <w:pPr>
              <w:ind w:left="1760"/>
              <w:spacing w:after="0"/>
              <w:rPr>
                <w:sz w:val="20"/>
                <w:szCs w:val="20"/>
                <w:color w:val="auto"/>
              </w:rPr>
            </w:pPr>
            <w:r>
              <w:rPr>
                <w:rFonts w:ascii="Arial" w:cs="Arial" w:eastAsia="Arial" w:hAnsi="Arial"/>
                <w:sz w:val="25"/>
                <w:szCs w:val="25"/>
                <w:b w:val="1"/>
                <w:bCs w:val="1"/>
                <w:color w:val="009BDE"/>
              </w:rPr>
              <w:t>Frank D. Gibeau</w:t>
            </w:r>
          </w:p>
        </w:tc>
        <w:tc>
          <w:tcPr>
            <w:tcW w:w="480" w:type="dxa"/>
            <w:vAlign w:val="bottom"/>
            <w:vMerge w:val="restart"/>
          </w:tcPr>
          <w:p>
            <w:pPr>
              <w:ind w:left="60"/>
              <w:spacing w:after="0"/>
              <w:rPr>
                <w:sz w:val="20"/>
                <w:szCs w:val="20"/>
                <w:color w:val="auto"/>
              </w:rPr>
            </w:pPr>
            <w:r>
              <w:rPr>
                <w:rFonts w:ascii="Arial" w:cs="Arial" w:eastAsia="Arial" w:hAnsi="Arial"/>
                <w:sz w:val="16"/>
                <w:szCs w:val="16"/>
                <w:color w:val="auto"/>
              </w:rPr>
              <w:t xml:space="preserve">    </w:t>
            </w:r>
          </w:p>
        </w:tc>
        <w:tc>
          <w:tcPr>
            <w:tcW w:w="500" w:type="dxa"/>
            <w:vAlign w:val="bottom"/>
            <w:vMerge w:val="restart"/>
          </w:tcPr>
          <w:p>
            <w:pPr>
              <w:ind w:left="220"/>
              <w:spacing w:after="0"/>
              <w:rPr>
                <w:sz w:val="20"/>
                <w:szCs w:val="20"/>
                <w:color w:val="auto"/>
              </w:rPr>
            </w:pPr>
            <w:r>
              <w:rPr>
                <w:rFonts w:ascii="Arial" w:cs="Arial" w:eastAsia="Arial" w:hAnsi="Arial"/>
                <w:sz w:val="16"/>
                <w:szCs w:val="16"/>
                <w:color w:val="auto"/>
              </w:rPr>
              <w:t xml:space="preserve">    </w:t>
            </w:r>
          </w:p>
        </w:tc>
        <w:tc>
          <w:tcPr>
            <w:tcW w:w="5060" w:type="dxa"/>
            <w:vAlign w:val="bottom"/>
          </w:tcPr>
          <w:p>
            <w:pPr>
              <w:ind w:left="1840"/>
              <w:spacing w:after="0"/>
              <w:rPr>
                <w:sz w:val="20"/>
                <w:szCs w:val="20"/>
                <w:color w:val="auto"/>
              </w:rPr>
            </w:pPr>
            <w:r>
              <w:rPr>
                <w:rFonts w:ascii="Arial" w:cs="Arial" w:eastAsia="Arial" w:hAnsi="Arial"/>
                <w:sz w:val="25"/>
                <w:szCs w:val="25"/>
                <w:b w:val="1"/>
                <w:bCs w:val="1"/>
                <w:color w:val="009BDE"/>
              </w:rPr>
              <w:t>Elizabeth Hamren</w:t>
            </w:r>
          </w:p>
        </w:tc>
        <w:tc>
          <w:tcPr>
            <w:tcW w:w="0" w:type="dxa"/>
            <w:vAlign w:val="bottom"/>
          </w:tcPr>
          <w:p>
            <w:pPr>
              <w:spacing w:after="0"/>
              <w:rPr>
                <w:sz w:val="1"/>
                <w:szCs w:val="1"/>
                <w:color w:val="auto"/>
              </w:rPr>
            </w:pPr>
          </w:p>
        </w:tc>
      </w:tr>
      <w:tr>
        <w:trPr>
          <w:trHeight w:val="50"/>
        </w:trPr>
        <w:tc>
          <w:tcPr>
            <w:tcW w:w="48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5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0"/>
        </w:trPr>
        <w:tc>
          <w:tcPr>
            <w:tcW w:w="4880" w:type="dxa"/>
            <w:vAlign w:val="bottom"/>
          </w:tcPr>
          <w:p>
            <w:pPr>
              <w:ind w:left="176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57</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60" w:type="dxa"/>
            <w:vAlign w:val="bottom"/>
          </w:tcPr>
          <w:p>
            <w:pPr>
              <w:ind w:left="184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81"/>
        </w:trPr>
        <w:tc>
          <w:tcPr>
            <w:tcW w:w="4880" w:type="dxa"/>
            <w:vAlign w:val="bottom"/>
          </w:tcPr>
          <w:p>
            <w:pPr>
              <w:ind w:left="176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2024</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60" w:type="dxa"/>
            <w:vAlign w:val="bottom"/>
          </w:tcPr>
          <w:p>
            <w:pPr>
              <w:ind w:left="184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2022</w:t>
            </w:r>
          </w:p>
        </w:tc>
        <w:tc>
          <w:tcPr>
            <w:tcW w:w="0" w:type="dxa"/>
            <w:vAlign w:val="bottom"/>
          </w:tcPr>
          <w:p>
            <w:pPr>
              <w:spacing w:after="0"/>
              <w:rPr>
                <w:sz w:val="1"/>
                <w:szCs w:val="1"/>
                <w:color w:val="auto"/>
              </w:rPr>
            </w:pPr>
          </w:p>
        </w:tc>
      </w:tr>
      <w:tr>
        <w:trPr>
          <w:trHeight w:val="227"/>
        </w:trPr>
        <w:tc>
          <w:tcPr>
            <w:tcW w:w="4880" w:type="dxa"/>
            <w:vAlign w:val="bottom"/>
          </w:tcPr>
          <w:p>
            <w:pPr>
              <w:ind w:left="1760"/>
              <w:spacing w:after="0" w:line="228" w:lineRule="exact"/>
              <w:rPr>
                <w:sz w:val="20"/>
                <w:szCs w:val="20"/>
                <w:color w:val="auto"/>
              </w:rPr>
            </w:pPr>
            <w:r>
              <w:rPr>
                <w:rFonts w:ascii="Arial" w:cs="Arial" w:eastAsia="Arial" w:hAnsi="Arial"/>
                <w:sz w:val="20"/>
                <w:szCs w:val="20"/>
                <w:b w:val="1"/>
                <w:bCs w:val="1"/>
                <w:color w:val="auto"/>
              </w:rPr>
              <w:t>Committees:</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60" w:type="dxa"/>
            <w:vAlign w:val="bottom"/>
          </w:tcPr>
          <w:p>
            <w:pPr>
              <w:ind w:left="1840"/>
              <w:spacing w:after="0" w:line="228" w:lineRule="exact"/>
              <w:rPr>
                <w:sz w:val="20"/>
                <w:szCs w:val="20"/>
                <w:color w:val="auto"/>
              </w:rPr>
            </w:pPr>
            <w:r>
              <w:rPr>
                <w:rFonts w:ascii="Arial" w:cs="Arial" w:eastAsia="Arial" w:hAnsi="Arial"/>
                <w:sz w:val="20"/>
                <w:szCs w:val="20"/>
                <w:b w:val="1"/>
                <w:bCs w:val="1"/>
                <w:color w:val="auto"/>
              </w:rPr>
              <w:t>Committees:</w:t>
            </w:r>
          </w:p>
        </w:tc>
        <w:tc>
          <w:tcPr>
            <w:tcW w:w="0" w:type="dxa"/>
            <w:vAlign w:val="bottom"/>
          </w:tcPr>
          <w:p>
            <w:pPr>
              <w:spacing w:after="0"/>
              <w:rPr>
                <w:sz w:val="1"/>
                <w:szCs w:val="1"/>
                <w:color w:val="auto"/>
              </w:rPr>
            </w:pPr>
          </w:p>
        </w:tc>
      </w:tr>
      <w:tr>
        <w:trPr>
          <w:trHeight w:val="214"/>
        </w:trPr>
        <w:tc>
          <w:tcPr>
            <w:tcW w:w="4880" w:type="dxa"/>
            <w:vAlign w:val="bottom"/>
          </w:tcPr>
          <w:p>
            <w:pPr>
              <w:ind w:left="1760"/>
              <w:spacing w:after="0" w:line="214" w:lineRule="exact"/>
              <w:rPr>
                <w:sz w:val="20"/>
                <w:szCs w:val="20"/>
                <w:color w:val="auto"/>
              </w:rPr>
            </w:pPr>
            <w:r>
              <w:rPr>
                <w:rFonts w:ascii="Arial" w:cs="Arial" w:eastAsia="Arial" w:hAnsi="Arial"/>
                <w:sz w:val="20"/>
                <w:szCs w:val="20"/>
                <w:color w:val="auto"/>
              </w:rPr>
              <w:t>• Finance and Capital Allocation</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60" w:type="dxa"/>
            <w:vAlign w:val="bottom"/>
          </w:tcPr>
          <w:p>
            <w:pPr>
              <w:ind w:left="1840"/>
              <w:spacing w:after="0" w:line="214" w:lineRule="exact"/>
              <w:rPr>
                <w:sz w:val="20"/>
                <w:szCs w:val="20"/>
                <w:color w:val="auto"/>
              </w:rPr>
            </w:pPr>
            <w:r>
              <w:rPr>
                <w:rFonts w:ascii="Arial" w:cs="Arial" w:eastAsia="Arial" w:hAnsi="Arial"/>
                <w:sz w:val="20"/>
                <w:szCs w:val="20"/>
                <w:color w:val="auto"/>
              </w:rPr>
              <w:t>• Compensation</w:t>
            </w:r>
          </w:p>
        </w:tc>
        <w:tc>
          <w:tcPr>
            <w:tcW w:w="0" w:type="dxa"/>
            <w:vAlign w:val="bottom"/>
          </w:tcPr>
          <w:p>
            <w:pPr>
              <w:spacing w:after="0"/>
              <w:rPr>
                <w:sz w:val="1"/>
                <w:szCs w:val="1"/>
                <w:color w:val="auto"/>
              </w:rPr>
            </w:pPr>
          </w:p>
        </w:tc>
      </w:tr>
      <w:tr>
        <w:trPr>
          <w:trHeight w:val="257"/>
        </w:trPr>
        <w:tc>
          <w:tcPr>
            <w:tcW w:w="4880" w:type="dxa"/>
            <w:vAlign w:val="bottom"/>
          </w:tcPr>
          <w:p>
            <w:pPr>
              <w:ind w:left="1920"/>
              <w:spacing w:after="0"/>
              <w:rPr>
                <w:sz w:val="20"/>
                <w:szCs w:val="20"/>
                <w:color w:val="auto"/>
              </w:rPr>
            </w:pPr>
            <w:r>
              <w:rPr>
                <w:rFonts w:ascii="Arial" w:cs="Arial" w:eastAsia="Arial" w:hAnsi="Arial"/>
                <w:sz w:val="20"/>
                <w:szCs w:val="20"/>
                <w:color w:val="auto"/>
              </w:rPr>
              <w:t>(Chair)</w:t>
            </w: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4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60" w:type="dxa"/>
            <w:vAlign w:val="bottom"/>
            <w:tcBorders>
              <w:bottom w:val="single" w:sz="8" w:color="009BDE"/>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009BD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60" w:type="dxa"/>
            <w:vAlign w:val="bottom"/>
            <w:vMerge w:val="restart"/>
          </w:tcPr>
          <w:p>
            <w:pPr>
              <w:ind w:left="60"/>
              <w:spacing w:after="0" w:line="194" w:lineRule="exact"/>
              <w:rPr>
                <w:sz w:val="20"/>
                <w:szCs w:val="20"/>
                <w:color w:val="auto"/>
              </w:rPr>
            </w:pPr>
            <w:r>
              <w:rPr>
                <w:rFonts w:ascii="Arial" w:cs="Arial" w:eastAsia="Arial" w:hAnsi="Arial"/>
                <w:sz w:val="18"/>
                <w:szCs w:val="18"/>
                <w:b w:val="1"/>
                <w:bCs w:val="1"/>
                <w:color w:val="009BDE"/>
              </w:rPr>
              <w:t>EXPERIENCE</w:t>
            </w:r>
          </w:p>
        </w:tc>
        <w:tc>
          <w:tcPr>
            <w:tcW w:w="0" w:type="dxa"/>
            <w:vAlign w:val="bottom"/>
          </w:tcPr>
          <w:p>
            <w:pPr>
              <w:spacing w:after="0"/>
              <w:rPr>
                <w:sz w:val="1"/>
                <w:szCs w:val="1"/>
                <w:color w:val="auto"/>
              </w:rPr>
            </w:pPr>
          </w:p>
        </w:tc>
      </w:tr>
      <w:tr>
        <w:trPr>
          <w:trHeight w:val="154"/>
        </w:trPr>
        <w:tc>
          <w:tcPr>
            <w:tcW w:w="4880" w:type="dxa"/>
            <w:vAlign w:val="bottom"/>
          </w:tcPr>
          <w:p>
            <w:pPr>
              <w:ind w:left="20"/>
              <w:spacing w:after="0" w:line="154" w:lineRule="exact"/>
              <w:rPr>
                <w:sz w:val="20"/>
                <w:szCs w:val="20"/>
                <w:color w:val="auto"/>
              </w:rPr>
            </w:pPr>
            <w:r>
              <w:rPr>
                <w:rFonts w:ascii="Arial" w:cs="Arial" w:eastAsia="Arial" w:hAnsi="Arial"/>
                <w:sz w:val="17"/>
                <w:szCs w:val="17"/>
                <w:b w:val="1"/>
                <w:bCs w:val="1"/>
                <w:color w:val="009BDE"/>
              </w:rPr>
              <w:t>EXPERIENCE</w:t>
            </w: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Frank D. Gibeau has served as President of Zynga, Inc., a wholly-</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Elizabeth Hamren has served as Chief Executive Officer of AllTrails,</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owned publishing and development label of Take-Two Interactive</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LLC, a technology platform provider for outdoor exploration, since</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Software, Inc. since May 2022. He served as CEO of Zynga from</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September 2025. Prior to that, she served as Chief Executive Officer</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2016 to 2022, and is a mobile, PC, and console gaming industry</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of Ring, Inc., an Amazon smart doorbell and home security company,</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expert with 30 years of experience in interactive entertainment. As</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from March 2023 to June 2025. Prior to that she served as Chief</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Zynga’s CEO, Gibeau led the company’s turnaround and transition</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Operating Officer at Discord Inc., a voice, video and text</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to rapid growth, in large part, due to optimizing live services and</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communication service that enables people to gather virtually,</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fortifying the company’s portfolio of popular franchises, including</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including while gaming, from December 2021 to March 2023. Prior to</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w w:val="99"/>
              </w:rPr>
              <w:t>Toon Blast, Empires and Puzzles, CSR Racing, Words With Friends,</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joining Discord, Ms. Hamren served as a Corporate Vice President at</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and Zynga Poker. Prior to joining Zynga in 2016, Mr. Gibeau spent</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Microsoft Corporation from March 2017 to December 2021 running</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more than two decades at Electronic Arts where he held several</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product and engineering for Xbox consumer products, including</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influential business and product leadership roles. Most recently, he</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developing and launching the Xbox Series X|S and leading Xbox</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served as the Executive Vice President of EA Mobile, where he led</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Game Pass. Prior to that, from August 2015 to March 2017, she led</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strategy, product development, and publishing for the company’s</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Global Marketing and Sales for Oculus at Meta Platforms, Inc.</w:t>
            </w: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fast-growing mobile games business.</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(formerly Facebook, Inc.), where she launched the industry-defining</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60" w:type="dxa"/>
            <w:vAlign w:val="bottom"/>
          </w:tcPr>
          <w:p>
            <w:pPr>
              <w:ind w:left="60"/>
              <w:spacing w:after="0" w:line="173" w:lineRule="exact"/>
              <w:rPr>
                <w:sz w:val="20"/>
                <w:szCs w:val="20"/>
                <w:color w:val="auto"/>
              </w:rPr>
            </w:pPr>
            <w:r>
              <w:rPr>
                <w:rFonts w:ascii="Arial" w:cs="Arial" w:eastAsia="Arial" w:hAnsi="Arial"/>
                <w:sz w:val="16"/>
                <w:szCs w:val="16"/>
                <w:color w:val="auto"/>
              </w:rPr>
              <w:t>Oculus Rift virtual reality headset. Ms. Hamren holds a BSE in Civil</w:t>
            </w:r>
          </w:p>
        </w:tc>
        <w:tc>
          <w:tcPr>
            <w:tcW w:w="0" w:type="dxa"/>
            <w:vAlign w:val="bottom"/>
          </w:tcPr>
          <w:p>
            <w:pPr>
              <w:spacing w:after="0"/>
              <w:rPr>
                <w:sz w:val="1"/>
                <w:szCs w:val="1"/>
                <w:color w:val="auto"/>
              </w:rPr>
            </w:pPr>
          </w:p>
        </w:tc>
      </w:tr>
      <w:tr>
        <w:trPr>
          <w:trHeight w:val="121"/>
        </w:trPr>
        <w:tc>
          <w:tcPr>
            <w:tcW w:w="4880" w:type="dxa"/>
            <w:vAlign w:val="bottom"/>
            <w:tcBorders>
              <w:bottom w:val="single" w:sz="8" w:color="009BDE"/>
            </w:tcBorders>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60" w:type="dxa"/>
            <w:vAlign w:val="bottom"/>
            <w:vMerge w:val="restart"/>
          </w:tcPr>
          <w:p>
            <w:pPr>
              <w:ind w:left="60"/>
              <w:spacing w:after="0"/>
              <w:rPr>
                <w:sz w:val="20"/>
                <w:szCs w:val="20"/>
                <w:color w:val="auto"/>
              </w:rPr>
            </w:pPr>
            <w:r>
              <w:rPr>
                <w:rFonts w:ascii="Arial" w:cs="Arial" w:eastAsia="Arial" w:hAnsi="Arial"/>
                <w:sz w:val="16"/>
                <w:szCs w:val="16"/>
                <w:color w:val="auto"/>
              </w:rPr>
              <w:t>Engineering and Operations Research from Princeton University, and</w:t>
            </w:r>
          </w:p>
        </w:tc>
        <w:tc>
          <w:tcPr>
            <w:tcW w:w="0" w:type="dxa"/>
            <w:vAlign w:val="bottom"/>
          </w:tcPr>
          <w:p>
            <w:pPr>
              <w:spacing w:after="0"/>
              <w:rPr>
                <w:sz w:val="1"/>
                <w:szCs w:val="1"/>
                <w:color w:val="auto"/>
              </w:rPr>
            </w:pPr>
          </w:p>
        </w:tc>
      </w:tr>
      <w:tr>
        <w:trPr>
          <w:trHeight w:val="46"/>
        </w:trPr>
        <w:tc>
          <w:tcPr>
            <w:tcW w:w="4880" w:type="dxa"/>
            <w:vAlign w:val="bottom"/>
            <w:vMerge w:val="restart"/>
          </w:tcPr>
          <w:p>
            <w:pPr>
              <w:ind w:left="20"/>
              <w:spacing w:after="0"/>
              <w:rPr>
                <w:sz w:val="20"/>
                <w:szCs w:val="20"/>
                <w:color w:val="auto"/>
              </w:rPr>
            </w:pPr>
            <w:r>
              <w:rPr>
                <w:rFonts w:ascii="Arial" w:cs="Arial" w:eastAsia="Arial" w:hAnsi="Arial"/>
                <w:sz w:val="18"/>
                <w:szCs w:val="18"/>
                <w:b w:val="1"/>
                <w:bCs w:val="1"/>
                <w:color w:val="009BDE"/>
              </w:rPr>
              <w:t>QUALIFICATIONS</w:t>
            </w: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8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60" w:type="dxa"/>
            <w:vAlign w:val="bottom"/>
          </w:tcPr>
          <w:p>
            <w:pPr>
              <w:ind w:left="60"/>
              <w:spacing w:after="0" w:line="161" w:lineRule="exact"/>
              <w:rPr>
                <w:sz w:val="20"/>
                <w:szCs w:val="20"/>
                <w:color w:val="auto"/>
              </w:rPr>
            </w:pPr>
            <w:r>
              <w:rPr>
                <w:rFonts w:ascii="Arial" w:cs="Arial" w:eastAsia="Arial" w:hAnsi="Arial"/>
                <w:sz w:val="16"/>
                <w:szCs w:val="16"/>
                <w:color w:val="auto"/>
              </w:rPr>
              <w:t>an M.B.A. from Harvard Business School.</w:t>
            </w:r>
          </w:p>
        </w:tc>
        <w:tc>
          <w:tcPr>
            <w:tcW w:w="0" w:type="dxa"/>
            <w:vAlign w:val="bottom"/>
          </w:tcPr>
          <w:p>
            <w:pPr>
              <w:spacing w:after="0"/>
              <w:rPr>
                <w:sz w:val="1"/>
                <w:szCs w:val="1"/>
                <w:color w:val="auto"/>
              </w:rPr>
            </w:pPr>
          </w:p>
        </w:tc>
      </w:tr>
      <w:tr>
        <w:trPr>
          <w:trHeight w:val="160"/>
        </w:trPr>
        <w:tc>
          <w:tcPr>
            <w:tcW w:w="4880" w:type="dxa"/>
            <w:vAlign w:val="bottom"/>
          </w:tcPr>
          <w:p>
            <w:pPr>
              <w:ind w:left="20"/>
              <w:spacing w:after="0" w:line="160" w:lineRule="exact"/>
              <w:rPr>
                <w:sz w:val="20"/>
                <w:szCs w:val="20"/>
                <w:color w:val="auto"/>
              </w:rPr>
            </w:pPr>
            <w:r>
              <w:rPr>
                <w:rFonts w:ascii="Arial" w:cs="Arial" w:eastAsia="Arial" w:hAnsi="Arial"/>
                <w:sz w:val="16"/>
                <w:szCs w:val="16"/>
                <w:color w:val="auto"/>
              </w:rPr>
              <w:t>• More than three decades of experience across mobile, PC and</w:t>
            </w: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880" w:type="dxa"/>
            <w:vAlign w:val="bottom"/>
            <w:vMerge w:val="restart"/>
          </w:tcPr>
          <w:p>
            <w:pPr>
              <w:ind w:left="140"/>
              <w:spacing w:after="0"/>
              <w:rPr>
                <w:sz w:val="20"/>
                <w:szCs w:val="20"/>
                <w:color w:val="auto"/>
              </w:rPr>
            </w:pPr>
            <w:r>
              <w:rPr>
                <w:rFonts w:ascii="Arial" w:cs="Arial" w:eastAsia="Arial" w:hAnsi="Arial"/>
                <w:sz w:val="16"/>
                <w:szCs w:val="16"/>
                <w:color w:val="auto"/>
              </w:rPr>
              <w:t>console gaming, providing deep insight into digital publishing, live</w:t>
            </w: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60" w:type="dxa"/>
            <w:vAlign w:val="bottom"/>
            <w:tcBorders>
              <w:bottom w:val="single" w:sz="8" w:color="009BDE"/>
            </w:tcBorders>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48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60" w:type="dxa"/>
            <w:vAlign w:val="bottom"/>
            <w:vMerge w:val="restart"/>
          </w:tcPr>
          <w:p>
            <w:pPr>
              <w:ind w:left="60"/>
              <w:spacing w:after="0" w:line="194" w:lineRule="exact"/>
              <w:rPr>
                <w:sz w:val="20"/>
                <w:szCs w:val="20"/>
                <w:color w:val="auto"/>
              </w:rPr>
            </w:pPr>
            <w:r>
              <w:rPr>
                <w:rFonts w:ascii="Arial" w:cs="Arial" w:eastAsia="Arial" w:hAnsi="Arial"/>
                <w:sz w:val="18"/>
                <w:szCs w:val="18"/>
                <w:b w:val="1"/>
                <w:bCs w:val="1"/>
                <w:color w:val="009BDE"/>
              </w:rPr>
              <w:t>QUALIFICATIONS</w:t>
            </w:r>
          </w:p>
        </w:tc>
        <w:tc>
          <w:tcPr>
            <w:tcW w:w="0" w:type="dxa"/>
            <w:vAlign w:val="bottom"/>
          </w:tcPr>
          <w:p>
            <w:pPr>
              <w:spacing w:after="0" w:line="20" w:lineRule="exact"/>
              <w:rPr>
                <w:sz w:val="1"/>
                <w:szCs w:val="1"/>
                <w:color w:val="auto"/>
              </w:rPr>
            </w:pPr>
          </w:p>
        </w:tc>
      </w:tr>
      <w:tr>
        <w:trPr>
          <w:trHeight w:val="161"/>
        </w:trPr>
        <w:tc>
          <w:tcPr>
            <w:tcW w:w="4880" w:type="dxa"/>
            <w:vAlign w:val="bottom"/>
          </w:tcPr>
          <w:p>
            <w:pPr>
              <w:ind w:left="140"/>
              <w:spacing w:after="0" w:line="161" w:lineRule="exact"/>
              <w:rPr>
                <w:sz w:val="20"/>
                <w:szCs w:val="20"/>
                <w:color w:val="auto"/>
              </w:rPr>
            </w:pPr>
            <w:r>
              <w:rPr>
                <w:rFonts w:ascii="Arial" w:cs="Arial" w:eastAsia="Arial" w:hAnsi="Arial"/>
                <w:sz w:val="16"/>
                <w:szCs w:val="16"/>
                <w:color w:val="auto"/>
              </w:rPr>
              <w:t>service operations and franchise management.</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880" w:type="dxa"/>
            <w:vAlign w:val="bottom"/>
          </w:tcPr>
          <w:p>
            <w:pPr>
              <w:ind w:left="20"/>
              <w:spacing w:after="0"/>
              <w:rPr>
                <w:sz w:val="20"/>
                <w:szCs w:val="20"/>
                <w:color w:val="auto"/>
              </w:rPr>
            </w:pPr>
            <w:r>
              <w:rPr>
                <w:rFonts w:ascii="Arial" w:cs="Arial" w:eastAsia="Arial" w:hAnsi="Arial"/>
                <w:sz w:val="16"/>
                <w:szCs w:val="16"/>
                <w:color w:val="auto"/>
              </w:rPr>
              <w:t>• Led Zynga’s operational turnaround and portfolio optimization,</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60"/>
              <w:spacing w:after="0" w:line="188" w:lineRule="exact"/>
              <w:rPr>
                <w:sz w:val="20"/>
                <w:szCs w:val="20"/>
                <w:color w:val="auto"/>
              </w:rPr>
            </w:pPr>
            <w:r>
              <w:rPr>
                <w:rFonts w:ascii="Arial" w:cs="Arial" w:eastAsia="Arial" w:hAnsi="Arial"/>
                <w:sz w:val="18"/>
                <w:szCs w:val="18"/>
                <w:color w:val="auto"/>
              </w:rPr>
              <w:t>• Extensive management experience at world-class</w:t>
            </w:r>
          </w:p>
        </w:tc>
        <w:tc>
          <w:tcPr>
            <w:tcW w:w="0" w:type="dxa"/>
            <w:vAlign w:val="bottom"/>
          </w:tcPr>
          <w:p>
            <w:pPr>
              <w:spacing w:after="0"/>
              <w:rPr>
                <w:sz w:val="1"/>
                <w:szCs w:val="1"/>
                <w:color w:val="auto"/>
              </w:rPr>
            </w:pPr>
          </w:p>
        </w:tc>
      </w:tr>
      <w:tr>
        <w:trPr>
          <w:trHeight w:val="195"/>
        </w:trPr>
        <w:tc>
          <w:tcPr>
            <w:tcW w:w="4880" w:type="dxa"/>
            <w:vAlign w:val="bottom"/>
          </w:tcPr>
          <w:p>
            <w:pPr>
              <w:ind w:left="140"/>
              <w:spacing w:after="0"/>
              <w:rPr>
                <w:sz w:val="20"/>
                <w:szCs w:val="20"/>
                <w:color w:val="auto"/>
              </w:rPr>
            </w:pPr>
            <w:r>
              <w:rPr>
                <w:rFonts w:ascii="Arial" w:cs="Arial" w:eastAsia="Arial" w:hAnsi="Arial"/>
                <w:sz w:val="16"/>
                <w:szCs w:val="16"/>
                <w:color w:val="auto"/>
              </w:rPr>
              <w:t>providing the Board with perspective on growth strategy, capital</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200"/>
              <w:spacing w:after="0" w:line="195" w:lineRule="exact"/>
              <w:rPr>
                <w:sz w:val="20"/>
                <w:szCs w:val="20"/>
                <w:color w:val="auto"/>
              </w:rPr>
            </w:pPr>
            <w:r>
              <w:rPr>
                <w:rFonts w:ascii="Arial" w:cs="Arial" w:eastAsia="Arial" w:hAnsi="Arial"/>
                <w:sz w:val="18"/>
                <w:szCs w:val="18"/>
                <w:color w:val="auto"/>
              </w:rPr>
              <w:t>companies, including leading digital companies.</w:t>
            </w:r>
          </w:p>
        </w:tc>
        <w:tc>
          <w:tcPr>
            <w:tcW w:w="0" w:type="dxa"/>
            <w:vAlign w:val="bottom"/>
          </w:tcPr>
          <w:p>
            <w:pPr>
              <w:spacing w:after="0"/>
              <w:rPr>
                <w:sz w:val="1"/>
                <w:szCs w:val="1"/>
                <w:color w:val="auto"/>
              </w:rPr>
            </w:pPr>
          </w:p>
        </w:tc>
      </w:tr>
      <w:tr>
        <w:trPr>
          <w:trHeight w:val="201"/>
        </w:trPr>
        <w:tc>
          <w:tcPr>
            <w:tcW w:w="4880" w:type="dxa"/>
            <w:vAlign w:val="bottom"/>
          </w:tcPr>
          <w:p>
            <w:pPr>
              <w:ind w:left="140"/>
              <w:spacing w:after="0"/>
              <w:rPr>
                <w:sz w:val="20"/>
                <w:szCs w:val="20"/>
                <w:color w:val="auto"/>
              </w:rPr>
            </w:pPr>
            <w:r>
              <w:rPr>
                <w:rFonts w:ascii="Arial" w:cs="Arial" w:eastAsia="Arial" w:hAnsi="Arial"/>
                <w:sz w:val="16"/>
                <w:szCs w:val="16"/>
                <w:color w:val="auto"/>
              </w:rPr>
              <w:t>allocation and performance improvement.</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60" w:type="dxa"/>
            <w:vAlign w:val="bottom"/>
          </w:tcPr>
          <w:p>
            <w:pPr>
              <w:ind w:left="60"/>
              <w:spacing w:after="0" w:line="201" w:lineRule="exact"/>
              <w:rPr>
                <w:sz w:val="20"/>
                <w:szCs w:val="20"/>
                <w:color w:val="auto"/>
              </w:rPr>
            </w:pPr>
            <w:r>
              <w:rPr>
                <w:rFonts w:ascii="Arial" w:cs="Arial" w:eastAsia="Arial" w:hAnsi="Arial"/>
                <w:sz w:val="18"/>
                <w:szCs w:val="18"/>
                <w:color w:val="auto"/>
              </w:rPr>
              <w:t>• Extensive background in engineering, product management,</w:t>
            </w:r>
          </w:p>
        </w:tc>
        <w:tc>
          <w:tcPr>
            <w:tcW w:w="0" w:type="dxa"/>
            <w:vAlign w:val="bottom"/>
          </w:tcPr>
          <w:p>
            <w:pPr>
              <w:spacing w:after="0"/>
              <w:rPr>
                <w:sz w:val="1"/>
                <w:szCs w:val="1"/>
                <w:color w:val="auto"/>
              </w:rPr>
            </w:pPr>
          </w:p>
        </w:tc>
      </w:tr>
      <w:tr>
        <w:trPr>
          <w:trHeight w:val="192"/>
        </w:trPr>
        <w:tc>
          <w:tcPr>
            <w:tcW w:w="4880" w:type="dxa"/>
            <w:vAlign w:val="bottom"/>
          </w:tcPr>
          <w:p>
            <w:pPr>
              <w:ind w:left="20"/>
              <w:spacing w:after="0"/>
              <w:rPr>
                <w:sz w:val="20"/>
                <w:szCs w:val="20"/>
                <w:color w:val="auto"/>
              </w:rPr>
            </w:pPr>
            <w:r>
              <w:rPr>
                <w:rFonts w:ascii="Arial" w:cs="Arial" w:eastAsia="Arial" w:hAnsi="Arial"/>
                <w:sz w:val="16"/>
                <w:szCs w:val="16"/>
                <w:color w:val="auto"/>
              </w:rPr>
              <w:t>• Served as Chief Executive Officer of Zynga, contributing</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200"/>
              <w:spacing w:after="0" w:line="192" w:lineRule="exact"/>
              <w:rPr>
                <w:sz w:val="20"/>
                <w:szCs w:val="20"/>
                <w:color w:val="auto"/>
              </w:rPr>
            </w:pPr>
            <w:r>
              <w:rPr>
                <w:rFonts w:ascii="Arial" w:cs="Arial" w:eastAsia="Arial" w:hAnsi="Arial"/>
                <w:sz w:val="18"/>
                <w:szCs w:val="18"/>
                <w:color w:val="auto"/>
              </w:rPr>
              <w:t>marketing and operations for subscription-based technology</w:t>
            </w:r>
          </w:p>
        </w:tc>
        <w:tc>
          <w:tcPr>
            <w:tcW w:w="0" w:type="dxa"/>
            <w:vAlign w:val="bottom"/>
          </w:tcPr>
          <w:p>
            <w:pPr>
              <w:spacing w:after="0"/>
              <w:rPr>
                <w:sz w:val="1"/>
                <w:szCs w:val="1"/>
                <w:color w:val="auto"/>
              </w:rPr>
            </w:pPr>
          </w:p>
        </w:tc>
      </w:tr>
      <w:tr>
        <w:trPr>
          <w:trHeight w:val="188"/>
        </w:trPr>
        <w:tc>
          <w:tcPr>
            <w:tcW w:w="4880" w:type="dxa"/>
            <w:vAlign w:val="bottom"/>
          </w:tcPr>
          <w:p>
            <w:pPr>
              <w:ind w:left="140"/>
              <w:spacing w:after="0"/>
              <w:rPr>
                <w:sz w:val="20"/>
                <w:szCs w:val="20"/>
                <w:color w:val="auto"/>
              </w:rPr>
            </w:pPr>
            <w:r>
              <w:rPr>
                <w:rFonts w:ascii="Arial" w:cs="Arial" w:eastAsia="Arial" w:hAnsi="Arial"/>
                <w:sz w:val="16"/>
                <w:szCs w:val="16"/>
                <w:color w:val="auto"/>
              </w:rPr>
              <w:t>significant experience in corporate governance, finance, investor</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200"/>
              <w:spacing w:after="0" w:line="188" w:lineRule="exact"/>
              <w:rPr>
                <w:sz w:val="20"/>
                <w:szCs w:val="20"/>
                <w:color w:val="auto"/>
              </w:rPr>
            </w:pPr>
            <w:r>
              <w:rPr>
                <w:rFonts w:ascii="Arial" w:cs="Arial" w:eastAsia="Arial" w:hAnsi="Arial"/>
                <w:sz w:val="18"/>
                <w:szCs w:val="18"/>
                <w:color w:val="auto"/>
              </w:rPr>
              <w:t>products and gaming companies.</w:t>
            </w:r>
          </w:p>
        </w:tc>
        <w:tc>
          <w:tcPr>
            <w:tcW w:w="0" w:type="dxa"/>
            <w:vAlign w:val="bottom"/>
          </w:tcPr>
          <w:p>
            <w:pPr>
              <w:spacing w:after="0"/>
              <w:rPr>
                <w:sz w:val="1"/>
                <w:szCs w:val="1"/>
                <w:color w:val="auto"/>
              </w:rPr>
            </w:pPr>
          </w:p>
        </w:tc>
      </w:tr>
      <w:tr>
        <w:trPr>
          <w:trHeight w:val="201"/>
        </w:trPr>
        <w:tc>
          <w:tcPr>
            <w:tcW w:w="4880" w:type="dxa"/>
            <w:vAlign w:val="bottom"/>
          </w:tcPr>
          <w:p>
            <w:pPr>
              <w:ind w:left="140"/>
              <w:spacing w:after="0"/>
              <w:rPr>
                <w:sz w:val="20"/>
                <w:szCs w:val="20"/>
                <w:color w:val="auto"/>
              </w:rPr>
            </w:pPr>
            <w:r>
              <w:rPr>
                <w:rFonts w:ascii="Arial" w:cs="Arial" w:eastAsia="Arial" w:hAnsi="Arial"/>
                <w:sz w:val="16"/>
                <w:szCs w:val="16"/>
                <w:color w:val="auto"/>
              </w:rPr>
              <w:t>engagement and executive leadership in a publicly traded</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60" w:type="dxa"/>
            <w:vAlign w:val="bottom"/>
          </w:tcPr>
          <w:p>
            <w:pPr>
              <w:ind w:left="60"/>
              <w:spacing w:after="0" w:line="201" w:lineRule="exact"/>
              <w:rPr>
                <w:sz w:val="20"/>
                <w:szCs w:val="20"/>
                <w:color w:val="auto"/>
              </w:rPr>
            </w:pPr>
            <w:r>
              <w:rPr>
                <w:rFonts w:ascii="Arial" w:cs="Arial" w:eastAsia="Arial" w:hAnsi="Arial"/>
                <w:sz w:val="18"/>
                <w:szCs w:val="18"/>
                <w:color w:val="auto"/>
              </w:rPr>
              <w:t>• Expert in consumer tech products, including leading product</w:t>
            </w:r>
          </w:p>
        </w:tc>
        <w:tc>
          <w:tcPr>
            <w:tcW w:w="0" w:type="dxa"/>
            <w:vAlign w:val="bottom"/>
          </w:tcPr>
          <w:p>
            <w:pPr>
              <w:spacing w:after="0"/>
              <w:rPr>
                <w:sz w:val="1"/>
                <w:szCs w:val="1"/>
                <w:color w:val="auto"/>
              </w:rPr>
            </w:pPr>
          </w:p>
        </w:tc>
      </w:tr>
      <w:tr>
        <w:trPr>
          <w:trHeight w:val="201"/>
        </w:trPr>
        <w:tc>
          <w:tcPr>
            <w:tcW w:w="4880" w:type="dxa"/>
            <w:vAlign w:val="bottom"/>
          </w:tcPr>
          <w:p>
            <w:pPr>
              <w:ind w:left="140"/>
              <w:spacing w:after="0"/>
              <w:rPr>
                <w:sz w:val="20"/>
                <w:szCs w:val="20"/>
                <w:color w:val="auto"/>
              </w:rPr>
            </w:pPr>
            <w:r>
              <w:rPr>
                <w:rFonts w:ascii="Arial" w:cs="Arial" w:eastAsia="Arial" w:hAnsi="Arial"/>
                <w:sz w:val="16"/>
                <w:szCs w:val="16"/>
                <w:color w:val="auto"/>
              </w:rPr>
              <w:t>company.</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60" w:type="dxa"/>
            <w:vAlign w:val="bottom"/>
          </w:tcPr>
          <w:p>
            <w:pPr>
              <w:ind w:left="200"/>
              <w:spacing w:after="0" w:line="201" w:lineRule="exact"/>
              <w:rPr>
                <w:sz w:val="20"/>
                <w:szCs w:val="20"/>
                <w:color w:val="auto"/>
              </w:rPr>
            </w:pPr>
            <w:r>
              <w:rPr>
                <w:rFonts w:ascii="Arial" w:cs="Arial" w:eastAsia="Arial" w:hAnsi="Arial"/>
                <w:sz w:val="18"/>
                <w:szCs w:val="18"/>
                <w:color w:val="auto"/>
              </w:rPr>
              <w:t>and engineering for Xbox hardware and the Xbox Game</w:t>
            </w:r>
          </w:p>
        </w:tc>
        <w:tc>
          <w:tcPr>
            <w:tcW w:w="0" w:type="dxa"/>
            <w:vAlign w:val="bottom"/>
          </w:tcPr>
          <w:p>
            <w:pPr>
              <w:spacing w:after="0"/>
              <w:rPr>
                <w:sz w:val="1"/>
                <w:szCs w:val="1"/>
                <w:color w:val="auto"/>
              </w:rPr>
            </w:pPr>
          </w:p>
        </w:tc>
      </w:tr>
      <w:tr>
        <w:trPr>
          <w:trHeight w:val="201"/>
        </w:trPr>
        <w:tc>
          <w:tcPr>
            <w:tcW w:w="4880" w:type="dxa"/>
            <w:vAlign w:val="bottom"/>
          </w:tcPr>
          <w:p>
            <w:pPr>
              <w:ind w:left="20"/>
              <w:spacing w:after="0"/>
              <w:rPr>
                <w:sz w:val="20"/>
                <w:szCs w:val="20"/>
                <w:color w:val="auto"/>
              </w:rPr>
            </w:pPr>
            <w:r>
              <w:rPr>
                <w:rFonts w:ascii="Arial" w:cs="Arial" w:eastAsia="Arial" w:hAnsi="Arial"/>
                <w:sz w:val="16"/>
                <w:szCs w:val="16"/>
                <w:color w:val="auto"/>
              </w:rPr>
              <w:t>• Extensive background overseeing global game development,</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60" w:type="dxa"/>
            <w:vAlign w:val="bottom"/>
          </w:tcPr>
          <w:p>
            <w:pPr>
              <w:ind w:left="200"/>
              <w:spacing w:after="0" w:line="201" w:lineRule="exact"/>
              <w:rPr>
                <w:sz w:val="20"/>
                <w:szCs w:val="20"/>
                <w:color w:val="auto"/>
              </w:rPr>
            </w:pPr>
            <w:r>
              <w:rPr>
                <w:rFonts w:ascii="Arial" w:cs="Arial" w:eastAsia="Arial" w:hAnsi="Arial"/>
                <w:sz w:val="18"/>
                <w:szCs w:val="18"/>
                <w:color w:val="auto"/>
              </w:rPr>
              <w:t>Pass subscription service prior to leading the overall Ring</w:t>
            </w:r>
          </w:p>
        </w:tc>
        <w:tc>
          <w:tcPr>
            <w:tcW w:w="0" w:type="dxa"/>
            <w:vAlign w:val="bottom"/>
          </w:tcPr>
          <w:p>
            <w:pPr>
              <w:spacing w:after="0"/>
              <w:rPr>
                <w:sz w:val="1"/>
                <w:szCs w:val="1"/>
                <w:color w:val="auto"/>
              </w:rPr>
            </w:pPr>
          </w:p>
        </w:tc>
      </w:tr>
      <w:tr>
        <w:trPr>
          <w:trHeight w:val="146"/>
        </w:trPr>
        <w:tc>
          <w:tcPr>
            <w:tcW w:w="4880" w:type="dxa"/>
            <w:vAlign w:val="bottom"/>
          </w:tcPr>
          <w:p>
            <w:pPr>
              <w:ind w:left="140"/>
              <w:spacing w:after="0" w:line="146" w:lineRule="exact"/>
              <w:rPr>
                <w:sz w:val="20"/>
                <w:szCs w:val="20"/>
                <w:color w:val="auto"/>
              </w:rPr>
            </w:pPr>
            <w:r>
              <w:rPr>
                <w:rFonts w:ascii="Arial" w:cs="Arial" w:eastAsia="Arial" w:hAnsi="Arial"/>
                <w:sz w:val="16"/>
                <w:szCs w:val="16"/>
                <w:color w:val="auto"/>
              </w:rPr>
              <w:t>publishing and franchise expansion across multiple platforms.</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60" w:type="dxa"/>
            <w:vAlign w:val="bottom"/>
            <w:vMerge w:val="restart"/>
          </w:tcPr>
          <w:p>
            <w:pPr>
              <w:ind w:left="200"/>
              <w:spacing w:after="0"/>
              <w:rPr>
                <w:sz w:val="20"/>
                <w:szCs w:val="20"/>
                <w:color w:val="auto"/>
              </w:rPr>
            </w:pPr>
            <w:r>
              <w:rPr>
                <w:rFonts w:ascii="Arial" w:cs="Arial" w:eastAsia="Arial" w:hAnsi="Arial"/>
                <w:sz w:val="18"/>
                <w:szCs w:val="18"/>
                <w:color w:val="auto"/>
              </w:rPr>
              <w:t>business including a 50 product portfolio and video</w:t>
            </w:r>
          </w:p>
        </w:tc>
        <w:tc>
          <w:tcPr>
            <w:tcW w:w="0" w:type="dxa"/>
            <w:vAlign w:val="bottom"/>
          </w:tcPr>
          <w:p>
            <w:pPr>
              <w:spacing w:after="0"/>
              <w:rPr>
                <w:sz w:val="1"/>
                <w:szCs w:val="1"/>
                <w:color w:val="auto"/>
              </w:rPr>
            </w:pPr>
          </w:p>
        </w:tc>
      </w:tr>
      <w:tr>
        <w:trPr>
          <w:trHeight w:val="76"/>
        </w:trPr>
        <w:tc>
          <w:tcPr>
            <w:tcW w:w="4880" w:type="dxa"/>
            <w:vAlign w:val="bottom"/>
            <w:vMerge w:val="restart"/>
          </w:tcPr>
          <w:p>
            <w:pPr>
              <w:ind w:left="20"/>
              <w:spacing w:after="0"/>
              <w:rPr>
                <w:sz w:val="20"/>
                <w:szCs w:val="20"/>
                <w:color w:val="auto"/>
              </w:rPr>
            </w:pPr>
            <w:r>
              <w:rPr>
                <w:rFonts w:ascii="Arial" w:cs="Arial" w:eastAsia="Arial" w:hAnsi="Arial"/>
                <w:sz w:val="16"/>
                <w:szCs w:val="16"/>
                <w:color w:val="auto"/>
              </w:rPr>
              <w:t>• Experience scaling digital platforms and live service businesses</w:t>
            </w: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48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60" w:type="dxa"/>
            <w:vAlign w:val="bottom"/>
            <w:vMerge w:val="restart"/>
          </w:tcPr>
          <w:p>
            <w:pPr>
              <w:ind w:left="200"/>
              <w:spacing w:after="0" w:line="201" w:lineRule="exact"/>
              <w:rPr>
                <w:sz w:val="20"/>
                <w:szCs w:val="20"/>
                <w:color w:val="auto"/>
              </w:rPr>
            </w:pPr>
            <w:r>
              <w:rPr>
                <w:rFonts w:ascii="Arial" w:cs="Arial" w:eastAsia="Arial" w:hAnsi="Arial"/>
                <w:sz w:val="18"/>
                <w:szCs w:val="18"/>
                <w:color w:val="auto"/>
              </w:rPr>
              <w:t>monitoring subscription service.</w:t>
            </w:r>
          </w:p>
        </w:tc>
        <w:tc>
          <w:tcPr>
            <w:tcW w:w="0" w:type="dxa"/>
            <w:vAlign w:val="bottom"/>
          </w:tcPr>
          <w:p>
            <w:pPr>
              <w:spacing w:after="0"/>
              <w:rPr>
                <w:sz w:val="1"/>
                <w:szCs w:val="1"/>
                <w:color w:val="auto"/>
              </w:rPr>
            </w:pPr>
          </w:p>
        </w:tc>
      </w:tr>
      <w:tr>
        <w:trPr>
          <w:trHeight w:val="89"/>
        </w:trPr>
        <w:tc>
          <w:tcPr>
            <w:tcW w:w="4880" w:type="dxa"/>
            <w:vAlign w:val="bottom"/>
            <w:vMerge w:val="restart"/>
          </w:tcPr>
          <w:p>
            <w:pPr>
              <w:ind w:left="140"/>
              <w:spacing w:after="0"/>
              <w:rPr>
                <w:sz w:val="20"/>
                <w:szCs w:val="20"/>
                <w:color w:val="auto"/>
              </w:rPr>
            </w:pPr>
            <w:r>
              <w:rPr>
                <w:rFonts w:ascii="Arial" w:cs="Arial" w:eastAsia="Arial" w:hAnsi="Arial"/>
                <w:sz w:val="16"/>
                <w:szCs w:val="16"/>
                <w:color w:val="auto"/>
              </w:rPr>
              <w:t>enhances the Board’s oversight of Hasbro’s digital gaming and</w:t>
            </w: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8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60" w:type="dxa"/>
            <w:vAlign w:val="bottom"/>
            <w:vMerge w:val="restart"/>
          </w:tcPr>
          <w:p>
            <w:pPr>
              <w:ind w:left="60"/>
              <w:spacing w:after="0" w:line="201" w:lineRule="exact"/>
              <w:rPr>
                <w:sz w:val="20"/>
                <w:szCs w:val="20"/>
                <w:color w:val="auto"/>
              </w:rPr>
            </w:pPr>
            <w:r>
              <w:rPr>
                <w:rFonts w:ascii="Arial" w:cs="Arial" w:eastAsia="Arial" w:hAnsi="Arial"/>
                <w:sz w:val="18"/>
                <w:szCs w:val="18"/>
                <w:color w:val="auto"/>
              </w:rPr>
              <w:t>• Proven track record in leading companies to growth in user</w:t>
            </w:r>
          </w:p>
        </w:tc>
        <w:tc>
          <w:tcPr>
            <w:tcW w:w="0" w:type="dxa"/>
            <w:vAlign w:val="bottom"/>
          </w:tcPr>
          <w:p>
            <w:pPr>
              <w:spacing w:after="0"/>
              <w:rPr>
                <w:sz w:val="1"/>
                <w:szCs w:val="1"/>
                <w:color w:val="auto"/>
              </w:rPr>
            </w:pPr>
          </w:p>
        </w:tc>
      </w:tr>
      <w:tr>
        <w:trPr>
          <w:trHeight w:val="102"/>
        </w:trPr>
        <w:tc>
          <w:tcPr>
            <w:tcW w:w="4880" w:type="dxa"/>
            <w:vAlign w:val="bottom"/>
            <w:vMerge w:val="restart"/>
          </w:tcPr>
          <w:p>
            <w:pPr>
              <w:ind w:left="140"/>
              <w:spacing w:after="0"/>
              <w:rPr>
                <w:sz w:val="20"/>
                <w:szCs w:val="20"/>
                <w:color w:val="auto"/>
              </w:rPr>
            </w:pPr>
            <w:r>
              <w:rPr>
                <w:rFonts w:ascii="Arial" w:cs="Arial" w:eastAsia="Arial" w:hAnsi="Arial"/>
                <w:sz w:val="16"/>
                <w:szCs w:val="16"/>
                <w:color w:val="auto"/>
              </w:rPr>
              <w:t>direct-to-consumer strategy.</w:t>
            </w: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8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60" w:type="dxa"/>
            <w:vAlign w:val="bottom"/>
            <w:vMerge w:val="restart"/>
          </w:tcPr>
          <w:p>
            <w:pPr>
              <w:ind w:left="200"/>
              <w:spacing w:after="0" w:line="201" w:lineRule="exact"/>
              <w:rPr>
                <w:sz w:val="20"/>
                <w:szCs w:val="20"/>
                <w:color w:val="auto"/>
              </w:rPr>
            </w:pPr>
            <w:r>
              <w:rPr>
                <w:rFonts w:ascii="Arial" w:cs="Arial" w:eastAsia="Arial" w:hAnsi="Arial"/>
                <w:sz w:val="18"/>
                <w:szCs w:val="18"/>
                <w:color w:val="auto"/>
                <w:w w:val="98"/>
              </w:rPr>
              <w:t>base, including direct experience launching and scaling some</w:t>
            </w:r>
          </w:p>
        </w:tc>
        <w:tc>
          <w:tcPr>
            <w:tcW w:w="0" w:type="dxa"/>
            <w:vAlign w:val="bottom"/>
          </w:tcPr>
          <w:p>
            <w:pPr>
              <w:spacing w:after="0"/>
              <w:rPr>
                <w:sz w:val="1"/>
                <w:szCs w:val="1"/>
                <w:color w:val="auto"/>
              </w:rPr>
            </w:pPr>
          </w:p>
        </w:tc>
      </w:tr>
      <w:tr>
        <w:trPr>
          <w:trHeight w:val="92"/>
        </w:trPr>
        <w:tc>
          <w:tcPr>
            <w:tcW w:w="4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4880" w:type="dxa"/>
            <w:vAlign w:val="bottom"/>
            <w:tcBorders>
              <w:bottom w:val="single" w:sz="8" w:color="009BDE"/>
            </w:tcBorders>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60" w:type="dxa"/>
            <w:vAlign w:val="bottom"/>
            <w:vMerge w:val="restart"/>
          </w:tcPr>
          <w:p>
            <w:pPr>
              <w:ind w:left="200"/>
              <w:spacing w:after="0" w:line="201" w:lineRule="exact"/>
              <w:rPr>
                <w:sz w:val="20"/>
                <w:szCs w:val="20"/>
                <w:color w:val="auto"/>
              </w:rPr>
            </w:pPr>
            <w:r>
              <w:rPr>
                <w:rFonts w:ascii="Arial" w:cs="Arial" w:eastAsia="Arial" w:hAnsi="Arial"/>
                <w:sz w:val="18"/>
                <w:szCs w:val="18"/>
                <w:color w:val="auto"/>
              </w:rPr>
              <w:t>of the most popular consumer technology and subscription-</w:t>
            </w:r>
          </w:p>
        </w:tc>
        <w:tc>
          <w:tcPr>
            <w:tcW w:w="0" w:type="dxa"/>
            <w:vAlign w:val="bottom"/>
          </w:tcPr>
          <w:p>
            <w:pPr>
              <w:spacing w:after="0"/>
              <w:rPr>
                <w:sz w:val="1"/>
                <w:szCs w:val="1"/>
                <w:color w:val="auto"/>
              </w:rPr>
            </w:pPr>
          </w:p>
        </w:tc>
      </w:tr>
      <w:tr>
        <w:trPr>
          <w:trHeight w:val="28"/>
        </w:trPr>
        <w:tc>
          <w:tcPr>
            <w:tcW w:w="4880" w:type="dxa"/>
            <w:vAlign w:val="bottom"/>
            <w:vMerge w:val="restart"/>
          </w:tcPr>
          <w:p>
            <w:pPr>
              <w:ind w:left="20"/>
              <w:spacing w:after="0"/>
              <w:rPr>
                <w:sz w:val="20"/>
                <w:szCs w:val="20"/>
                <w:color w:val="auto"/>
              </w:rPr>
            </w:pPr>
            <w:r>
              <w:rPr>
                <w:rFonts w:ascii="Arial" w:cs="Arial" w:eastAsia="Arial" w:hAnsi="Arial"/>
                <w:sz w:val="18"/>
                <w:szCs w:val="18"/>
                <w:b w:val="1"/>
                <w:bCs w:val="1"/>
                <w:color w:val="009BDE"/>
              </w:rPr>
              <w:t>OTHER CURRENT PUBLIC COMPANY BOARDS</w:t>
            </w: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48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60" w:type="dxa"/>
            <w:vAlign w:val="bottom"/>
          </w:tcPr>
          <w:p>
            <w:pPr>
              <w:ind w:left="200"/>
              <w:spacing w:after="0" w:line="179" w:lineRule="exact"/>
              <w:rPr>
                <w:sz w:val="20"/>
                <w:szCs w:val="20"/>
                <w:color w:val="auto"/>
              </w:rPr>
            </w:pPr>
            <w:r>
              <w:rPr>
                <w:rFonts w:ascii="Arial" w:cs="Arial" w:eastAsia="Arial" w:hAnsi="Arial"/>
                <w:sz w:val="18"/>
                <w:szCs w:val="18"/>
                <w:color w:val="auto"/>
              </w:rPr>
              <w:t>based services in the world.</w:t>
            </w:r>
          </w:p>
        </w:tc>
        <w:tc>
          <w:tcPr>
            <w:tcW w:w="0" w:type="dxa"/>
            <w:vAlign w:val="bottom"/>
          </w:tcPr>
          <w:p>
            <w:pPr>
              <w:spacing w:after="0"/>
              <w:rPr>
                <w:sz w:val="1"/>
                <w:szCs w:val="1"/>
                <w:color w:val="auto"/>
              </w:rPr>
            </w:pPr>
          </w:p>
        </w:tc>
      </w:tr>
      <w:tr>
        <w:trPr>
          <w:trHeight w:val="160"/>
        </w:trPr>
        <w:tc>
          <w:tcPr>
            <w:tcW w:w="4880" w:type="dxa"/>
            <w:vAlign w:val="bottom"/>
          </w:tcPr>
          <w:p>
            <w:pPr>
              <w:ind w:left="20"/>
              <w:spacing w:after="0" w:line="160" w:lineRule="exact"/>
              <w:rPr>
                <w:sz w:val="20"/>
                <w:szCs w:val="20"/>
                <w:color w:val="auto"/>
              </w:rPr>
            </w:pPr>
            <w:r>
              <w:rPr>
                <w:rFonts w:ascii="Arial" w:cs="Arial" w:eastAsia="Arial" w:hAnsi="Arial"/>
                <w:sz w:val="16"/>
                <w:szCs w:val="16"/>
                <w:color w:val="auto"/>
              </w:rPr>
              <w:t>•   Yeti Holdings Inc.</w:t>
            </w: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880" w:type="dxa"/>
            <w:vAlign w:val="bottom"/>
            <w:vMerge w:val="restart"/>
          </w:tcPr>
          <w:p>
            <w:pPr>
              <w:ind w:left="160"/>
              <w:spacing w:after="0"/>
              <w:rPr>
                <w:sz w:val="20"/>
                <w:szCs w:val="20"/>
                <w:color w:val="auto"/>
              </w:rPr>
            </w:pPr>
            <w:r>
              <w:rPr>
                <w:rFonts w:ascii="Arial" w:cs="Arial" w:eastAsia="Arial" w:hAnsi="Arial"/>
                <w:sz w:val="16"/>
                <w:szCs w:val="16"/>
                <w:color w:val="auto"/>
              </w:rPr>
              <w:t>- Audit Committee</w:t>
            </w: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6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48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60" w:type="dxa"/>
            <w:vAlign w:val="bottom"/>
          </w:tcPr>
          <w:p>
            <w:pPr>
              <w:ind w:left="60"/>
              <w:spacing w:after="0" w:line="154" w:lineRule="exact"/>
              <w:rPr>
                <w:sz w:val="20"/>
                <w:szCs w:val="20"/>
                <w:color w:val="auto"/>
              </w:rPr>
            </w:pPr>
            <w:r>
              <w:rPr>
                <w:rFonts w:ascii="Arial" w:cs="Arial" w:eastAsia="Arial" w:hAnsi="Arial"/>
                <w:sz w:val="17"/>
                <w:szCs w:val="17"/>
                <w:b w:val="1"/>
                <w:bCs w:val="1"/>
                <w:color w:val="009BDE"/>
              </w:rPr>
              <w:t>OTHER CURRENT PUBLIC COMPANY BOARDS</w:t>
            </w:r>
          </w:p>
        </w:tc>
        <w:tc>
          <w:tcPr>
            <w:tcW w:w="0" w:type="dxa"/>
            <w:vAlign w:val="bottom"/>
          </w:tcPr>
          <w:p>
            <w:pPr>
              <w:spacing w:after="0"/>
              <w:rPr>
                <w:sz w:val="1"/>
                <w:szCs w:val="1"/>
                <w:color w:val="auto"/>
              </w:rPr>
            </w:pPr>
          </w:p>
        </w:tc>
      </w:tr>
      <w:tr>
        <w:trPr>
          <w:trHeight w:val="201"/>
        </w:trPr>
        <w:tc>
          <w:tcPr>
            <w:tcW w:w="4880" w:type="dxa"/>
            <w:vAlign w:val="bottom"/>
          </w:tcPr>
          <w:p>
            <w:pPr>
              <w:ind w:left="160"/>
              <w:spacing w:after="0"/>
              <w:rPr>
                <w:sz w:val="20"/>
                <w:szCs w:val="20"/>
                <w:color w:val="auto"/>
              </w:rPr>
            </w:pPr>
            <w:r>
              <w:rPr>
                <w:rFonts w:ascii="Arial" w:cs="Arial" w:eastAsia="Arial" w:hAnsi="Arial"/>
                <w:sz w:val="16"/>
                <w:szCs w:val="16"/>
                <w:color w:val="auto"/>
              </w:rPr>
              <w:t>- Compensation Committee</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60" w:type="dxa"/>
            <w:vAlign w:val="bottom"/>
            <w:vMerge w:val="restart"/>
          </w:tcPr>
          <w:p>
            <w:pPr>
              <w:ind w:left="60"/>
              <w:spacing w:after="0"/>
              <w:rPr>
                <w:sz w:val="20"/>
                <w:szCs w:val="20"/>
                <w:color w:val="auto"/>
              </w:rPr>
            </w:pPr>
            <w:r>
              <w:rPr>
                <w:rFonts w:ascii="Arial" w:cs="Arial" w:eastAsia="Arial" w:hAnsi="Arial"/>
                <w:sz w:val="18"/>
                <w:szCs w:val="18"/>
                <w:color w:val="auto"/>
              </w:rPr>
              <w:t>•   LegalZoom.com, Inc.</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80" w:type="dxa"/>
            <w:vAlign w:val="bottom"/>
            <w:tcBorders>
              <w:bottom w:val="single" w:sz="8" w:color="009BDE"/>
            </w:tcBorders>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60" w:type="dxa"/>
            <w:vAlign w:val="bottom"/>
          </w:tcPr>
          <w:p>
            <w:pPr>
              <w:ind w:left="220"/>
              <w:spacing w:after="0" w:line="193" w:lineRule="exact"/>
              <w:rPr>
                <w:sz w:val="20"/>
                <w:szCs w:val="20"/>
                <w:color w:val="auto"/>
              </w:rPr>
            </w:pPr>
            <w:r>
              <w:rPr>
                <w:rFonts w:ascii="Arial" w:cs="Arial" w:eastAsia="Arial" w:hAnsi="Arial"/>
                <w:sz w:val="18"/>
                <w:szCs w:val="18"/>
                <w:color w:val="auto"/>
              </w:rPr>
              <w:t>- Audit Committee</w:t>
            </w:r>
          </w:p>
        </w:tc>
        <w:tc>
          <w:tcPr>
            <w:tcW w:w="0" w:type="dxa"/>
            <w:vAlign w:val="bottom"/>
          </w:tcPr>
          <w:p>
            <w:pPr>
              <w:spacing w:after="0"/>
              <w:rPr>
                <w:sz w:val="1"/>
                <w:szCs w:val="1"/>
                <w:color w:val="auto"/>
              </w:rPr>
            </w:pPr>
          </w:p>
        </w:tc>
      </w:tr>
      <w:tr>
        <w:trPr>
          <w:trHeight w:val="175"/>
        </w:trPr>
        <w:tc>
          <w:tcPr>
            <w:tcW w:w="4880" w:type="dxa"/>
            <w:vAlign w:val="bottom"/>
          </w:tcPr>
          <w:p>
            <w:pPr>
              <w:ind w:left="20"/>
              <w:spacing w:after="0" w:line="176" w:lineRule="exact"/>
              <w:rPr>
                <w:sz w:val="20"/>
                <w:szCs w:val="20"/>
                <w:color w:val="auto"/>
              </w:rPr>
            </w:pPr>
            <w:r>
              <w:rPr>
                <w:rFonts w:ascii="Arial" w:cs="Arial" w:eastAsia="Arial" w:hAnsi="Arial"/>
                <w:sz w:val="18"/>
                <w:szCs w:val="18"/>
                <w:b w:val="1"/>
                <w:bCs w:val="1"/>
                <w:color w:val="009BDE"/>
              </w:rPr>
              <w:t>FORMER PUBLIC COMPANY BOARDS HELD IN THE</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60" w:type="dxa"/>
            <w:vAlign w:val="bottom"/>
          </w:tcPr>
          <w:p>
            <w:pPr>
              <w:ind w:left="220"/>
              <w:spacing w:after="0" w:line="176" w:lineRule="exact"/>
              <w:rPr>
                <w:sz w:val="20"/>
                <w:szCs w:val="20"/>
                <w:color w:val="auto"/>
              </w:rPr>
            </w:pPr>
            <w:r>
              <w:rPr>
                <w:rFonts w:ascii="Arial" w:cs="Arial" w:eastAsia="Arial" w:hAnsi="Arial"/>
                <w:sz w:val="18"/>
                <w:szCs w:val="18"/>
                <w:color w:val="auto"/>
              </w:rPr>
              <w:t>- Compensation Committee</w:t>
            </w:r>
          </w:p>
        </w:tc>
        <w:tc>
          <w:tcPr>
            <w:tcW w:w="0" w:type="dxa"/>
            <w:vAlign w:val="bottom"/>
          </w:tcPr>
          <w:p>
            <w:pPr>
              <w:spacing w:after="0"/>
              <w:rPr>
                <w:sz w:val="1"/>
                <w:szCs w:val="1"/>
                <w:color w:val="auto"/>
              </w:rPr>
            </w:pPr>
          </w:p>
        </w:tc>
      </w:tr>
      <w:tr>
        <w:trPr>
          <w:trHeight w:val="205"/>
        </w:trPr>
        <w:tc>
          <w:tcPr>
            <w:tcW w:w="4880" w:type="dxa"/>
            <w:vAlign w:val="bottom"/>
          </w:tcPr>
          <w:p>
            <w:pPr>
              <w:ind w:left="20"/>
              <w:spacing w:after="0" w:line="206" w:lineRule="exact"/>
              <w:rPr>
                <w:sz w:val="20"/>
                <w:szCs w:val="20"/>
                <w:color w:val="auto"/>
              </w:rPr>
            </w:pPr>
            <w:r>
              <w:rPr>
                <w:rFonts w:ascii="Arial" w:cs="Arial" w:eastAsia="Arial" w:hAnsi="Arial"/>
                <w:sz w:val="18"/>
                <w:szCs w:val="18"/>
                <w:b w:val="1"/>
                <w:bCs w:val="1"/>
                <w:color w:val="009BDE"/>
              </w:rPr>
              <w:t>PAST FIVE YEARS</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880" w:type="dxa"/>
            <w:vAlign w:val="bottom"/>
            <w:vMerge w:val="restart"/>
          </w:tcPr>
          <w:p>
            <w:pPr>
              <w:ind w:left="20"/>
              <w:spacing w:after="0"/>
              <w:rPr>
                <w:sz w:val="20"/>
                <w:szCs w:val="20"/>
                <w:color w:val="auto"/>
              </w:rPr>
            </w:pPr>
            <w:r>
              <w:rPr>
                <w:rFonts w:ascii="Arial" w:cs="Arial" w:eastAsia="Arial" w:hAnsi="Arial"/>
                <w:sz w:val="16"/>
                <w:szCs w:val="16"/>
                <w:color w:val="auto"/>
              </w:rPr>
              <w:t>• Zynga, Inc.</w:t>
            </w: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60" w:type="dxa"/>
            <w:vAlign w:val="bottom"/>
            <w:tcBorders>
              <w:bottom w:val="single" w:sz="8" w:color="009BDE"/>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48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60" w:type="dxa"/>
            <w:vAlign w:val="bottom"/>
          </w:tcPr>
          <w:p>
            <w:pPr>
              <w:ind w:left="60"/>
              <w:spacing w:after="0" w:line="176" w:lineRule="exact"/>
              <w:rPr>
                <w:sz w:val="20"/>
                <w:szCs w:val="20"/>
                <w:color w:val="auto"/>
              </w:rPr>
            </w:pPr>
            <w:r>
              <w:rPr>
                <w:rFonts w:ascii="Arial" w:cs="Arial" w:eastAsia="Arial" w:hAnsi="Arial"/>
                <w:sz w:val="18"/>
                <w:szCs w:val="18"/>
                <w:b w:val="1"/>
                <w:bCs w:val="1"/>
                <w:color w:val="009BDE"/>
                <w:w w:val="99"/>
              </w:rPr>
              <w:t>FORMER PUBLIC COMPANY BOARDS HELD IN THE PAST</w:t>
            </w:r>
          </w:p>
        </w:tc>
        <w:tc>
          <w:tcPr>
            <w:tcW w:w="0" w:type="dxa"/>
            <w:vAlign w:val="bottom"/>
          </w:tcPr>
          <w:p>
            <w:pPr>
              <w:spacing w:after="0"/>
              <w:rPr>
                <w:sz w:val="1"/>
                <w:szCs w:val="1"/>
                <w:color w:val="auto"/>
              </w:rPr>
            </w:pPr>
          </w:p>
        </w:tc>
      </w:tr>
      <w:tr>
        <w:trPr>
          <w:trHeight w:val="205"/>
        </w:trPr>
        <w:tc>
          <w:tcPr>
            <w:tcW w:w="4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60" w:type="dxa"/>
            <w:vAlign w:val="bottom"/>
          </w:tcPr>
          <w:p>
            <w:pPr>
              <w:ind w:left="60"/>
              <w:spacing w:after="0" w:line="206" w:lineRule="exact"/>
              <w:rPr>
                <w:sz w:val="20"/>
                <w:szCs w:val="20"/>
                <w:color w:val="auto"/>
              </w:rPr>
            </w:pPr>
            <w:r>
              <w:rPr>
                <w:rFonts w:ascii="Arial" w:cs="Arial" w:eastAsia="Arial" w:hAnsi="Arial"/>
                <w:sz w:val="18"/>
                <w:szCs w:val="18"/>
                <w:b w:val="1"/>
                <w:bCs w:val="1"/>
                <w:color w:val="009BDE"/>
              </w:rPr>
              <w:t>FIVE YEARS</w:t>
            </w:r>
          </w:p>
        </w:tc>
        <w:tc>
          <w:tcPr>
            <w:tcW w:w="0" w:type="dxa"/>
            <w:vAlign w:val="bottom"/>
          </w:tcPr>
          <w:p>
            <w:pPr>
              <w:spacing w:after="0"/>
              <w:rPr>
                <w:sz w:val="1"/>
                <w:szCs w:val="1"/>
                <w:color w:val="auto"/>
              </w:rPr>
            </w:pPr>
          </w:p>
        </w:tc>
      </w:tr>
      <w:tr>
        <w:trPr>
          <w:trHeight w:val="211"/>
        </w:trPr>
        <w:tc>
          <w:tcPr>
            <w:tcW w:w="4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60" w:type="dxa"/>
            <w:vAlign w:val="bottom"/>
          </w:tcPr>
          <w:p>
            <w:pPr>
              <w:ind w:left="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946"/>
        </w:trPr>
        <w:tc>
          <w:tcPr>
            <w:tcW w:w="4880" w:type="dxa"/>
            <w:vAlign w:val="bottom"/>
          </w:tcPr>
          <w:p>
            <w:pPr>
              <w:ind w:left="100"/>
              <w:spacing w:after="0"/>
              <w:rPr>
                <w:sz w:val="20"/>
                <w:szCs w:val="20"/>
                <w:color w:val="auto"/>
              </w:rPr>
            </w:pPr>
            <w:r>
              <w:rPr>
                <w:rFonts w:ascii="Arial" w:cs="Arial" w:eastAsia="Arial" w:hAnsi="Arial"/>
                <w:sz w:val="16"/>
                <w:szCs w:val="16"/>
                <w:b w:val="1"/>
                <w:bCs w:val="1"/>
                <w:color w:val="FCFCFC"/>
              </w:rPr>
              <w:t>    5</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-266700</wp:posOffset>
            </wp:positionV>
            <wp:extent cx="6964045" cy="39052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64045" cy="39052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-742315</wp:posOffset>
            </wp:positionV>
            <wp:extent cx="17145"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-1243330</wp:posOffset>
            </wp:positionV>
            <wp:extent cx="1714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-1209675</wp:posOffset>
            </wp:positionV>
            <wp:extent cx="17145"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-1175385</wp:posOffset>
            </wp:positionV>
            <wp:extent cx="17145"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-1141730</wp:posOffset>
            </wp:positionV>
            <wp:extent cx="17145"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-1107440</wp:posOffset>
            </wp:positionV>
            <wp:extent cx="17145"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-1073785</wp:posOffset>
            </wp:positionV>
            <wp:extent cx="17145"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-1039495</wp:posOffset>
            </wp:positionV>
            <wp:extent cx="17145"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-1005840</wp:posOffset>
            </wp:positionV>
            <wp:extent cx="17145"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-971550</wp:posOffset>
            </wp:positionV>
            <wp:extent cx="17145"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-937895</wp:posOffset>
            </wp:positionV>
            <wp:extent cx="17145"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-903605</wp:posOffset>
            </wp:positionV>
            <wp:extent cx="17145"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-869950</wp:posOffset>
            </wp:positionV>
            <wp:extent cx="17145"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-835660</wp:posOffset>
            </wp:positionV>
            <wp:extent cx="17145"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-802005</wp:posOffset>
            </wp:positionV>
            <wp:extent cx="17145"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-767715</wp:posOffset>
            </wp:positionV>
            <wp:extent cx="17145"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-1897380</wp:posOffset>
            </wp:positionV>
            <wp:extent cx="17145"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-1863090</wp:posOffset>
            </wp:positionV>
            <wp:extent cx="17145"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-1829435</wp:posOffset>
            </wp:positionV>
            <wp:extent cx="17145"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-1795145</wp:posOffset>
            </wp:positionV>
            <wp:extent cx="17145"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-1761490</wp:posOffset>
            </wp:positionV>
            <wp:extent cx="17145"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-1727200</wp:posOffset>
            </wp:positionV>
            <wp:extent cx="17145"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-1693545</wp:posOffset>
            </wp:positionV>
            <wp:extent cx="17145"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-1659255</wp:posOffset>
            </wp:positionV>
            <wp:extent cx="17145"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-1625600</wp:posOffset>
            </wp:positionV>
            <wp:extent cx="17145"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-1591310</wp:posOffset>
            </wp:positionV>
            <wp:extent cx="17145"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-1557655</wp:posOffset>
            </wp:positionV>
            <wp:extent cx="17145"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-1523365</wp:posOffset>
            </wp:positionV>
            <wp:extent cx="17145"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-1489710</wp:posOffset>
            </wp:positionV>
            <wp:extent cx="17145"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-1455420</wp:posOffset>
            </wp:positionV>
            <wp:extent cx="17145"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-1421765</wp:posOffset>
            </wp:positionV>
            <wp:extent cx="17145"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-1387475</wp:posOffset>
            </wp:positionV>
            <wp:extent cx="17145"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-1353820</wp:posOffset>
            </wp:positionV>
            <wp:extent cx="17145"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-1319530</wp:posOffset>
            </wp:positionV>
            <wp:extent cx="17145"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-1285875</wp:posOffset>
            </wp:positionV>
            <wp:extent cx="17145" cy="336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7145" cy="336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-3977640</wp:posOffset>
            </wp:positionV>
            <wp:extent cx="17145"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-3943985</wp:posOffset>
            </wp:positionV>
            <wp:extent cx="17145"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-3909695</wp:posOffset>
            </wp:positionV>
            <wp:extent cx="17145"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-3876040</wp:posOffset>
            </wp:positionV>
            <wp:extent cx="17145"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-3841750</wp:posOffset>
            </wp:positionV>
            <wp:extent cx="17145"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-3808095</wp:posOffset>
            </wp:positionV>
            <wp:extent cx="17145"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-3773805</wp:posOffset>
            </wp:positionV>
            <wp:extent cx="17145"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-3740150</wp:posOffset>
            </wp:positionV>
            <wp:extent cx="17145"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-3705860</wp:posOffset>
            </wp:positionV>
            <wp:extent cx="17145"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-3672205</wp:posOffset>
            </wp:positionV>
            <wp:extent cx="17145"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-3638550</wp:posOffset>
            </wp:positionV>
            <wp:extent cx="17145"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-3604260</wp:posOffset>
            </wp:positionV>
            <wp:extent cx="17145"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-3570605</wp:posOffset>
            </wp:positionV>
            <wp:extent cx="17145"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-3536315</wp:posOffset>
            </wp:positionV>
            <wp:extent cx="17145"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-3502660</wp:posOffset>
            </wp:positionV>
            <wp:extent cx="17145"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-3468370</wp:posOffset>
            </wp:positionV>
            <wp:extent cx="17145"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-3434715</wp:posOffset>
            </wp:positionV>
            <wp:extent cx="17145"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-3400425</wp:posOffset>
            </wp:positionV>
            <wp:extent cx="17145"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-3366770</wp:posOffset>
            </wp:positionV>
            <wp:extent cx="17145"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-3332480</wp:posOffset>
            </wp:positionV>
            <wp:extent cx="17145"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-3298825</wp:posOffset>
            </wp:positionV>
            <wp:extent cx="17145"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-3264535</wp:posOffset>
            </wp:positionV>
            <wp:extent cx="17145"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-3230880</wp:posOffset>
            </wp:positionV>
            <wp:extent cx="17145"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-3196590</wp:posOffset>
            </wp:positionV>
            <wp:extent cx="17145"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-3162935</wp:posOffset>
            </wp:positionV>
            <wp:extent cx="17145"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-3128645</wp:posOffset>
            </wp:positionV>
            <wp:extent cx="17145"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-3094990</wp:posOffset>
            </wp:positionV>
            <wp:extent cx="17145"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-3060700</wp:posOffset>
            </wp:positionV>
            <wp:extent cx="17145"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-3027045</wp:posOffset>
            </wp:positionV>
            <wp:extent cx="17145"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-2992755</wp:posOffset>
            </wp:positionV>
            <wp:extent cx="17145"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-2959100</wp:posOffset>
            </wp:positionV>
            <wp:extent cx="17145"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-2924810</wp:posOffset>
            </wp:positionV>
            <wp:extent cx="17145"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-2891155</wp:posOffset>
            </wp:positionV>
            <wp:extent cx="17145"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-2856865</wp:posOffset>
            </wp:positionV>
            <wp:extent cx="17145"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-2823210</wp:posOffset>
            </wp:positionV>
            <wp:extent cx="17145"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-2788920</wp:posOffset>
            </wp:positionV>
            <wp:extent cx="17145"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-2755265</wp:posOffset>
            </wp:positionV>
            <wp:extent cx="17145"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-2720975</wp:posOffset>
            </wp:positionV>
            <wp:extent cx="17145"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-2687320</wp:posOffset>
            </wp:positionV>
            <wp:extent cx="17145"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-2653030</wp:posOffset>
            </wp:positionV>
            <wp:extent cx="17145"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-2619375</wp:posOffset>
            </wp:positionV>
            <wp:extent cx="17145"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-2585085</wp:posOffset>
            </wp:positionV>
            <wp:extent cx="17145"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-2551430</wp:posOffset>
            </wp:positionV>
            <wp:extent cx="17145"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-2517140</wp:posOffset>
            </wp:positionV>
            <wp:extent cx="17145"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-2483485</wp:posOffset>
            </wp:positionV>
            <wp:extent cx="17145"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-2449195</wp:posOffset>
            </wp:positionV>
            <wp:extent cx="17145"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-2415540</wp:posOffset>
            </wp:positionV>
            <wp:extent cx="17145"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-2381250</wp:posOffset>
            </wp:positionV>
            <wp:extent cx="17145"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-2347595</wp:posOffset>
            </wp:positionV>
            <wp:extent cx="17145"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-2313305</wp:posOffset>
            </wp:positionV>
            <wp:extent cx="17145"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-2279650</wp:posOffset>
            </wp:positionV>
            <wp:extent cx="17145"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-2245360</wp:posOffset>
            </wp:positionV>
            <wp:extent cx="17145"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-2211705</wp:posOffset>
            </wp:positionV>
            <wp:extent cx="17145"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-2177415</wp:posOffset>
            </wp:positionV>
            <wp:extent cx="17145"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-2143760</wp:posOffset>
            </wp:positionV>
            <wp:extent cx="17145"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-2109470</wp:posOffset>
            </wp:positionV>
            <wp:extent cx="17145"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-2075815</wp:posOffset>
            </wp:positionV>
            <wp:extent cx="17145"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-2041525</wp:posOffset>
            </wp:positionV>
            <wp:extent cx="17145"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-2007870</wp:posOffset>
            </wp:positionV>
            <wp:extent cx="17145"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-1973580</wp:posOffset>
            </wp:positionV>
            <wp:extent cx="17145"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-1939925</wp:posOffset>
            </wp:positionV>
            <wp:extent cx="17145" cy="336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7145" cy="336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-6058535</wp:posOffset>
            </wp:positionV>
            <wp:extent cx="17145"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-6024880</wp:posOffset>
            </wp:positionV>
            <wp:extent cx="17145"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-5990590</wp:posOffset>
            </wp:positionV>
            <wp:extent cx="17145"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-5956935</wp:posOffset>
            </wp:positionV>
            <wp:extent cx="17145"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-5922645</wp:posOffset>
            </wp:positionV>
            <wp:extent cx="17145"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-5888990</wp:posOffset>
            </wp:positionV>
            <wp:extent cx="17145"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-5854700</wp:posOffset>
            </wp:positionV>
            <wp:extent cx="17145"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-5821045</wp:posOffset>
            </wp:positionV>
            <wp:extent cx="17145"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-5786755</wp:posOffset>
            </wp:positionV>
            <wp:extent cx="17145"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-5753100</wp:posOffset>
            </wp:positionV>
            <wp:extent cx="17145"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-5718810</wp:posOffset>
            </wp:positionV>
            <wp:extent cx="17145"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-5685155</wp:posOffset>
            </wp:positionV>
            <wp:extent cx="17145"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-5650865</wp:posOffset>
            </wp:positionV>
            <wp:extent cx="17145"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-5617210</wp:posOffset>
            </wp:positionV>
            <wp:extent cx="17145"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-5582920</wp:posOffset>
            </wp:positionV>
            <wp:extent cx="17145"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-5549265</wp:posOffset>
            </wp:positionV>
            <wp:extent cx="17145"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-5514975</wp:posOffset>
            </wp:positionV>
            <wp:extent cx="17145"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-5481320</wp:posOffset>
            </wp:positionV>
            <wp:extent cx="17145"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-5447030</wp:posOffset>
            </wp:positionV>
            <wp:extent cx="17145"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-5413375</wp:posOffset>
            </wp:positionV>
            <wp:extent cx="17145"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-5379085</wp:posOffset>
            </wp:positionV>
            <wp:extent cx="17145"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-5345430</wp:posOffset>
            </wp:positionV>
            <wp:extent cx="17145"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-5311140</wp:posOffset>
            </wp:positionV>
            <wp:extent cx="17145"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-5277485</wp:posOffset>
            </wp:positionV>
            <wp:extent cx="17145"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-5243195</wp:posOffset>
            </wp:positionV>
            <wp:extent cx="17145"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-5209540</wp:posOffset>
            </wp:positionV>
            <wp:extent cx="17145"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-5175250</wp:posOffset>
            </wp:positionV>
            <wp:extent cx="17145"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-5141595</wp:posOffset>
            </wp:positionV>
            <wp:extent cx="17145"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-5107305</wp:posOffset>
            </wp:positionV>
            <wp:extent cx="17145"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-5073650</wp:posOffset>
            </wp:positionV>
            <wp:extent cx="17145"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-5039360</wp:posOffset>
            </wp:positionV>
            <wp:extent cx="17145"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-5005705</wp:posOffset>
            </wp:positionV>
            <wp:extent cx="17145"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-4971415</wp:posOffset>
            </wp:positionV>
            <wp:extent cx="17145"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-4937760</wp:posOffset>
            </wp:positionV>
            <wp:extent cx="17145"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-4903470</wp:posOffset>
            </wp:positionV>
            <wp:extent cx="17145"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-4869815</wp:posOffset>
            </wp:positionV>
            <wp:extent cx="17145"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-4835525</wp:posOffset>
            </wp:positionV>
            <wp:extent cx="17145"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-4801870</wp:posOffset>
            </wp:positionV>
            <wp:extent cx="17145"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-4767580</wp:posOffset>
            </wp:positionV>
            <wp:extent cx="17145"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-4733925</wp:posOffset>
            </wp:positionV>
            <wp:extent cx="17145"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-4699635</wp:posOffset>
            </wp:positionV>
            <wp:extent cx="17145"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-4665980</wp:posOffset>
            </wp:positionV>
            <wp:extent cx="17145"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-4631690</wp:posOffset>
            </wp:positionV>
            <wp:extent cx="17145"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-4598035</wp:posOffset>
            </wp:positionV>
            <wp:extent cx="17145"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-4563745</wp:posOffset>
            </wp:positionV>
            <wp:extent cx="17145"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-4530090</wp:posOffset>
            </wp:positionV>
            <wp:extent cx="17145"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-4495800</wp:posOffset>
            </wp:positionV>
            <wp:extent cx="17145"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-4462145</wp:posOffset>
            </wp:positionV>
            <wp:extent cx="17145"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-4427855</wp:posOffset>
            </wp:positionV>
            <wp:extent cx="17145"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-4394200</wp:posOffset>
            </wp:positionV>
            <wp:extent cx="17145"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-4359910</wp:posOffset>
            </wp:positionV>
            <wp:extent cx="17145"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-4326255</wp:posOffset>
            </wp:positionV>
            <wp:extent cx="17145"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-4291965</wp:posOffset>
            </wp:positionV>
            <wp:extent cx="17145" cy="171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-4258310</wp:posOffset>
            </wp:positionV>
            <wp:extent cx="17145"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-4224020</wp:posOffset>
            </wp:positionV>
            <wp:extent cx="17145"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-4190365</wp:posOffset>
            </wp:positionV>
            <wp:extent cx="17145"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-4156075</wp:posOffset>
            </wp:positionV>
            <wp:extent cx="17145"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-4122420</wp:posOffset>
            </wp:positionV>
            <wp:extent cx="17145"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-4088130</wp:posOffset>
            </wp:positionV>
            <wp:extent cx="17145"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-4054475</wp:posOffset>
            </wp:positionV>
            <wp:extent cx="17145" cy="171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-4020185</wp:posOffset>
            </wp:positionV>
            <wp:extent cx="17145" cy="336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7145" cy="336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-7205345</wp:posOffset>
            </wp:positionV>
            <wp:extent cx="17145"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-6101080</wp:posOffset>
            </wp:positionV>
            <wp:extent cx="17145" cy="336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7145" cy="336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-7179310</wp:posOffset>
            </wp:positionV>
            <wp:extent cx="17145"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-7145655</wp:posOffset>
            </wp:positionV>
            <wp:extent cx="17145"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-7111365</wp:posOffset>
            </wp:positionV>
            <wp:extent cx="17145"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-7077710</wp:posOffset>
            </wp:positionV>
            <wp:extent cx="17145"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-7043420</wp:posOffset>
            </wp:positionV>
            <wp:extent cx="17145"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-7009765</wp:posOffset>
            </wp:positionV>
            <wp:extent cx="17145" cy="171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-6975475</wp:posOffset>
            </wp:positionV>
            <wp:extent cx="17145"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-6941820</wp:posOffset>
            </wp:positionV>
            <wp:extent cx="17145"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-6907530</wp:posOffset>
            </wp:positionV>
            <wp:extent cx="17145" cy="171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-6873875</wp:posOffset>
            </wp:positionV>
            <wp:extent cx="17145"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-6839585</wp:posOffset>
            </wp:positionV>
            <wp:extent cx="17145"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-6805930</wp:posOffset>
            </wp:positionV>
            <wp:extent cx="17145"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-6771640</wp:posOffset>
            </wp:positionV>
            <wp:extent cx="17145"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-6737985</wp:posOffset>
            </wp:positionV>
            <wp:extent cx="17145"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-6703695</wp:posOffset>
            </wp:positionV>
            <wp:extent cx="17145"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-6670040</wp:posOffset>
            </wp:positionV>
            <wp:extent cx="17145"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-6635750</wp:posOffset>
            </wp:positionV>
            <wp:extent cx="17145"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-6602095</wp:posOffset>
            </wp:positionV>
            <wp:extent cx="17145"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-6567805</wp:posOffset>
            </wp:positionV>
            <wp:extent cx="17145"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-6534150</wp:posOffset>
            </wp:positionV>
            <wp:extent cx="17145"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-6499860</wp:posOffset>
            </wp:positionV>
            <wp:extent cx="17145"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-6466205</wp:posOffset>
            </wp:positionV>
            <wp:extent cx="17145"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-6431915</wp:posOffset>
            </wp:positionV>
            <wp:extent cx="17145"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-6398260</wp:posOffset>
            </wp:positionV>
            <wp:extent cx="17145"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-6364605</wp:posOffset>
            </wp:positionV>
            <wp:extent cx="17145"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-6330315</wp:posOffset>
            </wp:positionV>
            <wp:extent cx="17145"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-6296660</wp:posOffset>
            </wp:positionV>
            <wp:extent cx="17145"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-6262370</wp:posOffset>
            </wp:positionV>
            <wp:extent cx="17145"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-6228715</wp:posOffset>
            </wp:positionV>
            <wp:extent cx="17145" cy="171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-6194425</wp:posOffset>
            </wp:positionV>
            <wp:extent cx="17145"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-6160770</wp:posOffset>
            </wp:positionV>
            <wp:extent cx="17145"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-6126480</wp:posOffset>
            </wp:positionV>
            <wp:extent cx="17145"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-7205345</wp:posOffset>
            </wp:positionV>
            <wp:extent cx="925830" cy="92583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925830" cy="92583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-7179310</wp:posOffset>
            </wp:positionV>
            <wp:extent cx="925830" cy="92583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925830" cy="92583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60" w:type="dxa"/>
        <w:tblCellMar>
          <w:top w:w="0" w:type="dxa"/>
          <w:left w:w="0" w:type="dxa"/>
          <w:bottom w:w="0" w:type="dxa"/>
          <w:right w:w="0" w:type="dxa"/>
        </w:tblCellMar>
      </w:tblPr>
      <w:tr>
        <w:trPr>
          <w:trHeight w:val="287"/>
        </w:trPr>
        <w:tc>
          <w:tcPr>
            <w:tcW w:w="4880" w:type="dxa"/>
            <w:vAlign w:val="bottom"/>
          </w:tcPr>
          <w:p>
            <w:pPr>
              <w:ind w:left="1760"/>
              <w:spacing w:after="0"/>
              <w:rPr>
                <w:sz w:val="20"/>
                <w:szCs w:val="20"/>
                <w:color w:val="auto"/>
              </w:rPr>
            </w:pPr>
            <w:r>
              <w:rPr>
                <w:rFonts w:ascii="Arial" w:cs="Arial" w:eastAsia="Arial" w:hAnsi="Arial"/>
                <w:sz w:val="25"/>
                <w:szCs w:val="25"/>
                <w:b w:val="1"/>
                <w:bCs w:val="1"/>
                <w:color w:val="009BDE"/>
              </w:rPr>
              <w:t>Darin S. Harris</w:t>
            </w:r>
          </w:p>
        </w:tc>
        <w:tc>
          <w:tcPr>
            <w:tcW w:w="480" w:type="dxa"/>
            <w:vAlign w:val="bottom"/>
            <w:vMerge w:val="restart"/>
          </w:tcPr>
          <w:p>
            <w:pPr>
              <w:ind w:left="60"/>
              <w:spacing w:after="0"/>
              <w:rPr>
                <w:sz w:val="20"/>
                <w:szCs w:val="20"/>
                <w:color w:val="auto"/>
              </w:rPr>
            </w:pPr>
            <w:r>
              <w:rPr>
                <w:rFonts w:ascii="Arial" w:cs="Arial" w:eastAsia="Arial" w:hAnsi="Arial"/>
                <w:sz w:val="16"/>
                <w:szCs w:val="16"/>
                <w:color w:val="auto"/>
              </w:rPr>
              <w:t xml:space="preserve">    </w:t>
            </w:r>
          </w:p>
        </w:tc>
        <w:tc>
          <w:tcPr>
            <w:tcW w:w="500" w:type="dxa"/>
            <w:vAlign w:val="bottom"/>
            <w:vMerge w:val="restart"/>
          </w:tcPr>
          <w:p>
            <w:pPr>
              <w:ind w:left="220"/>
              <w:spacing w:after="0"/>
              <w:rPr>
                <w:sz w:val="20"/>
                <w:szCs w:val="20"/>
                <w:color w:val="auto"/>
              </w:rPr>
            </w:pPr>
            <w:r>
              <w:rPr>
                <w:rFonts w:ascii="Arial" w:cs="Arial" w:eastAsia="Arial" w:hAnsi="Arial"/>
                <w:sz w:val="16"/>
                <w:szCs w:val="16"/>
                <w:color w:val="auto"/>
              </w:rPr>
              <w:t xml:space="preserve">    </w:t>
            </w:r>
          </w:p>
        </w:tc>
        <w:tc>
          <w:tcPr>
            <w:tcW w:w="5060" w:type="dxa"/>
            <w:vAlign w:val="bottom"/>
          </w:tcPr>
          <w:p>
            <w:pPr>
              <w:ind w:left="1840"/>
              <w:spacing w:after="0"/>
              <w:rPr>
                <w:sz w:val="20"/>
                <w:szCs w:val="20"/>
                <w:color w:val="auto"/>
              </w:rPr>
            </w:pPr>
            <w:r>
              <w:rPr>
                <w:rFonts w:ascii="Arial" w:cs="Arial" w:eastAsia="Arial" w:hAnsi="Arial"/>
                <w:sz w:val="25"/>
                <w:szCs w:val="25"/>
                <w:b w:val="1"/>
                <w:bCs w:val="1"/>
                <w:color w:val="009BDE"/>
              </w:rPr>
              <w:t>Owen Mahoney</w:t>
            </w:r>
          </w:p>
        </w:tc>
        <w:tc>
          <w:tcPr>
            <w:tcW w:w="0" w:type="dxa"/>
            <w:vAlign w:val="bottom"/>
          </w:tcPr>
          <w:p>
            <w:pPr>
              <w:spacing w:after="0"/>
              <w:rPr>
                <w:sz w:val="1"/>
                <w:szCs w:val="1"/>
                <w:color w:val="auto"/>
              </w:rPr>
            </w:pPr>
          </w:p>
        </w:tc>
      </w:tr>
      <w:tr>
        <w:trPr>
          <w:trHeight w:val="50"/>
        </w:trPr>
        <w:tc>
          <w:tcPr>
            <w:tcW w:w="48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5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0"/>
        </w:trPr>
        <w:tc>
          <w:tcPr>
            <w:tcW w:w="4880" w:type="dxa"/>
            <w:vAlign w:val="bottom"/>
          </w:tcPr>
          <w:p>
            <w:pPr>
              <w:ind w:left="176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57</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60" w:type="dxa"/>
            <w:vAlign w:val="bottom"/>
          </w:tcPr>
          <w:p>
            <w:pPr>
              <w:ind w:left="184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281"/>
        </w:trPr>
        <w:tc>
          <w:tcPr>
            <w:tcW w:w="4880" w:type="dxa"/>
            <w:vAlign w:val="bottom"/>
          </w:tcPr>
          <w:p>
            <w:pPr>
              <w:ind w:left="176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2024</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60" w:type="dxa"/>
            <w:vAlign w:val="bottom"/>
          </w:tcPr>
          <w:p>
            <w:pPr>
              <w:ind w:left="184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2024</w:t>
            </w:r>
          </w:p>
        </w:tc>
        <w:tc>
          <w:tcPr>
            <w:tcW w:w="0" w:type="dxa"/>
            <w:vAlign w:val="bottom"/>
          </w:tcPr>
          <w:p>
            <w:pPr>
              <w:spacing w:after="0"/>
              <w:rPr>
                <w:sz w:val="1"/>
                <w:szCs w:val="1"/>
                <w:color w:val="auto"/>
              </w:rPr>
            </w:pPr>
          </w:p>
        </w:tc>
      </w:tr>
      <w:tr>
        <w:trPr>
          <w:trHeight w:val="227"/>
        </w:trPr>
        <w:tc>
          <w:tcPr>
            <w:tcW w:w="4880" w:type="dxa"/>
            <w:vAlign w:val="bottom"/>
          </w:tcPr>
          <w:p>
            <w:pPr>
              <w:ind w:left="1760"/>
              <w:spacing w:after="0" w:line="228" w:lineRule="exact"/>
              <w:rPr>
                <w:sz w:val="20"/>
                <w:szCs w:val="20"/>
                <w:color w:val="auto"/>
              </w:rPr>
            </w:pPr>
            <w:r>
              <w:rPr>
                <w:rFonts w:ascii="Arial" w:cs="Arial" w:eastAsia="Arial" w:hAnsi="Arial"/>
                <w:sz w:val="20"/>
                <w:szCs w:val="20"/>
                <w:b w:val="1"/>
                <w:bCs w:val="1"/>
                <w:color w:val="auto"/>
              </w:rPr>
              <w:t>Committees:</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60" w:type="dxa"/>
            <w:vAlign w:val="bottom"/>
          </w:tcPr>
          <w:p>
            <w:pPr>
              <w:ind w:left="1840"/>
              <w:spacing w:after="0" w:line="228" w:lineRule="exact"/>
              <w:rPr>
                <w:sz w:val="20"/>
                <w:szCs w:val="20"/>
                <w:color w:val="auto"/>
              </w:rPr>
            </w:pPr>
            <w:r>
              <w:rPr>
                <w:rFonts w:ascii="Arial" w:cs="Arial" w:eastAsia="Arial" w:hAnsi="Arial"/>
                <w:sz w:val="20"/>
                <w:szCs w:val="20"/>
                <w:b w:val="1"/>
                <w:bCs w:val="1"/>
                <w:color w:val="auto"/>
              </w:rPr>
              <w:t>Committees:</w:t>
            </w:r>
          </w:p>
        </w:tc>
        <w:tc>
          <w:tcPr>
            <w:tcW w:w="0" w:type="dxa"/>
            <w:vAlign w:val="bottom"/>
          </w:tcPr>
          <w:p>
            <w:pPr>
              <w:spacing w:after="0"/>
              <w:rPr>
                <w:sz w:val="1"/>
                <w:szCs w:val="1"/>
                <w:color w:val="auto"/>
              </w:rPr>
            </w:pPr>
          </w:p>
        </w:tc>
      </w:tr>
      <w:tr>
        <w:trPr>
          <w:trHeight w:val="214"/>
        </w:trPr>
        <w:tc>
          <w:tcPr>
            <w:tcW w:w="4880" w:type="dxa"/>
            <w:vAlign w:val="bottom"/>
          </w:tcPr>
          <w:p>
            <w:pPr>
              <w:ind w:left="1760"/>
              <w:spacing w:after="0" w:line="214" w:lineRule="exact"/>
              <w:rPr>
                <w:sz w:val="20"/>
                <w:szCs w:val="20"/>
                <w:color w:val="auto"/>
              </w:rPr>
            </w:pPr>
            <w:r>
              <w:rPr>
                <w:rFonts w:ascii="Arial" w:cs="Arial" w:eastAsia="Arial" w:hAnsi="Arial"/>
                <w:sz w:val="20"/>
                <w:szCs w:val="20"/>
                <w:color w:val="auto"/>
              </w:rPr>
              <w:t>• Compensation and Talent (Chair)</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60" w:type="dxa"/>
            <w:vAlign w:val="bottom"/>
          </w:tcPr>
          <w:p>
            <w:pPr>
              <w:ind w:left="1840"/>
              <w:spacing w:after="0" w:line="214" w:lineRule="exact"/>
              <w:rPr>
                <w:sz w:val="20"/>
                <w:szCs w:val="20"/>
                <w:color w:val="auto"/>
              </w:rPr>
            </w:pPr>
            <w:r>
              <w:rPr>
                <w:rFonts w:ascii="Arial" w:cs="Arial" w:eastAsia="Arial" w:hAnsi="Arial"/>
                <w:sz w:val="20"/>
                <w:szCs w:val="20"/>
                <w:color w:val="auto"/>
              </w:rPr>
              <w:t>• Audit</w:t>
            </w:r>
          </w:p>
        </w:tc>
        <w:tc>
          <w:tcPr>
            <w:tcW w:w="0" w:type="dxa"/>
            <w:vAlign w:val="bottom"/>
          </w:tcPr>
          <w:p>
            <w:pPr>
              <w:spacing w:after="0"/>
              <w:rPr>
                <w:sz w:val="1"/>
                <w:szCs w:val="1"/>
                <w:color w:val="auto"/>
              </w:rPr>
            </w:pPr>
          </w:p>
        </w:tc>
      </w:tr>
      <w:tr>
        <w:trPr>
          <w:trHeight w:val="257"/>
        </w:trPr>
        <w:tc>
          <w:tcPr>
            <w:tcW w:w="4880" w:type="dxa"/>
            <w:vAlign w:val="bottom"/>
          </w:tcPr>
          <w:p>
            <w:pPr>
              <w:ind w:left="1760"/>
              <w:spacing w:after="0"/>
              <w:rPr>
                <w:sz w:val="20"/>
                <w:szCs w:val="20"/>
                <w:color w:val="auto"/>
              </w:rPr>
            </w:pPr>
            <w:r>
              <w:rPr>
                <w:rFonts w:ascii="Arial" w:cs="Arial" w:eastAsia="Arial" w:hAnsi="Arial"/>
                <w:sz w:val="20"/>
                <w:szCs w:val="20"/>
                <w:color w:val="auto"/>
              </w:rPr>
              <w:t>• Finance and Capital Allocation</w:t>
            </w: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60" w:type="dxa"/>
            <w:vAlign w:val="bottom"/>
          </w:tcPr>
          <w:p>
            <w:pPr>
              <w:ind w:left="1840"/>
              <w:spacing w:after="0"/>
              <w:rPr>
                <w:sz w:val="20"/>
                <w:szCs w:val="20"/>
                <w:color w:val="auto"/>
              </w:rPr>
            </w:pPr>
            <w:r>
              <w:rPr>
                <w:rFonts w:ascii="Arial" w:cs="Arial" w:eastAsia="Arial" w:hAnsi="Arial"/>
                <w:sz w:val="20"/>
                <w:szCs w:val="20"/>
                <w:color w:val="auto"/>
              </w:rPr>
              <w:t>• Finance and Capital Allocation</w:t>
            </w:r>
          </w:p>
        </w:tc>
        <w:tc>
          <w:tcPr>
            <w:tcW w:w="0" w:type="dxa"/>
            <w:vAlign w:val="bottom"/>
          </w:tcPr>
          <w:p>
            <w:pPr>
              <w:spacing w:after="0"/>
              <w:rPr>
                <w:sz w:val="1"/>
                <w:szCs w:val="1"/>
                <w:color w:val="auto"/>
              </w:rPr>
            </w:pPr>
          </w:p>
        </w:tc>
      </w:tr>
      <w:tr>
        <w:trPr>
          <w:trHeight w:val="125"/>
        </w:trPr>
        <w:tc>
          <w:tcPr>
            <w:tcW w:w="4880" w:type="dxa"/>
            <w:vAlign w:val="bottom"/>
            <w:tcBorders>
              <w:bottom w:val="single" w:sz="8" w:color="009BDE"/>
            </w:tcBorders>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60" w:type="dxa"/>
            <w:vAlign w:val="bottom"/>
            <w:tcBorders>
              <w:bottom w:val="single" w:sz="8" w:color="009BDE"/>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880" w:type="dxa"/>
            <w:vAlign w:val="bottom"/>
          </w:tcPr>
          <w:p>
            <w:pPr>
              <w:ind w:left="20"/>
              <w:spacing w:after="0" w:line="196" w:lineRule="exact"/>
              <w:rPr>
                <w:sz w:val="20"/>
                <w:szCs w:val="20"/>
                <w:color w:val="auto"/>
              </w:rPr>
            </w:pPr>
            <w:r>
              <w:rPr>
                <w:rFonts w:ascii="Arial" w:cs="Arial" w:eastAsia="Arial" w:hAnsi="Arial"/>
                <w:sz w:val="18"/>
                <w:szCs w:val="18"/>
                <w:b w:val="1"/>
                <w:bCs w:val="1"/>
                <w:color w:val="009BDE"/>
              </w:rPr>
              <w:t>EXPERIENCE</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60" w:type="dxa"/>
            <w:vAlign w:val="bottom"/>
          </w:tcPr>
          <w:p>
            <w:pPr>
              <w:ind w:left="60"/>
              <w:spacing w:after="0" w:line="196" w:lineRule="exact"/>
              <w:rPr>
                <w:sz w:val="20"/>
                <w:szCs w:val="20"/>
                <w:color w:val="auto"/>
              </w:rPr>
            </w:pPr>
            <w:r>
              <w:rPr>
                <w:rFonts w:ascii="Arial" w:cs="Arial" w:eastAsia="Arial" w:hAnsi="Arial"/>
                <w:sz w:val="18"/>
                <w:szCs w:val="18"/>
                <w:b w:val="1"/>
                <w:bCs w:val="1"/>
                <w:color w:val="009BDE"/>
              </w:rPr>
              <w:t>EXPERIENCE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-93980</wp:posOffset>
            </wp:positionV>
            <wp:extent cx="17145"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-59690</wp:posOffset>
            </wp:positionV>
            <wp:extent cx="17145"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-26035</wp:posOffset>
            </wp:positionV>
            <wp:extent cx="17145"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-1223645</wp:posOffset>
            </wp:positionV>
            <wp:extent cx="17145"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-153670</wp:posOffset>
            </wp:positionV>
            <wp:extent cx="17145" cy="336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7145" cy="336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-1198245</wp:posOffset>
            </wp:positionV>
            <wp:extent cx="17145"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-1163955</wp:posOffset>
            </wp:positionV>
            <wp:extent cx="17145"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-1130300</wp:posOffset>
            </wp:positionV>
            <wp:extent cx="17145"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-1096010</wp:posOffset>
            </wp:positionV>
            <wp:extent cx="17145"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-1062355</wp:posOffset>
            </wp:positionV>
            <wp:extent cx="17145"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-1028065</wp:posOffset>
            </wp:positionV>
            <wp:extent cx="17145"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-994410</wp:posOffset>
            </wp:positionV>
            <wp:extent cx="17145"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-960120</wp:posOffset>
            </wp:positionV>
            <wp:extent cx="17145"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-926465</wp:posOffset>
            </wp:positionV>
            <wp:extent cx="17145"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-892175</wp:posOffset>
            </wp:positionV>
            <wp:extent cx="17145"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-858520</wp:posOffset>
            </wp:positionV>
            <wp:extent cx="17145"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-824230</wp:posOffset>
            </wp:positionV>
            <wp:extent cx="17145"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-790575</wp:posOffset>
            </wp:positionV>
            <wp:extent cx="17145"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-756285</wp:posOffset>
            </wp:positionV>
            <wp:extent cx="17145" cy="171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-722630</wp:posOffset>
            </wp:positionV>
            <wp:extent cx="17145"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-688340</wp:posOffset>
            </wp:positionV>
            <wp:extent cx="17145"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-654685</wp:posOffset>
            </wp:positionV>
            <wp:extent cx="17145"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-620395</wp:posOffset>
            </wp:positionV>
            <wp:extent cx="17145"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-586740</wp:posOffset>
            </wp:positionV>
            <wp:extent cx="17145"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-552450</wp:posOffset>
            </wp:positionV>
            <wp:extent cx="17145"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-518795</wp:posOffset>
            </wp:positionV>
            <wp:extent cx="17145" cy="171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-484505</wp:posOffset>
            </wp:positionV>
            <wp:extent cx="17145"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-450850</wp:posOffset>
            </wp:positionV>
            <wp:extent cx="17145"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-416560</wp:posOffset>
            </wp:positionV>
            <wp:extent cx="17145" cy="171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-382905</wp:posOffset>
            </wp:positionV>
            <wp:extent cx="17145"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-348615</wp:posOffset>
            </wp:positionV>
            <wp:extent cx="17145"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-314960</wp:posOffset>
            </wp:positionV>
            <wp:extent cx="17145" cy="171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-280670</wp:posOffset>
            </wp:positionV>
            <wp:extent cx="17145"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-247015</wp:posOffset>
            </wp:positionV>
            <wp:extent cx="17145"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-212725</wp:posOffset>
            </wp:positionV>
            <wp:extent cx="17145" cy="171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-179070</wp:posOffset>
            </wp:positionV>
            <wp:extent cx="17145"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-1223645</wp:posOffset>
            </wp:positionV>
            <wp:extent cx="925830" cy="91694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925830" cy="91694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-1223645</wp:posOffset>
            </wp:positionV>
            <wp:extent cx="925830" cy="92583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925830" cy="92583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ind w:left="180" w:right="340"/>
        <w:spacing w:after="0" w:line="244" w:lineRule="auto"/>
        <w:rPr>
          <w:sz w:val="20"/>
          <w:szCs w:val="20"/>
          <w:color w:val="auto"/>
        </w:rPr>
      </w:pPr>
      <w:r>
        <w:rPr>
          <w:rFonts w:ascii="Arial" w:cs="Arial" w:eastAsia="Arial" w:hAnsi="Arial"/>
          <w:sz w:val="16"/>
          <w:szCs w:val="16"/>
          <w:color w:val="auto"/>
        </w:rPr>
        <w:t>Darin S. Harris has served as Chief Executive Officer of Goddard Systems, LLC, which operates The Goddard School franchise system, since March 2025. Previously, he served as Chief Executive Officer of Jack in the Box Inc. from June 2020 until March 2025. Prior to that, he was Chief Executive Officer of North America for flexible working company, IWG PLC, Regus, North America, from April 2018 to May 2020. From August 2013 to January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-823595</wp:posOffset>
            </wp:positionV>
            <wp:extent cx="17145"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-789305</wp:posOffset>
            </wp:positionV>
            <wp:extent cx="17145"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-755650</wp:posOffset>
            </wp:positionV>
            <wp:extent cx="17145" cy="171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-721360</wp:posOffset>
            </wp:positionV>
            <wp:extent cx="17145" cy="171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-687705</wp:posOffset>
            </wp:positionV>
            <wp:extent cx="17145" cy="171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-653415</wp:posOffset>
            </wp:positionV>
            <wp:extent cx="17145" cy="171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-619760</wp:posOffset>
            </wp:positionV>
            <wp:extent cx="17145" cy="171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-585470</wp:posOffset>
            </wp:positionV>
            <wp:extent cx="17145" cy="171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-551815</wp:posOffset>
            </wp:positionV>
            <wp:extent cx="17145" cy="171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-517525</wp:posOffset>
            </wp:positionV>
            <wp:extent cx="17145" cy="171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-483870</wp:posOffset>
            </wp:positionV>
            <wp:extent cx="17145"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-449580</wp:posOffset>
            </wp:positionV>
            <wp:extent cx="17145" cy="171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-415925</wp:posOffset>
            </wp:positionV>
            <wp:extent cx="17145" cy="171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-381635</wp:posOffset>
            </wp:positionV>
            <wp:extent cx="17145" cy="171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-347980</wp:posOffset>
            </wp:positionV>
            <wp:extent cx="17145" cy="171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-313690</wp:posOffset>
            </wp:positionV>
            <wp:extent cx="17145" cy="171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-280035</wp:posOffset>
            </wp:positionV>
            <wp:extent cx="17145"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-245745</wp:posOffset>
            </wp:positionV>
            <wp:extent cx="17145" cy="171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-212090</wp:posOffset>
            </wp:positionV>
            <wp:extent cx="17145" cy="171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-177800</wp:posOffset>
            </wp:positionV>
            <wp:extent cx="17145" cy="171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-144145</wp:posOffset>
            </wp:positionV>
            <wp:extent cx="17145" cy="171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-109855</wp:posOffset>
            </wp:positionV>
            <wp:extent cx="17145" cy="171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-76200</wp:posOffset>
            </wp:positionV>
            <wp:extent cx="17145" cy="171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-41910</wp:posOffset>
            </wp:positionV>
            <wp:extent cx="17145" cy="171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-8255</wp:posOffset>
            </wp:positionV>
            <wp:extent cx="17145" cy="171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0" w:right="460"/>
        <w:spacing w:after="0" w:line="251" w:lineRule="auto"/>
        <w:rPr>
          <w:sz w:val="20"/>
          <w:szCs w:val="20"/>
          <w:color w:val="auto"/>
        </w:rPr>
      </w:pPr>
      <w:r>
        <w:rPr>
          <w:rFonts w:ascii="Arial" w:cs="Arial" w:eastAsia="Arial" w:hAnsi="Arial"/>
          <w:sz w:val="16"/>
          <w:szCs w:val="16"/>
          <w:color w:val="auto"/>
        </w:rPr>
        <w:t>Mr. Harris served as Chief Executive Officer of CiCi’s Enterprises LP. Mr. Harris also previously served as Chief Operating Officer for Primrose Schools from October 2008 to July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-341630</wp:posOffset>
            </wp:positionV>
            <wp:extent cx="17145" cy="171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-307975</wp:posOffset>
            </wp:positionV>
            <wp:extent cx="17145" cy="171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-273685</wp:posOffset>
            </wp:positionV>
            <wp:extent cx="17145" cy="171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-240030</wp:posOffset>
            </wp:positionV>
            <wp:extent cx="17145" cy="171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-205740</wp:posOffset>
            </wp:positionV>
            <wp:extent cx="17145" cy="171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-172085</wp:posOffset>
            </wp:positionV>
            <wp:extent cx="17145"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-137795</wp:posOffset>
            </wp:positionV>
            <wp:extent cx="17145" cy="171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-104140</wp:posOffset>
            </wp:positionV>
            <wp:extent cx="17145" cy="171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-69850</wp:posOffset>
            </wp:positionV>
            <wp:extent cx="17145" cy="171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-36195</wp:posOffset>
            </wp:positionV>
            <wp:extent cx="17145" cy="171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-1905</wp:posOffset>
            </wp:positionV>
            <wp:extent cx="17145" cy="171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31115</wp:posOffset>
            </wp:positionV>
            <wp:extent cx="17145" cy="171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65405</wp:posOffset>
            </wp:positionV>
            <wp:extent cx="17145" cy="171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99060</wp:posOffset>
            </wp:positionV>
            <wp:extent cx="17145" cy="171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133350</wp:posOffset>
            </wp:positionV>
            <wp:extent cx="17145" cy="336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7145" cy="33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45" w:lineRule="auto"/>
        <w:rPr>
          <w:sz w:val="20"/>
          <w:szCs w:val="20"/>
          <w:color w:val="auto"/>
        </w:rPr>
      </w:pPr>
      <w:r>
        <w:rPr>
          <w:rFonts w:ascii="Arial" w:cs="Arial" w:eastAsia="Arial" w:hAnsi="Arial"/>
          <w:sz w:val="16"/>
          <w:szCs w:val="16"/>
          <w:color w:val="auto"/>
        </w:rPr>
        <w:t>Owen Mahoney served as President and Chief Executive Officer of Nexon Co. Ltd. from March 2014 until March 2024. He joined Nexon in 2010 and served as Chief Financial Officer and Chief Administrative Officer until 2014, responsible for managing the Company’s finances, global operations, investments and strategic alliances. Previously, Mr. Mahoney was Senior Vice President of Corporate Development at Electronic Arts from 2000 to 2009, where he was responsible for worldwide mergers and acquisitions and business development, and led all acquisitions and equity investments. Prior to that, Mr. Mahoney held executive positions at online and software companies in the U.S. and Asia, including PointCast, Claris Japan and Radius.</w:t>
      </w:r>
    </w:p>
    <w:p>
      <w:pPr>
        <w:spacing w:after="0" w:line="53" w:lineRule="exact"/>
        <w:rPr>
          <w:sz w:val="20"/>
          <w:szCs w:val="20"/>
          <w:color w:val="auto"/>
        </w:rPr>
      </w:pPr>
    </w:p>
    <w:p>
      <w:pPr>
        <w:sectPr>
          <w:pgSz w:w="11900" w:h="16838" w:orient="portrait"/>
          <w:cols w:equalWidth="0" w:num="2">
            <w:col w:w="5360" w:space="720"/>
            <w:col w:w="5000"/>
          </w:cols>
          <w:pgMar w:left="320" w:top="478" w:right="499" w:bottom="1440" w:gutter="0" w:footer="0" w:header="0"/>
          <w:type w:val="continuous"/>
        </w:sectPr>
      </w:pPr>
    </w:p>
    <w:p>
      <w:pPr>
        <w:ind w:left="180"/>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-85090</wp:posOffset>
            </wp:positionV>
            <wp:extent cx="17145" cy="171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-50800</wp:posOffset>
            </wp:positionV>
            <wp:extent cx="17145" cy="171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-17145</wp:posOffset>
            </wp:positionV>
            <wp:extent cx="17145" cy="171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-127635</wp:posOffset>
            </wp:positionV>
            <wp:extent cx="309118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ind w:left="300" w:right="933" w:hanging="128"/>
        <w:spacing w:after="0" w:line="244" w:lineRule="auto"/>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Strong executive leadership skills and experience growing businesses.</w:t>
      </w:r>
    </w:p>
    <w:p>
      <w:pPr>
        <w:ind w:left="300" w:right="333" w:hanging="128"/>
        <w:spacing w:after="0" w:line="244" w:lineRule="auto"/>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Significant experience in brand strategy, operations, franchising, sales and business development, supporting the Board’s oversight of brand strategy, licensing and distribution models.</w:t>
      </w:r>
    </w:p>
    <w:p>
      <w:pPr>
        <w:ind w:left="300" w:right="733" w:hanging="128"/>
        <w:spacing w:after="0" w:line="244" w:lineRule="auto"/>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Former public company Chief Executive Officer, providing significant experience in public company governance, capital allocation and investor engagement.</w:t>
      </w:r>
    </w:p>
    <w:p>
      <w:pPr>
        <w:ind w:left="300" w:right="433" w:hanging="128"/>
        <w:spacing w:after="0" w:line="244" w:lineRule="auto"/>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Extensive senior leadership experience in both public and private companies, including strategy and business transformation.</w:t>
      </w:r>
    </w:p>
    <w:p>
      <w:pPr>
        <w:ind w:left="300" w:right="753" w:hanging="128"/>
        <w:spacing w:after="0" w:line="258" w:lineRule="auto"/>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Deep knowledge of consumer preferences that translate into increased business lifetime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-1431925</wp:posOffset>
            </wp:positionV>
            <wp:extent cx="17145"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-1398270</wp:posOffset>
            </wp:positionV>
            <wp:extent cx="17145" cy="171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-1363980</wp:posOffset>
            </wp:positionV>
            <wp:extent cx="17145" cy="171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-1330325</wp:posOffset>
            </wp:positionV>
            <wp:extent cx="17145" cy="171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-1296035</wp:posOffset>
            </wp:positionV>
            <wp:extent cx="17145" cy="171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-1262380</wp:posOffset>
            </wp:positionV>
            <wp:extent cx="17145" cy="171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-1228090</wp:posOffset>
            </wp:positionV>
            <wp:extent cx="17145" cy="171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-1194435</wp:posOffset>
            </wp:positionV>
            <wp:extent cx="17145"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-1160145</wp:posOffset>
            </wp:positionV>
            <wp:extent cx="17145" cy="171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-1126490</wp:posOffset>
            </wp:positionV>
            <wp:extent cx="17145" cy="171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-1092200</wp:posOffset>
            </wp:positionV>
            <wp:extent cx="17145" cy="171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-1058545</wp:posOffset>
            </wp:positionV>
            <wp:extent cx="17145" cy="171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-1024255</wp:posOffset>
            </wp:positionV>
            <wp:extent cx="17145" cy="171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-990600</wp:posOffset>
            </wp:positionV>
            <wp:extent cx="17145" cy="171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-956310</wp:posOffset>
            </wp:positionV>
            <wp:extent cx="17145" cy="171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-922655</wp:posOffset>
            </wp:positionV>
            <wp:extent cx="17145" cy="171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-888365</wp:posOffset>
            </wp:positionV>
            <wp:extent cx="17145" cy="171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-854710</wp:posOffset>
            </wp:positionV>
            <wp:extent cx="17145"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-820420</wp:posOffset>
            </wp:positionV>
            <wp:extent cx="17145"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-786765</wp:posOffset>
            </wp:positionV>
            <wp:extent cx="17145" cy="171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-752475</wp:posOffset>
            </wp:positionV>
            <wp:extent cx="17145" cy="171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-718820</wp:posOffset>
            </wp:positionV>
            <wp:extent cx="17145"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-685165</wp:posOffset>
            </wp:positionV>
            <wp:extent cx="17145"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-650875</wp:posOffset>
            </wp:positionV>
            <wp:extent cx="17145" cy="171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-617220</wp:posOffset>
            </wp:positionV>
            <wp:extent cx="17145" cy="171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-582930</wp:posOffset>
            </wp:positionV>
            <wp:extent cx="17145" cy="171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-549275</wp:posOffset>
            </wp:positionV>
            <wp:extent cx="17145" cy="171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-514985</wp:posOffset>
            </wp:positionV>
            <wp:extent cx="17145" cy="171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-481330</wp:posOffset>
            </wp:positionV>
            <wp:extent cx="17145" cy="171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-447040</wp:posOffset>
            </wp:positionV>
            <wp:extent cx="17145" cy="171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-413385</wp:posOffset>
            </wp:positionV>
            <wp:extent cx="17145" cy="171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-379095</wp:posOffset>
            </wp:positionV>
            <wp:extent cx="17145" cy="171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-345440</wp:posOffset>
            </wp:positionV>
            <wp:extent cx="17145" cy="171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-311150</wp:posOffset>
            </wp:positionV>
            <wp:extent cx="17145" cy="171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-277495</wp:posOffset>
            </wp:positionV>
            <wp:extent cx="17145" cy="171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-243205</wp:posOffset>
            </wp:positionV>
            <wp:extent cx="17145" cy="171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-209550</wp:posOffset>
            </wp:positionV>
            <wp:extent cx="17145" cy="171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-175260</wp:posOffset>
            </wp:positionV>
            <wp:extent cx="17145" cy="171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-141605</wp:posOffset>
            </wp:positionV>
            <wp:extent cx="17145" cy="171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-107315</wp:posOffset>
            </wp:positionV>
            <wp:extent cx="17145" cy="171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-73660</wp:posOffset>
            </wp:positionV>
            <wp:extent cx="17145" cy="171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-39370</wp:posOffset>
            </wp:positionV>
            <wp:extent cx="17145" cy="171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-5715</wp:posOffset>
            </wp:positionV>
            <wp:extent cx="17145" cy="171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27940</wp:posOffset>
            </wp:positionV>
            <wp:extent cx="17145" cy="171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61595</wp:posOffset>
            </wp:positionV>
            <wp:extent cx="17145" cy="171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95885</wp:posOffset>
            </wp:positionV>
            <wp:extent cx="17145" cy="171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129540</wp:posOffset>
            </wp:positionV>
            <wp:extent cx="17145" cy="336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7145" cy="33655"/>
                    </a:xfrm>
                    <a:prstGeom prst="rect">
                      <a:avLst/>
                    </a:prstGeom>
                    <a:noFill/>
                  </pic:spPr>
                </pic:pic>
              </a:graphicData>
            </a:graphic>
          </wp:anchor>
        </w:drawing>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-85090</wp:posOffset>
            </wp:positionV>
            <wp:extent cx="17145" cy="171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-50800</wp:posOffset>
            </wp:positionV>
            <wp:extent cx="17145" cy="171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-17145</wp:posOffset>
            </wp:positionV>
            <wp:extent cx="17145" cy="171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-127635</wp:posOffset>
            </wp:positionV>
            <wp:extent cx="309118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ind w:left="300" w:right="533" w:hanging="128"/>
        <w:spacing w:after="0" w:line="258" w:lineRule="auto"/>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A&amp;W Food Services of Canada Inc. (listed on the Toronto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-243205</wp:posOffset>
            </wp:positionV>
            <wp:extent cx="17145" cy="171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-209550</wp:posOffset>
            </wp:positionV>
            <wp:extent cx="17145" cy="171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-175260</wp:posOffset>
            </wp:positionV>
            <wp:extent cx="17145" cy="171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-141605</wp:posOffset>
            </wp:positionV>
            <wp:extent cx="17145" cy="171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-107315</wp:posOffset>
            </wp:positionV>
            <wp:extent cx="17145" cy="171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-73660</wp:posOffset>
            </wp:positionV>
            <wp:extent cx="17145" cy="171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-39370</wp:posOffset>
            </wp:positionV>
            <wp:extent cx="17145" cy="171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-5715</wp:posOffset>
            </wp:positionV>
            <wp:extent cx="17145" cy="171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27940</wp:posOffset>
            </wp:positionV>
            <wp:extent cx="17145" cy="171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61595</wp:posOffset>
            </wp:positionV>
            <wp:extent cx="17145" cy="171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95885</wp:posOffset>
            </wp:positionV>
            <wp:extent cx="17145" cy="171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129540</wp:posOffset>
            </wp:positionV>
            <wp:extent cx="17145" cy="336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7145" cy="33655"/>
                    </a:xfrm>
                    <a:prstGeom prst="rect">
                      <a:avLst/>
                    </a:prstGeom>
                    <a:noFill/>
                  </pic:spPr>
                </pic:pic>
              </a:graphicData>
            </a:graphic>
          </wp:anchor>
        </w:drawing>
      </w:r>
    </w:p>
    <w:p>
      <w:pPr>
        <w:spacing w:after="0" w:line="206" w:lineRule="exact"/>
        <w:rPr>
          <w:sz w:val="20"/>
          <w:szCs w:val="20"/>
          <w:color w:val="auto"/>
        </w:rPr>
      </w:pPr>
    </w:p>
    <w:p>
      <w:pPr>
        <w:ind w:left="180" w:right="753"/>
        <w:spacing w:after="0" w:line="244"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-237490</wp:posOffset>
            </wp:positionV>
            <wp:extent cx="17145" cy="171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-203835</wp:posOffset>
            </wp:positionV>
            <wp:extent cx="17145" cy="171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-169545</wp:posOffset>
            </wp:positionV>
            <wp:extent cx="17145" cy="171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-135890</wp:posOffset>
            </wp:positionV>
            <wp:extent cx="17145" cy="171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-101600</wp:posOffset>
            </wp:positionV>
            <wp:extent cx="17145" cy="171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-67945</wp:posOffset>
            </wp:positionV>
            <wp:extent cx="17145" cy="171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-33655</wp:posOffset>
            </wp:positionV>
            <wp:extent cx="17145" cy="171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0</wp:posOffset>
            </wp:positionV>
            <wp:extent cx="17145" cy="171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-262890</wp:posOffset>
            </wp:positionV>
            <wp:extent cx="309118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 Jack in the 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-83185</wp:posOffset>
            </wp:positionV>
            <wp:extent cx="17145" cy="171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-49530</wp:posOffset>
            </wp:positionV>
            <wp:extent cx="17145" cy="171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-15240</wp:posOffset>
            </wp:positionV>
            <wp:extent cx="17145" cy="171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-127635</wp:posOffset>
            </wp:positionV>
            <wp:extent cx="321881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218815" cy="8255"/>
                    </a:xfrm>
                    <a:prstGeom prst="rect">
                      <a:avLst/>
                    </a:prstGeom>
                    <a:noFill/>
                  </pic:spPr>
                </pic:pic>
              </a:graphicData>
            </a:graphic>
          </wp:anchor>
        </w:drawing>
      </w:r>
    </w:p>
    <w:p>
      <w:pPr>
        <w:ind w:left="147" w:right="200" w:hanging="147"/>
        <w:spacing w:after="0" w:line="232" w:lineRule="auto"/>
        <w:tabs>
          <w:tab w:leader="none" w:pos="1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Experienced executive leader, including as a former public company Chief Executive Officer, providing extensive experience in public company leadership, global operations and long-term strategic oversight.</w:t>
      </w:r>
    </w:p>
    <w:p>
      <w:pPr>
        <w:spacing w:after="0" w:line="2" w:lineRule="exact"/>
        <w:rPr>
          <w:rFonts w:ascii="Arial" w:cs="Arial" w:eastAsia="Arial" w:hAnsi="Arial"/>
          <w:sz w:val="18"/>
          <w:szCs w:val="18"/>
          <w:color w:val="auto"/>
        </w:rPr>
      </w:pPr>
    </w:p>
    <w:p>
      <w:pPr>
        <w:ind w:left="147" w:right="140" w:hanging="147"/>
        <w:spacing w:after="0" w:line="232" w:lineRule="auto"/>
        <w:tabs>
          <w:tab w:leader="none" w:pos="1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Deep knowledge of online gaming platforms, digital monetization models and the operation of global live-service franchises.</w:t>
      </w:r>
    </w:p>
    <w:p>
      <w:pPr>
        <w:spacing w:after="0" w:line="1" w:lineRule="exact"/>
        <w:rPr>
          <w:rFonts w:ascii="Arial" w:cs="Arial" w:eastAsia="Arial" w:hAnsi="Arial"/>
          <w:sz w:val="18"/>
          <w:szCs w:val="18"/>
          <w:color w:val="auto"/>
        </w:rPr>
      </w:pPr>
    </w:p>
    <w:p>
      <w:pPr>
        <w:ind w:left="147" w:right="860" w:hanging="147"/>
        <w:spacing w:after="0" w:line="232" w:lineRule="auto"/>
        <w:tabs>
          <w:tab w:leader="none" w:pos="1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Extensive experience in finance, global operations, investments, and strategic alliances.</w:t>
      </w:r>
    </w:p>
    <w:p>
      <w:pPr>
        <w:spacing w:after="0" w:line="1" w:lineRule="exact"/>
        <w:rPr>
          <w:rFonts w:ascii="Arial" w:cs="Arial" w:eastAsia="Arial" w:hAnsi="Arial"/>
          <w:sz w:val="18"/>
          <w:szCs w:val="18"/>
          <w:color w:val="auto"/>
        </w:rPr>
      </w:pPr>
    </w:p>
    <w:p>
      <w:pPr>
        <w:ind w:left="147" w:hanging="147"/>
        <w:spacing w:after="0" w:line="232" w:lineRule="auto"/>
        <w:tabs>
          <w:tab w:leader="none" w:pos="1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Extensive leadership experience in business development.</w:t>
      </w:r>
    </w:p>
    <w:p>
      <w:pPr>
        <w:ind w:left="147" w:right="280" w:hanging="147"/>
        <w:spacing w:after="0" w:line="273" w:lineRule="auto"/>
        <w:tabs>
          <w:tab w:leader="none" w:pos="147" w:val="left"/>
        </w:tabs>
        <w:numPr>
          <w:ilvl w:val="0"/>
          <w:numId w:val="20"/>
        </w:numPr>
        <w:rPr>
          <w:rFonts w:ascii="Arial" w:cs="Arial" w:eastAsia="Arial" w:hAnsi="Arial"/>
          <w:sz w:val="17"/>
          <w:szCs w:val="17"/>
          <w:color w:val="auto"/>
        </w:rPr>
      </w:pPr>
      <w:r>
        <w:rPr>
          <w:rFonts w:ascii="Arial" w:cs="Arial" w:eastAsia="Arial" w:hAnsi="Arial"/>
          <w:sz w:val="17"/>
          <w:szCs w:val="17"/>
          <w:color w:val="auto"/>
        </w:rPr>
        <w:t>Significant knowledge of artificial intelligence and machine learning as it relates to games and entertainment.</w:t>
      </w:r>
    </w:p>
    <w:p>
      <w:pPr>
        <w:spacing w:after="0" w:line="12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-127635</wp:posOffset>
            </wp:positionV>
            <wp:extent cx="321881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3218815" cy="8255"/>
                    </a:xfrm>
                    <a:prstGeom prst="rect">
                      <a:avLst/>
                    </a:prstGeom>
                    <a:noFill/>
                  </pic:spPr>
                </pic:pic>
              </a:graphicData>
            </a:graphic>
          </wp:anchor>
        </w:drawing>
      </w:r>
    </w:p>
    <w:p>
      <w:pPr>
        <w:ind w:left="7"/>
        <w:spacing w:after="0"/>
        <w:rPr>
          <w:sz w:val="20"/>
          <w:szCs w:val="20"/>
          <w:color w:val="auto"/>
        </w:rPr>
      </w:pPr>
      <w:r>
        <w:rPr>
          <w:rFonts w:ascii="Arial" w:cs="Arial" w:eastAsia="Arial" w:hAnsi="Arial"/>
          <w:sz w:val="18"/>
          <w:szCs w:val="18"/>
          <w:color w:val="auto"/>
        </w:rPr>
        <w:t>• Logitech International S.A.</w:t>
      </w:r>
    </w:p>
    <w:p>
      <w:pPr>
        <w:spacing w:after="0" w:line="163" w:lineRule="exact"/>
        <w:rPr>
          <w:sz w:val="20"/>
          <w:szCs w:val="20"/>
          <w:color w:val="auto"/>
        </w:rPr>
      </w:pPr>
    </w:p>
    <w:p>
      <w:pPr>
        <w:ind w:left="7" w:right="80"/>
        <w:spacing w:after="0" w:line="243"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-262255</wp:posOffset>
            </wp:positionV>
            <wp:extent cx="321881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3218815" cy="8255"/>
                    </a:xfrm>
                    <a:prstGeom prst="rect">
                      <a:avLst/>
                    </a:prstGeom>
                    <a:noFill/>
                  </pic:spPr>
                </pic:pic>
              </a:graphicData>
            </a:graphic>
          </wp:anchor>
        </w:drawing>
      </w:r>
    </w:p>
    <w:p>
      <w:pPr>
        <w:ind w:left="7"/>
        <w:spacing w:after="0"/>
        <w:rPr>
          <w:sz w:val="20"/>
          <w:szCs w:val="20"/>
          <w:color w:val="auto"/>
        </w:rPr>
      </w:pPr>
      <w:r>
        <w:rPr>
          <w:rFonts w:ascii="Arial" w:cs="Arial" w:eastAsia="Arial" w:hAnsi="Arial"/>
          <w:sz w:val="18"/>
          <w:szCs w:val="18"/>
          <w:color w:val="auto"/>
        </w:rPr>
        <w:t>• Nexon Co. Ltd (listed on the Tokyo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327660</wp:posOffset>
            </wp:positionV>
            <wp:extent cx="6964045" cy="39052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53" w:space="720"/>
            <w:col w:w="5007"/>
          </w:cols>
          <w:pgMar w:left="320" w:top="478" w:right="49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FCFCFC"/>
        </w:rPr>
        <w:t>    6</w:t>
      </w:r>
    </w:p>
    <w:p>
      <w:pPr>
        <w:sectPr>
          <w:pgSz w:w="11900" w:h="16838" w:orient="portrait"/>
          <w:cols w:equalWidth="0" w:num="1">
            <w:col w:w="11080"/>
          </w:cols>
          <w:pgMar w:left="320" w:top="478" w:right="4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920" w:type="dxa"/>
        <w:tblCellMar>
          <w:top w:w="0" w:type="dxa"/>
          <w:left w:w="0" w:type="dxa"/>
          <w:bottom w:w="0" w:type="dxa"/>
          <w:right w:w="0" w:type="dxa"/>
        </w:tblCellMar>
      </w:tblPr>
      <w:tr>
        <w:trPr>
          <w:trHeight w:val="287"/>
        </w:trPr>
        <w:tc>
          <w:tcPr>
            <w:tcW w:w="2540" w:type="dxa"/>
            <w:vAlign w:val="bottom"/>
          </w:tcPr>
          <w:p>
            <w:pPr>
              <w:spacing w:after="0"/>
              <w:rPr>
                <w:sz w:val="20"/>
                <w:szCs w:val="20"/>
                <w:color w:val="auto"/>
              </w:rPr>
            </w:pPr>
            <w:r>
              <w:rPr>
                <w:rFonts w:ascii="Arial" w:cs="Arial" w:eastAsia="Arial" w:hAnsi="Arial"/>
                <w:sz w:val="25"/>
                <w:szCs w:val="25"/>
                <w:b w:val="1"/>
                <w:bCs w:val="1"/>
                <w:color w:val="009BDE"/>
              </w:rPr>
              <w:t>Laurel J. Richie</w:t>
            </w:r>
          </w:p>
        </w:tc>
        <w:tc>
          <w:tcPr>
            <w:tcW w:w="900" w:type="dxa"/>
            <w:vAlign w:val="bottom"/>
            <w:vMerge w:val="restart"/>
          </w:tcPr>
          <w:p>
            <w:pPr>
              <w:ind w:left="7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50"/>
        </w:trPr>
        <w:tc>
          <w:tcPr>
            <w:tcW w:w="25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-124460</wp:posOffset>
            </wp:positionV>
            <wp:extent cx="925830" cy="91694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925830" cy="916940"/>
                    </a:xfrm>
                    <a:prstGeom prst="rect">
                      <a:avLst/>
                    </a:prstGeom>
                    <a:noFill/>
                  </pic:spPr>
                </pic:pic>
              </a:graphicData>
            </a:graphic>
          </wp:anchor>
        </w:drawing>
      </w:r>
    </w:p>
    <w:p>
      <w:pPr>
        <w:spacing w:after="0" w:line="120"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67</w:t>
      </w:r>
    </w:p>
    <w:p>
      <w:pPr>
        <w:spacing w:after="0" w:line="51"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2020</w:t>
      </w:r>
    </w:p>
    <w:p>
      <w:pPr>
        <w:spacing w:after="0" w:line="51"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Committees:</w:t>
      </w:r>
    </w:p>
    <w:p>
      <w:pPr>
        <w:spacing w:after="0" w:line="4" w:lineRule="exact"/>
        <w:rPr>
          <w:sz w:val="20"/>
          <w:szCs w:val="20"/>
          <w:color w:val="auto"/>
        </w:rPr>
      </w:pPr>
    </w:p>
    <w:p>
      <w:pPr>
        <w:ind w:left="2080" w:right="580" w:hanging="156"/>
        <w:spacing w:after="0" w:line="232" w:lineRule="auto"/>
        <w:tabs>
          <w:tab w:leader="none" w:pos="20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Nominating, Governance and Social Responsibility (incoming Chair)</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312547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3125470" cy="8255"/>
                    </a:xfrm>
                    <a:prstGeom prst="rect">
                      <a:avLst/>
                    </a:prstGeom>
                    <a:noFill/>
                  </pic:spPr>
                </pic:pic>
              </a:graphicData>
            </a:graphic>
          </wp:anchor>
        </w:drawing>
      </w:r>
    </w:p>
    <w:p>
      <w:pPr>
        <w:ind w:left="180" w:right="320"/>
        <w:spacing w:after="0" w:line="245" w:lineRule="auto"/>
        <w:rPr>
          <w:sz w:val="20"/>
          <w:szCs w:val="20"/>
          <w:color w:val="auto"/>
        </w:rPr>
      </w:pPr>
      <w:r>
        <w:rPr>
          <w:rFonts w:ascii="Arial" w:cs="Arial" w:eastAsia="Arial" w:hAnsi="Arial"/>
          <w:sz w:val="16"/>
          <w:szCs w:val="16"/>
          <w:color w:val="auto"/>
        </w:rPr>
        <w:t>Laurel J. Richie has been an independent leadership and branding consultant since 2015. Prior to her current role, Ms. Richie served as President of the Women’s National Basketball Association LLC (“WNBA”) from May 2011 to November 2015. Prior to her appointment as President of the WNBA in 2011, she served as Chief Marketing Officer of Girl Scouts of the United States of America from 2008 to 2011. From 1984 to 2008, she held various positions at Ogilvy &amp; Mather, including Senior Partner and Executive Group Director and founding member of the agency’s Diversity Advisory Board. Ms. Richie is a former Trustee of the Naismith Basketball Hall of Fame and the Dartmouth College Board of Trustees where she served as chair from 2017-2021. She currently serves as a consultant to Fortune 100 c-suite executives on matters of leadership, branding and corporate culture.</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312547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125470" cy="8255"/>
                    </a:xfrm>
                    <a:prstGeom prst="rect">
                      <a:avLst/>
                    </a:prstGeom>
                    <a:noFill/>
                  </pic:spPr>
                </pic:pic>
              </a:graphicData>
            </a:graphic>
          </wp:anchor>
        </w:drawing>
      </w:r>
    </w:p>
    <w:p>
      <w:pPr>
        <w:ind w:left="300" w:right="500" w:hanging="128"/>
        <w:spacing w:after="0" w:line="244" w:lineRule="auto"/>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Significant executive management and leadership experience, together with strategic oversight, governance and organizational leadership.</w:t>
      </w:r>
    </w:p>
    <w:p>
      <w:pPr>
        <w:ind w:left="300" w:right="300" w:hanging="128"/>
        <w:spacing w:after="0" w:line="244" w:lineRule="auto"/>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Experience in global marketing and building purpose-driven brands and expanding audience reach, supporting Hasbro’s focus on brand relevance and community engagement.</w:t>
      </w:r>
    </w:p>
    <w:p>
      <w:pPr>
        <w:ind w:left="300" w:right="460" w:hanging="128"/>
        <w:spacing w:after="0" w:line="244" w:lineRule="auto"/>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Deep experience in developing senior leaders on effectiveness, corporate culture and talent development, enhancing the Board’s oversight of human capital strategy.</w:t>
      </w:r>
    </w:p>
    <w:p>
      <w:pPr>
        <w:ind w:left="300" w:right="400" w:hanging="128"/>
        <w:spacing w:after="0" w:line="258" w:lineRule="auto"/>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Strong background in building corporate culture and management teams.</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312547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3125470" cy="8255"/>
                    </a:xfrm>
                    <a:prstGeom prst="rect">
                      <a:avLst/>
                    </a:prstGeom>
                    <a:noFill/>
                  </pic:spPr>
                </pic:pic>
              </a:graphicData>
            </a:graphic>
          </wp:anchor>
        </w:drawing>
      </w:r>
    </w:p>
    <w:p>
      <w:pPr>
        <w:ind w:left="440" w:hanging="26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Bright Horizons Family Solutions Inc.</w:t>
      </w:r>
    </w:p>
    <w:p>
      <w:pPr>
        <w:spacing w:after="0" w:line="3" w:lineRule="exact"/>
        <w:rPr>
          <w:rFonts w:ascii="Arial" w:cs="Arial" w:eastAsia="Arial" w:hAnsi="Arial"/>
          <w:sz w:val="16"/>
          <w:szCs w:val="16"/>
          <w:color w:val="auto"/>
        </w:rPr>
      </w:pPr>
    </w:p>
    <w:p>
      <w:pPr>
        <w:ind w:left="460" w:hanging="146"/>
        <w:spacing w:after="0"/>
        <w:tabs>
          <w:tab w:leader="none" w:pos="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Audit Committee</w:t>
      </w:r>
    </w:p>
    <w:p>
      <w:pPr>
        <w:spacing w:after="0" w:line="3" w:lineRule="exact"/>
        <w:rPr>
          <w:rFonts w:ascii="Arial" w:cs="Arial" w:eastAsia="Arial" w:hAnsi="Arial"/>
          <w:sz w:val="16"/>
          <w:szCs w:val="16"/>
          <w:color w:val="auto"/>
        </w:rPr>
      </w:pPr>
    </w:p>
    <w:p>
      <w:pPr>
        <w:ind w:left="460" w:hanging="146"/>
        <w:spacing w:after="0"/>
        <w:tabs>
          <w:tab w:leader="none" w:pos="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Nominating and Corporate Governance Committee Chair</w:t>
      </w:r>
    </w:p>
    <w:p>
      <w:pPr>
        <w:spacing w:after="0" w:line="3" w:lineRule="exact"/>
        <w:rPr>
          <w:rFonts w:ascii="Arial" w:cs="Arial" w:eastAsia="Arial" w:hAnsi="Arial"/>
          <w:sz w:val="16"/>
          <w:szCs w:val="16"/>
          <w:color w:val="auto"/>
        </w:rPr>
      </w:pPr>
    </w:p>
    <w:p>
      <w:pPr>
        <w:ind w:left="440" w:hanging="268"/>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Synchrony Financial</w:t>
      </w:r>
    </w:p>
    <w:p>
      <w:pPr>
        <w:spacing w:after="0" w:line="3" w:lineRule="exact"/>
        <w:rPr>
          <w:rFonts w:ascii="Arial" w:cs="Arial" w:eastAsia="Arial" w:hAnsi="Arial"/>
          <w:sz w:val="16"/>
          <w:szCs w:val="16"/>
          <w:color w:val="auto"/>
        </w:rPr>
      </w:pPr>
    </w:p>
    <w:p>
      <w:pPr>
        <w:ind w:left="460" w:hanging="146"/>
        <w:spacing w:after="0"/>
        <w:tabs>
          <w:tab w:leader="none" w:pos="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Nominating and Corporate Governance Committee</w:t>
      </w:r>
    </w:p>
    <w:p>
      <w:pPr>
        <w:spacing w:after="0" w:line="3" w:lineRule="exact"/>
        <w:rPr>
          <w:rFonts w:ascii="Arial" w:cs="Arial" w:eastAsia="Arial" w:hAnsi="Arial"/>
          <w:sz w:val="16"/>
          <w:szCs w:val="16"/>
          <w:color w:val="auto"/>
        </w:rPr>
      </w:pPr>
    </w:p>
    <w:p>
      <w:pPr>
        <w:ind w:left="460" w:hanging="146"/>
        <w:spacing w:after="0"/>
        <w:tabs>
          <w:tab w:leader="none" w:pos="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Management Development and Compensation Committee Chair</w:t>
      </w:r>
    </w:p>
    <w:p>
      <w:pPr>
        <w:spacing w:after="0" w:line="170" w:lineRule="exact"/>
        <w:rPr>
          <w:sz w:val="20"/>
          <w:szCs w:val="20"/>
          <w:color w:val="auto"/>
        </w:rPr>
      </w:pPr>
    </w:p>
    <w:p>
      <w:pPr>
        <w:ind w:left="180" w:right="760"/>
        <w:spacing w:after="0" w:line="244"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-262890</wp:posOffset>
            </wp:positionV>
            <wp:extent cx="312547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312547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1826895</wp:posOffset>
            </wp:positionV>
            <wp:extent cx="6964045" cy="39052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ind w:left="1847"/>
        <w:spacing w:after="0"/>
        <w:rPr>
          <w:sz w:val="20"/>
          <w:szCs w:val="20"/>
          <w:color w:val="auto"/>
        </w:rPr>
      </w:pPr>
      <w:r>
        <w:rPr>
          <w:rFonts w:ascii="Arial" w:cs="Arial" w:eastAsia="Arial" w:hAnsi="Arial"/>
          <w:sz w:val="25"/>
          <w:szCs w:val="25"/>
          <w:b w:val="1"/>
          <w:bCs w:val="1"/>
          <w:color w:val="009BDE"/>
        </w:rPr>
        <w:t>Richard S.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-166370</wp:posOffset>
            </wp:positionV>
            <wp:extent cx="1146175" cy="101917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146175" cy="1019175"/>
                    </a:xfrm>
                    <a:prstGeom prst="rect">
                      <a:avLst/>
                    </a:prstGeom>
                    <a:noFill/>
                  </pic:spPr>
                </pic:pic>
              </a:graphicData>
            </a:graphic>
          </wp:anchor>
        </w:drawing>
      </w:r>
    </w:p>
    <w:p>
      <w:pPr>
        <w:spacing w:after="0" w:line="55" w:lineRule="exact"/>
        <w:rPr>
          <w:sz w:val="20"/>
          <w:szCs w:val="20"/>
          <w:color w:val="auto"/>
        </w:rPr>
      </w:pPr>
    </w:p>
    <w:p>
      <w:pPr>
        <w:ind w:left="1847"/>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-113665</wp:posOffset>
            </wp:positionV>
            <wp:extent cx="17145" cy="171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-79375</wp:posOffset>
            </wp:positionV>
            <wp:extent cx="17145" cy="171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-45720</wp:posOffset>
            </wp:positionV>
            <wp:extent cx="17145" cy="171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-11430</wp:posOffset>
            </wp:positionV>
            <wp:extent cx="17145" cy="171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21590</wp:posOffset>
            </wp:positionV>
            <wp:extent cx="17145" cy="171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1" w:lineRule="exact"/>
        <w:rPr>
          <w:sz w:val="20"/>
          <w:szCs w:val="20"/>
          <w:color w:val="auto"/>
        </w:rPr>
      </w:pPr>
    </w:p>
    <w:p>
      <w:pPr>
        <w:ind w:left="1847"/>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-121920</wp:posOffset>
            </wp:positionV>
            <wp:extent cx="17145" cy="171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-88265</wp:posOffset>
            </wp:positionV>
            <wp:extent cx="17145" cy="171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-53975</wp:posOffset>
            </wp:positionV>
            <wp:extent cx="17145" cy="171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-20320</wp:posOffset>
            </wp:positionV>
            <wp:extent cx="17145" cy="171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13335</wp:posOffset>
            </wp:positionV>
            <wp:extent cx="17145" cy="171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1" w:lineRule="exact"/>
        <w:rPr>
          <w:sz w:val="20"/>
          <w:szCs w:val="20"/>
          <w:color w:val="auto"/>
        </w:rPr>
      </w:pPr>
    </w:p>
    <w:p>
      <w:pPr>
        <w:ind w:left="1847"/>
        <w:spacing w:after="0"/>
        <w:rPr>
          <w:sz w:val="20"/>
          <w:szCs w:val="20"/>
          <w:color w:val="auto"/>
        </w:rPr>
      </w:pPr>
      <w:r>
        <w:rPr>
          <w:rFonts w:ascii="Arial" w:cs="Arial" w:eastAsia="Arial" w:hAnsi="Arial"/>
          <w:sz w:val="20"/>
          <w:szCs w:val="20"/>
          <w:b w:val="1"/>
          <w:bCs w:val="1"/>
          <w:color w:val="auto"/>
        </w:rPr>
        <w:t xml:space="preserve">Chair of the Board Since: </w:t>
      </w:r>
      <w:r>
        <w:rPr>
          <w:rFonts w:ascii="Arial" w:cs="Arial" w:eastAsia="Arial" w:hAnsi="Arial"/>
          <w:sz w:val="20"/>
          <w:szCs w:val="20"/>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-130175</wp:posOffset>
            </wp:positionV>
            <wp:extent cx="17145" cy="171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-96520</wp:posOffset>
            </wp:positionV>
            <wp:extent cx="17145" cy="171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-62230</wp:posOffset>
            </wp:positionV>
            <wp:extent cx="17145" cy="171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-28575</wp:posOffset>
            </wp:positionV>
            <wp:extent cx="17145" cy="171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5080</wp:posOffset>
            </wp:positionV>
            <wp:extent cx="17145" cy="171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1" w:lineRule="exact"/>
        <w:rPr>
          <w:sz w:val="20"/>
          <w:szCs w:val="20"/>
          <w:color w:val="auto"/>
        </w:rPr>
      </w:pPr>
    </w:p>
    <w:p>
      <w:pPr>
        <w:ind w:left="1847"/>
        <w:spacing w:after="0"/>
        <w:rPr>
          <w:sz w:val="20"/>
          <w:szCs w:val="20"/>
          <w:color w:val="auto"/>
        </w:rPr>
      </w:pPr>
      <w:r>
        <w:rPr>
          <w:rFonts w:ascii="Arial" w:cs="Arial" w:eastAsia="Arial" w:hAnsi="Arial"/>
          <w:sz w:val="20"/>
          <w:szCs w:val="20"/>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-139065</wp:posOffset>
            </wp:positionV>
            <wp:extent cx="17145" cy="171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-104775</wp:posOffset>
            </wp:positionV>
            <wp:extent cx="17145" cy="171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-71120</wp:posOffset>
            </wp:positionV>
            <wp:extent cx="17145" cy="171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-36830</wp:posOffset>
            </wp:positionV>
            <wp:extent cx="17145" cy="171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-3175</wp:posOffset>
            </wp:positionV>
            <wp:extent cx="17145" cy="171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007" w:right="440" w:hanging="162"/>
        <w:spacing w:after="0" w:line="236" w:lineRule="auto"/>
        <w:tabs>
          <w:tab w:leader="none" w:pos="2007" w:val="left"/>
        </w:tabs>
        <w:numPr>
          <w:ilvl w:val="0"/>
          <w:numId w:val="24"/>
        </w:numPr>
        <w:rPr>
          <w:rFonts w:ascii="Arial" w:cs="Arial" w:eastAsia="Arial" w:hAnsi="Arial"/>
          <w:sz w:val="20"/>
          <w:szCs w:val="20"/>
          <w:color w:val="auto"/>
        </w:rPr>
      </w:pPr>
      <w:r>
        <w:rPr>
          <w:rFonts w:ascii="Arial" w:cs="Arial" w:eastAsia="Arial" w:hAnsi="Arial"/>
          <w:sz w:val="20"/>
          <w:szCs w:val="20"/>
          <w:color w:val="auto"/>
        </w:rPr>
        <w:t>Nominating, Governance and Social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-259080</wp:posOffset>
            </wp:positionV>
            <wp:extent cx="17145" cy="171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-224790</wp:posOffset>
            </wp:positionV>
            <wp:extent cx="17145" cy="171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-191135</wp:posOffset>
            </wp:positionV>
            <wp:extent cx="17145" cy="171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-156845</wp:posOffset>
            </wp:positionV>
            <wp:extent cx="17145" cy="171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-123190</wp:posOffset>
            </wp:positionV>
            <wp:extent cx="17145" cy="171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-88900</wp:posOffset>
            </wp:positionV>
            <wp:extent cx="17145" cy="171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-55245</wp:posOffset>
            </wp:positionV>
            <wp:extent cx="17145" cy="171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-20955</wp:posOffset>
            </wp:positionV>
            <wp:extent cx="17145" cy="171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12065</wp:posOffset>
            </wp:positionV>
            <wp:extent cx="17145" cy="171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46355</wp:posOffset>
            </wp:positionV>
            <wp:extent cx="17145" cy="171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80010</wp:posOffset>
            </wp:positionV>
            <wp:extent cx="17145" cy="336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7145" cy="33655"/>
                    </a:xfrm>
                    <a:prstGeom prst="rect">
                      <a:avLst/>
                    </a:prstGeom>
                    <a:noFill/>
                  </pic:spPr>
                </pic:pic>
              </a:graphicData>
            </a:graphic>
          </wp:anchor>
        </w:drawing>
      </w:r>
    </w:p>
    <w:p>
      <w:pPr>
        <w:spacing w:after="0" w:line="12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-85090</wp:posOffset>
            </wp:positionV>
            <wp:extent cx="17145" cy="171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-50800</wp:posOffset>
            </wp:positionV>
            <wp:extent cx="17145" cy="171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-17145</wp:posOffset>
            </wp:positionV>
            <wp:extent cx="17145" cy="171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-127635</wp:posOffset>
            </wp:positionV>
            <wp:extent cx="321881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3218815" cy="8255"/>
                    </a:xfrm>
                    <a:prstGeom prst="rect">
                      <a:avLst/>
                    </a:prstGeom>
                    <a:noFill/>
                  </pic:spPr>
                </pic:pic>
              </a:graphicData>
            </a:graphic>
          </wp:anchor>
        </w:drawing>
      </w:r>
    </w:p>
    <w:p>
      <w:pPr>
        <w:ind w:left="7" w:right="20"/>
        <w:spacing w:after="0" w:line="260" w:lineRule="auto"/>
        <w:rPr>
          <w:sz w:val="20"/>
          <w:szCs w:val="20"/>
          <w:color w:val="auto"/>
        </w:rPr>
      </w:pPr>
      <w:r>
        <w:rPr>
          <w:rFonts w:ascii="Arial" w:cs="Arial" w:eastAsia="Arial" w:hAnsi="Arial"/>
          <w:sz w:val="15"/>
          <w:szCs w:val="15"/>
          <w:color w:val="auto"/>
        </w:rPr>
        <w:t>Richard S. Stoddart has served as Hasbro’s Chair of the Board since February 2022. Prior to that, he served as Hasbro’s interim Chief Executive Officer from October 2021 to February 2022, following the passing of the Company’s former Chairman and CEO, Brian Goldner. Mr. Stoddart is the former President and Chief Executive Officer of InnerWorkings, Inc. (a global marketing execution firm), serving in that role from 2018 until 2020 when InnerWorkings, Inc. was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-822325</wp:posOffset>
            </wp:positionV>
            <wp:extent cx="17145" cy="171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-788670</wp:posOffset>
            </wp:positionV>
            <wp:extent cx="17145" cy="171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-755015</wp:posOffset>
            </wp:positionV>
            <wp:extent cx="17145" cy="171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-720725</wp:posOffset>
            </wp:positionV>
            <wp:extent cx="17145" cy="171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-687070</wp:posOffset>
            </wp:positionV>
            <wp:extent cx="17145" cy="171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-652780</wp:posOffset>
            </wp:positionV>
            <wp:extent cx="17145" cy="171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-619125</wp:posOffset>
            </wp:positionV>
            <wp:extent cx="17145" cy="171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-584835</wp:posOffset>
            </wp:positionV>
            <wp:extent cx="17145" cy="171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-551180</wp:posOffset>
            </wp:positionV>
            <wp:extent cx="17145" cy="171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-516890</wp:posOffset>
            </wp:positionV>
            <wp:extent cx="17145" cy="171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-483235</wp:posOffset>
            </wp:positionV>
            <wp:extent cx="17145" cy="171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-448945</wp:posOffset>
            </wp:positionV>
            <wp:extent cx="17145" cy="171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-415290</wp:posOffset>
            </wp:positionV>
            <wp:extent cx="17145" cy="171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-381000</wp:posOffset>
            </wp:positionV>
            <wp:extent cx="17145" cy="171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-347345</wp:posOffset>
            </wp:positionV>
            <wp:extent cx="17145" cy="171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-313055</wp:posOffset>
            </wp:positionV>
            <wp:extent cx="17145" cy="171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-279400</wp:posOffset>
            </wp:positionV>
            <wp:extent cx="17145" cy="171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-245110</wp:posOffset>
            </wp:positionV>
            <wp:extent cx="17145" cy="171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-211455</wp:posOffset>
            </wp:positionV>
            <wp:extent cx="17145" cy="171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-177165</wp:posOffset>
            </wp:positionV>
            <wp:extent cx="17145" cy="171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-143510</wp:posOffset>
            </wp:positionV>
            <wp:extent cx="17145" cy="171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-109220</wp:posOffset>
            </wp:positionV>
            <wp:extent cx="17145" cy="171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-75565</wp:posOffset>
            </wp:positionV>
            <wp:extent cx="17145" cy="171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-41275</wp:posOffset>
            </wp:positionV>
            <wp:extent cx="17145" cy="171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-7620</wp:posOffset>
            </wp:positionV>
            <wp:extent cx="17145" cy="171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7"/>
        <w:spacing w:after="0" w:line="249" w:lineRule="auto"/>
        <w:rPr>
          <w:sz w:val="20"/>
          <w:szCs w:val="20"/>
          <w:color w:val="auto"/>
        </w:rPr>
      </w:pPr>
      <w:r>
        <w:rPr>
          <w:rFonts w:ascii="Arial" w:cs="Arial" w:eastAsia="Arial" w:hAnsi="Arial"/>
          <w:sz w:val="16"/>
          <w:szCs w:val="16"/>
          <w:color w:val="auto"/>
        </w:rPr>
        <w:t>Mr. Stoddart was the Chief Executive Officer of Leo Burnett Worldwide from February 2017 to 2018, the Chief Executive Officer of Leo Burnett North America from 2013 to 2016 and the President of Leo Burnett North America from 2005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-459740</wp:posOffset>
            </wp:positionV>
            <wp:extent cx="17145" cy="171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-426085</wp:posOffset>
            </wp:positionV>
            <wp:extent cx="17145" cy="171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-391795</wp:posOffset>
            </wp:positionV>
            <wp:extent cx="17145" cy="171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-358140</wp:posOffset>
            </wp:positionV>
            <wp:extent cx="17145" cy="171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-323850</wp:posOffset>
            </wp:positionV>
            <wp:extent cx="17145" cy="171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-290195</wp:posOffset>
            </wp:positionV>
            <wp:extent cx="17145" cy="171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-255905</wp:posOffset>
            </wp:positionV>
            <wp:extent cx="17145" cy="171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-222250</wp:posOffset>
            </wp:positionV>
            <wp:extent cx="17145" cy="171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-187960</wp:posOffset>
            </wp:positionV>
            <wp:extent cx="17145" cy="171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-154305</wp:posOffset>
            </wp:positionV>
            <wp:extent cx="17145" cy="171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-120015</wp:posOffset>
            </wp:positionV>
            <wp:extent cx="17145" cy="171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-86360</wp:posOffset>
            </wp:positionV>
            <wp:extent cx="17145" cy="171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-52070</wp:posOffset>
            </wp:positionV>
            <wp:extent cx="17145" cy="171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-18415</wp:posOffset>
            </wp:positionV>
            <wp:extent cx="17145" cy="171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15240</wp:posOffset>
            </wp:positionV>
            <wp:extent cx="17145" cy="171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48895</wp:posOffset>
            </wp:positionV>
            <wp:extent cx="17145" cy="171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83185</wp:posOffset>
            </wp:positionV>
            <wp:extent cx="17145" cy="336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7145" cy="33655"/>
                    </a:xfrm>
                    <a:prstGeom prst="rect">
                      <a:avLst/>
                    </a:prstGeom>
                    <a:noFill/>
                  </pic:spPr>
                </pic:pic>
              </a:graphicData>
            </a:graphic>
          </wp:anchor>
        </w:drawing>
      </w:r>
    </w:p>
    <w:p>
      <w:pPr>
        <w:spacing w:after="0" w:line="13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-85090</wp:posOffset>
            </wp:positionV>
            <wp:extent cx="17145" cy="171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-50800</wp:posOffset>
            </wp:positionV>
            <wp:extent cx="17145" cy="171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-17145</wp:posOffset>
            </wp:positionV>
            <wp:extent cx="17145" cy="171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-127635</wp:posOffset>
            </wp:positionV>
            <wp:extent cx="321881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3218815" cy="8255"/>
                    </a:xfrm>
                    <a:prstGeom prst="rect">
                      <a:avLst/>
                    </a:prstGeom>
                    <a:noFill/>
                  </pic:spPr>
                </pic:pic>
              </a:graphicData>
            </a:graphic>
          </wp:anchor>
        </w:drawing>
      </w:r>
    </w:p>
    <w:p>
      <w:pPr>
        <w:ind w:left="147" w:right="340" w:hanging="147"/>
        <w:spacing w:after="0" w:line="232" w:lineRule="auto"/>
        <w:tabs>
          <w:tab w:leader="none" w:pos="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Extensive experience in the advertising, marketing and communications industries, including in television, digital, social media, point-of-sale, packaging and print, and in building global brands and businesses.</w:t>
      </w:r>
    </w:p>
    <w:p>
      <w:pPr>
        <w:spacing w:after="0" w:line="2" w:lineRule="exact"/>
        <w:rPr>
          <w:rFonts w:ascii="Arial" w:cs="Arial" w:eastAsia="Arial" w:hAnsi="Arial"/>
          <w:sz w:val="18"/>
          <w:szCs w:val="18"/>
          <w:color w:val="auto"/>
        </w:rPr>
      </w:pPr>
    </w:p>
    <w:p>
      <w:pPr>
        <w:ind w:left="147" w:right="160" w:hanging="147"/>
        <w:spacing w:after="0" w:line="232" w:lineRule="auto"/>
        <w:tabs>
          <w:tab w:leader="none" w:pos="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the former Chief Executive Officer of InnerWorkings, the largest global marketing execution company, Mr. Stoddart became recognized for his strategic and commercial leadership of the company, investor and analyst communications, and financial stewardship as well as his expertise in all facets of marketing execution and marketing supply chain management.</w:t>
      </w:r>
    </w:p>
    <w:p>
      <w:pPr>
        <w:spacing w:after="0" w:line="3" w:lineRule="exact"/>
        <w:rPr>
          <w:rFonts w:ascii="Arial" w:cs="Arial" w:eastAsia="Arial" w:hAnsi="Arial"/>
          <w:sz w:val="18"/>
          <w:szCs w:val="18"/>
          <w:color w:val="auto"/>
        </w:rPr>
      </w:pPr>
    </w:p>
    <w:p>
      <w:pPr>
        <w:ind w:left="147" w:right="80" w:hanging="147"/>
        <w:spacing w:after="0" w:line="246" w:lineRule="auto"/>
        <w:tabs>
          <w:tab w:leader="none" w:pos="147"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his prior role as Chief Executive Officer of one of the world’s largest advertising agencies, Mr. Stoddart was recognized for his leadership in the development and integration of shopper, digital, social and mobile capabilities as part of a company’s overall marketing and brand strategy.</w:t>
      </w:r>
    </w:p>
    <w:p>
      <w:pPr>
        <w:spacing w:after="0" w:line="1" w:lineRule="exact"/>
        <w:rPr>
          <w:rFonts w:ascii="Arial" w:cs="Arial" w:eastAsia="Arial" w:hAnsi="Arial"/>
          <w:sz w:val="17"/>
          <w:szCs w:val="17"/>
          <w:color w:val="auto"/>
        </w:rPr>
      </w:pPr>
    </w:p>
    <w:p>
      <w:pPr>
        <w:ind w:left="147" w:right="120" w:hanging="147"/>
        <w:spacing w:after="0" w:line="235" w:lineRule="auto"/>
        <w:tabs>
          <w:tab w:leader="none" w:pos="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Possesses knowledge, expertise and experience regarding branding and brand building, marketing and marketing strategy across media platforms, including in traditional advertising, digital advertising and social media; expertise in media planning, launching branded content and products; expertise in marketing production, logistics and execution; and expertise in media trends and strategic planning for businesses building content-driven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-3058160</wp:posOffset>
            </wp:positionV>
            <wp:extent cx="17145" cy="171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-3023870</wp:posOffset>
            </wp:positionV>
            <wp:extent cx="17145" cy="171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-2990215</wp:posOffset>
            </wp:positionV>
            <wp:extent cx="17145" cy="171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-2955925</wp:posOffset>
            </wp:positionV>
            <wp:extent cx="17145" cy="171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-2922270</wp:posOffset>
            </wp:positionV>
            <wp:extent cx="17145" cy="171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-2887980</wp:posOffset>
            </wp:positionV>
            <wp:extent cx="17145" cy="171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-2854325</wp:posOffset>
            </wp:positionV>
            <wp:extent cx="17145" cy="171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-2820035</wp:posOffset>
            </wp:positionV>
            <wp:extent cx="17145" cy="171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-2786380</wp:posOffset>
            </wp:positionV>
            <wp:extent cx="17145" cy="171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-2752090</wp:posOffset>
            </wp:positionV>
            <wp:extent cx="17145" cy="171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-2718435</wp:posOffset>
            </wp:positionV>
            <wp:extent cx="17145" cy="171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-2684145</wp:posOffset>
            </wp:positionV>
            <wp:extent cx="17145" cy="171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-2650490</wp:posOffset>
            </wp:positionV>
            <wp:extent cx="17145" cy="171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-2616200</wp:posOffset>
            </wp:positionV>
            <wp:extent cx="17145" cy="171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-2582545</wp:posOffset>
            </wp:positionV>
            <wp:extent cx="17145" cy="171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-2548255</wp:posOffset>
            </wp:positionV>
            <wp:extent cx="17145" cy="1714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-2514600</wp:posOffset>
            </wp:positionV>
            <wp:extent cx="17145" cy="171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-2480310</wp:posOffset>
            </wp:positionV>
            <wp:extent cx="17145" cy="171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-2446655</wp:posOffset>
            </wp:positionV>
            <wp:extent cx="17145" cy="171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-2412365</wp:posOffset>
            </wp:positionV>
            <wp:extent cx="17145" cy="171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-2378710</wp:posOffset>
            </wp:positionV>
            <wp:extent cx="17145" cy="171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-2344420</wp:posOffset>
            </wp:positionV>
            <wp:extent cx="17145" cy="1714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-2310765</wp:posOffset>
            </wp:positionV>
            <wp:extent cx="17145" cy="171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-2276475</wp:posOffset>
            </wp:positionV>
            <wp:extent cx="17145" cy="1714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-2242820</wp:posOffset>
            </wp:positionV>
            <wp:extent cx="17145" cy="171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-2208530</wp:posOffset>
            </wp:positionV>
            <wp:extent cx="17145" cy="1714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-2174875</wp:posOffset>
            </wp:positionV>
            <wp:extent cx="17145" cy="1714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-2140585</wp:posOffset>
            </wp:positionV>
            <wp:extent cx="17145" cy="1714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-2106930</wp:posOffset>
            </wp:positionV>
            <wp:extent cx="17145" cy="1714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-2073275</wp:posOffset>
            </wp:positionV>
            <wp:extent cx="17145" cy="1714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-2038985</wp:posOffset>
            </wp:positionV>
            <wp:extent cx="17145" cy="171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-2005330</wp:posOffset>
            </wp:positionV>
            <wp:extent cx="17145" cy="1714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-1971040</wp:posOffset>
            </wp:positionV>
            <wp:extent cx="17145" cy="171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-1937385</wp:posOffset>
            </wp:positionV>
            <wp:extent cx="17145" cy="171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-1903095</wp:posOffset>
            </wp:positionV>
            <wp:extent cx="17145" cy="171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-1869440</wp:posOffset>
            </wp:positionV>
            <wp:extent cx="17145" cy="171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-1835150</wp:posOffset>
            </wp:positionV>
            <wp:extent cx="17145" cy="1714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-1801495</wp:posOffset>
            </wp:positionV>
            <wp:extent cx="17145" cy="1714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-1767205</wp:posOffset>
            </wp:positionV>
            <wp:extent cx="17145" cy="1714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-1733550</wp:posOffset>
            </wp:positionV>
            <wp:extent cx="17145" cy="1714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-1699260</wp:posOffset>
            </wp:positionV>
            <wp:extent cx="17145" cy="1714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-1665605</wp:posOffset>
            </wp:positionV>
            <wp:extent cx="17145" cy="1714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-1631315</wp:posOffset>
            </wp:positionV>
            <wp:extent cx="17145" cy="1714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-1597660</wp:posOffset>
            </wp:positionV>
            <wp:extent cx="17145" cy="1714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-1563370</wp:posOffset>
            </wp:positionV>
            <wp:extent cx="17145" cy="1714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-1529715</wp:posOffset>
            </wp:positionV>
            <wp:extent cx="17145" cy="1714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-1495425</wp:posOffset>
            </wp:positionV>
            <wp:extent cx="17145" cy="1714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-1461770</wp:posOffset>
            </wp:positionV>
            <wp:extent cx="17145" cy="1714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-1427480</wp:posOffset>
            </wp:positionV>
            <wp:extent cx="17145" cy="171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-1393825</wp:posOffset>
            </wp:positionV>
            <wp:extent cx="17145" cy="1714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-1359535</wp:posOffset>
            </wp:positionV>
            <wp:extent cx="17145" cy="1714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-1325880</wp:posOffset>
            </wp:positionV>
            <wp:extent cx="17145" cy="1714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-1291590</wp:posOffset>
            </wp:positionV>
            <wp:extent cx="17145" cy="1714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-1257935</wp:posOffset>
            </wp:positionV>
            <wp:extent cx="17145" cy="1714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-1223645</wp:posOffset>
            </wp:positionV>
            <wp:extent cx="17145" cy="1714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-1189990</wp:posOffset>
            </wp:positionV>
            <wp:extent cx="17145" cy="1714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-1155700</wp:posOffset>
            </wp:positionV>
            <wp:extent cx="17145" cy="1714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-1122045</wp:posOffset>
            </wp:positionV>
            <wp:extent cx="17145" cy="1714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-1087755</wp:posOffset>
            </wp:positionV>
            <wp:extent cx="17145" cy="1714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-1054100</wp:posOffset>
            </wp:positionV>
            <wp:extent cx="17145" cy="1714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-1019810</wp:posOffset>
            </wp:positionV>
            <wp:extent cx="17145" cy="1714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-986155</wp:posOffset>
            </wp:positionV>
            <wp:extent cx="17145" cy="1714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-951865</wp:posOffset>
            </wp:positionV>
            <wp:extent cx="17145" cy="1714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-918210</wp:posOffset>
            </wp:positionV>
            <wp:extent cx="17145" cy="1714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-883920</wp:posOffset>
            </wp:positionV>
            <wp:extent cx="17145" cy="1714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-850265</wp:posOffset>
            </wp:positionV>
            <wp:extent cx="17145" cy="1714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-815975</wp:posOffset>
            </wp:positionV>
            <wp:extent cx="17145" cy="1714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-782320</wp:posOffset>
            </wp:positionV>
            <wp:extent cx="17145" cy="1714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-748030</wp:posOffset>
            </wp:positionV>
            <wp:extent cx="17145" cy="1714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-714375</wp:posOffset>
            </wp:positionV>
            <wp:extent cx="17145" cy="1714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-680085</wp:posOffset>
            </wp:positionV>
            <wp:extent cx="17145" cy="1714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-646430</wp:posOffset>
            </wp:positionV>
            <wp:extent cx="17145" cy="1714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-612140</wp:posOffset>
            </wp:positionV>
            <wp:extent cx="17145" cy="1714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-578485</wp:posOffset>
            </wp:positionV>
            <wp:extent cx="17145" cy="1714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-544195</wp:posOffset>
            </wp:positionV>
            <wp:extent cx="17145" cy="1714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-510540</wp:posOffset>
            </wp:positionV>
            <wp:extent cx="17145" cy="1714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-476250</wp:posOffset>
            </wp:positionV>
            <wp:extent cx="17145" cy="1714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-442595</wp:posOffset>
            </wp:positionV>
            <wp:extent cx="17145" cy="1714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-408305</wp:posOffset>
            </wp:positionV>
            <wp:extent cx="17145" cy="1714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-374650</wp:posOffset>
            </wp:positionV>
            <wp:extent cx="17145" cy="1714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-340360</wp:posOffset>
            </wp:positionV>
            <wp:extent cx="17145" cy="1714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-306705</wp:posOffset>
            </wp:positionV>
            <wp:extent cx="17145" cy="1714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-272415</wp:posOffset>
            </wp:positionV>
            <wp:extent cx="17145" cy="1714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-238760</wp:posOffset>
            </wp:positionV>
            <wp:extent cx="17145" cy="1714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-204470</wp:posOffset>
            </wp:positionV>
            <wp:extent cx="17145" cy="1714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-170815</wp:posOffset>
            </wp:positionV>
            <wp:extent cx="17145" cy="1714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-136525</wp:posOffset>
            </wp:positionV>
            <wp:extent cx="17145" cy="1714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-102870</wp:posOffset>
            </wp:positionV>
            <wp:extent cx="17145" cy="1714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-68580</wp:posOffset>
            </wp:positionV>
            <wp:extent cx="17145" cy="1714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-34925</wp:posOffset>
            </wp:positionV>
            <wp:extent cx="17145" cy="1714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-635</wp:posOffset>
            </wp:positionV>
            <wp:extent cx="17145" cy="1714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32385</wp:posOffset>
            </wp:positionV>
            <wp:extent cx="17145" cy="1714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66675</wp:posOffset>
            </wp:positionV>
            <wp:extent cx="17145" cy="1714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100330</wp:posOffset>
            </wp:positionV>
            <wp:extent cx="17145" cy="1714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134620</wp:posOffset>
            </wp:positionV>
            <wp:extent cx="17145" cy="336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7145" cy="33655"/>
                    </a:xfrm>
                    <a:prstGeom prst="rect">
                      <a:avLst/>
                    </a:prstGeom>
                    <a:noFill/>
                  </pic:spPr>
                </pic:pic>
              </a:graphicData>
            </a:graphic>
          </wp:anchor>
        </w:drawing>
      </w:r>
    </w:p>
    <w:p>
      <w:pPr>
        <w:spacing w:after="0" w:line="21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-101600</wp:posOffset>
            </wp:positionV>
            <wp:extent cx="17145" cy="1714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-67945</wp:posOffset>
            </wp:positionV>
            <wp:extent cx="17145" cy="1714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-33655</wp:posOffset>
            </wp:positionV>
            <wp:extent cx="17145" cy="1714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0</wp:posOffset>
            </wp:positionV>
            <wp:extent cx="17145" cy="1714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-127635</wp:posOffset>
            </wp:positionV>
            <wp:extent cx="321881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3218815" cy="8255"/>
                    </a:xfrm>
                    <a:prstGeom prst="rect">
                      <a:avLst/>
                    </a:prstGeom>
                    <a:noFill/>
                  </pic:spPr>
                </pic:pic>
              </a:graphicData>
            </a:graphic>
          </wp:anchor>
        </w:drawing>
      </w:r>
    </w:p>
    <w:p>
      <w:pPr>
        <w:ind w:left="307" w:hanging="307"/>
        <w:spacing w:after="0"/>
        <w:tabs>
          <w:tab w:leader="none" w:pos="3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Altria Group, Inc.</w:t>
      </w:r>
    </w:p>
    <w:p>
      <w:pPr>
        <w:ind w:left="307" w:hanging="149"/>
        <w:spacing w:after="0" w:line="232" w:lineRule="auto"/>
        <w:tabs>
          <w:tab w:leader="none" w:pos="30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Audit Committee</w:t>
      </w:r>
    </w:p>
    <w:p>
      <w:pPr>
        <w:ind w:left="307" w:hanging="149"/>
        <w:spacing w:after="0" w:line="232" w:lineRule="auto"/>
        <w:tabs>
          <w:tab w:leader="none" w:pos="307"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Innovation Committee</w:t>
      </w:r>
    </w:p>
    <w:p>
      <w:pPr>
        <w:ind w:left="307" w:right="980" w:hanging="149"/>
        <w:spacing w:after="0" w:line="244" w:lineRule="auto"/>
        <w:tabs>
          <w:tab w:leader="none" w:pos="307"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Nominating, Corporate Governance and Social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81280</wp:posOffset>
            </wp:positionV>
            <wp:extent cx="17145" cy="336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7145" cy="336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-622935</wp:posOffset>
            </wp:positionV>
            <wp:extent cx="17145" cy="1714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-588645</wp:posOffset>
            </wp:positionV>
            <wp:extent cx="17145" cy="1714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-554990</wp:posOffset>
            </wp:positionV>
            <wp:extent cx="17145" cy="1714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-520700</wp:posOffset>
            </wp:positionV>
            <wp:extent cx="17145" cy="1714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-487045</wp:posOffset>
            </wp:positionV>
            <wp:extent cx="17145" cy="1714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-452755</wp:posOffset>
            </wp:positionV>
            <wp:extent cx="17145" cy="1714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-419100</wp:posOffset>
            </wp:positionV>
            <wp:extent cx="17145" cy="1714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-384810</wp:posOffset>
            </wp:positionV>
            <wp:extent cx="17145" cy="1714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-351155</wp:posOffset>
            </wp:positionV>
            <wp:extent cx="17145" cy="1714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-316865</wp:posOffset>
            </wp:positionV>
            <wp:extent cx="17145" cy="1714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-283210</wp:posOffset>
            </wp:positionV>
            <wp:extent cx="17145" cy="1714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-248920</wp:posOffset>
            </wp:positionV>
            <wp:extent cx="17145" cy="1714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-215265</wp:posOffset>
            </wp:positionV>
            <wp:extent cx="17145" cy="1714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-180975</wp:posOffset>
            </wp:positionV>
            <wp:extent cx="17145" cy="1714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-147320</wp:posOffset>
            </wp:positionV>
            <wp:extent cx="17145" cy="1714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-113030</wp:posOffset>
            </wp:positionV>
            <wp:extent cx="17145" cy="1714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-79375</wp:posOffset>
            </wp:positionV>
            <wp:extent cx="17145" cy="1714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-45085</wp:posOffset>
            </wp:positionV>
            <wp:extent cx="17145" cy="1714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-11430</wp:posOffset>
            </wp:positionV>
            <wp:extent cx="17145" cy="1714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22225</wp:posOffset>
            </wp:positionV>
            <wp:extent cx="17145" cy="1714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55880</wp:posOffset>
            </wp:positionV>
            <wp:extent cx="17145" cy="1714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30" w:lineRule="exact"/>
        <w:rPr>
          <w:sz w:val="20"/>
          <w:szCs w:val="20"/>
          <w:color w:val="auto"/>
        </w:rPr>
      </w:pPr>
    </w:p>
    <w:p>
      <w:pPr>
        <w:ind w:left="7" w:right="60"/>
        <w:spacing w:after="0" w:line="243"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-236855</wp:posOffset>
            </wp:positionV>
            <wp:extent cx="17145" cy="1714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-202565</wp:posOffset>
            </wp:positionV>
            <wp:extent cx="17145" cy="1714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-168910</wp:posOffset>
            </wp:positionV>
            <wp:extent cx="17145" cy="1714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-134620</wp:posOffset>
            </wp:positionV>
            <wp:extent cx="17145" cy="1714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-100965</wp:posOffset>
            </wp:positionV>
            <wp:extent cx="17145" cy="1714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-66675</wp:posOffset>
            </wp:positionV>
            <wp:extent cx="17145" cy="1714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-33020</wp:posOffset>
            </wp:positionV>
            <wp:extent cx="17145" cy="1714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-262255</wp:posOffset>
            </wp:positionV>
            <wp:extent cx="321881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3218815" cy="8255"/>
                    </a:xfrm>
                    <a:prstGeom prst="rect">
                      <a:avLst/>
                    </a:prstGeom>
                    <a:noFill/>
                  </pic:spPr>
                </pic:pic>
              </a:graphicData>
            </a:graphic>
          </wp:anchor>
        </w:drawing>
      </w:r>
    </w:p>
    <w:p>
      <w:pPr>
        <w:ind w:left="147" w:hanging="147"/>
        <w:spacing w:after="0" w:line="232" w:lineRule="auto"/>
        <w:tabs>
          <w:tab w:leader="none" w:pos="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InnerWorkings, Inc.</w:t>
      </w:r>
    </w:p>
    <w:p>
      <w:pPr>
        <w:ind w:left="147" w:hanging="147"/>
        <w:spacing w:after="0"/>
        <w:tabs>
          <w:tab w:leader="none" w:pos="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Selina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-257810</wp:posOffset>
            </wp:positionV>
            <wp:extent cx="17145" cy="1714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-223520</wp:posOffset>
            </wp:positionV>
            <wp:extent cx="17145" cy="1714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-189865</wp:posOffset>
            </wp:positionV>
            <wp:extent cx="17145" cy="1714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-155575</wp:posOffset>
            </wp:positionV>
            <wp:extent cx="17145" cy="1714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-121920</wp:posOffset>
            </wp:positionV>
            <wp:extent cx="17145" cy="1714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-87630</wp:posOffset>
            </wp:positionV>
            <wp:extent cx="17145" cy="1714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-53975</wp:posOffset>
            </wp:positionV>
            <wp:extent cx="17145" cy="1714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-19685</wp:posOffset>
            </wp:positionV>
            <wp:extent cx="17145" cy="1714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13"/>
            <w:col w:w="4987"/>
          </w:cols>
          <w:pgMar w:left="320" w:top="478" w:right="51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FCFCFC"/>
        </w:rPr>
        <w:t>    7</w:t>
      </w:r>
    </w:p>
    <w:p>
      <w:pPr>
        <w:sectPr>
          <w:pgSz w:w="11900" w:h="16838" w:orient="portrait"/>
          <w:cols w:equalWidth="0" w:num="1">
            <w:col w:w="11060"/>
          </w:cols>
          <w:pgMar w:left="320" w:top="478" w:right="5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920" w:type="dxa"/>
        <w:tblCellMar>
          <w:top w:w="0" w:type="dxa"/>
          <w:left w:w="0" w:type="dxa"/>
          <w:bottom w:w="0" w:type="dxa"/>
          <w:right w:w="0" w:type="dxa"/>
        </w:tblCellMar>
      </w:tblPr>
      <w:tr>
        <w:trPr>
          <w:trHeight w:val="287"/>
        </w:trPr>
        <w:tc>
          <w:tcPr>
            <w:tcW w:w="2360" w:type="dxa"/>
            <w:vAlign w:val="bottom"/>
          </w:tcPr>
          <w:p>
            <w:pPr>
              <w:spacing w:after="0"/>
              <w:rPr>
                <w:sz w:val="20"/>
                <w:szCs w:val="20"/>
                <w:color w:val="auto"/>
              </w:rPr>
            </w:pPr>
            <w:r>
              <w:rPr>
                <w:rFonts w:ascii="Arial" w:cs="Arial" w:eastAsia="Arial" w:hAnsi="Arial"/>
                <w:sz w:val="25"/>
                <w:szCs w:val="25"/>
                <w:b w:val="1"/>
                <w:bCs w:val="1"/>
                <w:color w:val="009BDE"/>
              </w:rPr>
              <w:t>Carla Vernón</w:t>
            </w:r>
          </w:p>
        </w:tc>
        <w:tc>
          <w:tcPr>
            <w:tcW w:w="1040" w:type="dxa"/>
            <w:vAlign w:val="bottom"/>
            <w:vMerge w:val="restart"/>
          </w:tcPr>
          <w:p>
            <w:pPr>
              <w:ind w:left="82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50"/>
        </w:trPr>
        <w:tc>
          <w:tcPr>
            <w:tcW w:w="23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-124460</wp:posOffset>
            </wp:positionV>
            <wp:extent cx="17145" cy="1714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-90805</wp:posOffset>
            </wp:positionV>
            <wp:extent cx="17145" cy="1714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-56515</wp:posOffset>
            </wp:positionV>
            <wp:extent cx="17145" cy="1714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-22860</wp:posOffset>
            </wp:positionV>
            <wp:extent cx="17145" cy="1714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10795</wp:posOffset>
            </wp:positionV>
            <wp:extent cx="17145" cy="1714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44450</wp:posOffset>
            </wp:positionV>
            <wp:extent cx="17145" cy="1714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78740</wp:posOffset>
            </wp:positionV>
            <wp:extent cx="17145" cy="1714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-124460</wp:posOffset>
            </wp:positionV>
            <wp:extent cx="925830" cy="91694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925830" cy="916940"/>
                    </a:xfrm>
                    <a:prstGeom prst="rect">
                      <a:avLst/>
                    </a:prstGeom>
                    <a:noFill/>
                  </pic:spPr>
                </pic:pic>
              </a:graphicData>
            </a:graphic>
          </wp:anchor>
        </w:drawing>
      </w:r>
    </w:p>
    <w:p>
      <w:pPr>
        <w:spacing w:after="0" w:line="120"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-121920</wp:posOffset>
            </wp:positionV>
            <wp:extent cx="17145" cy="1714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-88265</wp:posOffset>
            </wp:positionV>
            <wp:extent cx="17145" cy="1714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-53975</wp:posOffset>
            </wp:positionV>
            <wp:extent cx="17145" cy="1714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-20320</wp:posOffset>
            </wp:positionV>
            <wp:extent cx="17145" cy="1714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13335</wp:posOffset>
            </wp:positionV>
            <wp:extent cx="17145" cy="1714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1"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-130175</wp:posOffset>
            </wp:positionV>
            <wp:extent cx="17145" cy="1714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-96520</wp:posOffset>
            </wp:positionV>
            <wp:extent cx="17145" cy="1714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-62230</wp:posOffset>
            </wp:positionV>
            <wp:extent cx="17145" cy="1714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-28575</wp:posOffset>
            </wp:positionV>
            <wp:extent cx="17145" cy="1714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5080</wp:posOffset>
            </wp:positionV>
            <wp:extent cx="17145" cy="1714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1"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-139065</wp:posOffset>
            </wp:positionV>
            <wp:extent cx="17145" cy="1714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-104775</wp:posOffset>
            </wp:positionV>
            <wp:extent cx="17145" cy="1714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-71120</wp:posOffset>
            </wp:positionV>
            <wp:extent cx="17145" cy="1714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-36830</wp:posOffset>
            </wp:positionV>
            <wp:extent cx="17145" cy="1714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-3175</wp:posOffset>
            </wp:positionV>
            <wp:extent cx="17145" cy="1714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920"/>
        <w:spacing w:after="0" w:line="227" w:lineRule="auto"/>
        <w:rPr>
          <w:sz w:val="20"/>
          <w:szCs w:val="20"/>
          <w:color w:val="auto"/>
        </w:rPr>
      </w:pPr>
      <w:r>
        <w:rPr>
          <w:rFonts w:ascii="Arial" w:cs="Arial" w:eastAsia="Arial" w:hAnsi="Arial"/>
          <w:sz w:val="20"/>
          <w:szCs w:val="20"/>
          <w:color w:val="auto"/>
        </w:rPr>
        <w:t>• Nominating, Governance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-107315</wp:posOffset>
            </wp:positionV>
            <wp:extent cx="17145" cy="1714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-73025</wp:posOffset>
            </wp:positionV>
            <wp:extent cx="17145" cy="1714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-39370</wp:posOffset>
            </wp:positionV>
            <wp:extent cx="17145" cy="1714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-5080</wp:posOffset>
            </wp:positionV>
            <wp:extent cx="17145" cy="1714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20"/>
          <w:szCs w:val="20"/>
          <w:color w:val="auto"/>
        </w:rPr>
        <w:t>Social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-117475</wp:posOffset>
            </wp:positionV>
            <wp:extent cx="17145" cy="1714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-83820</wp:posOffset>
            </wp:positionV>
            <wp:extent cx="17145" cy="1714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-49530</wp:posOffset>
            </wp:positionV>
            <wp:extent cx="17145" cy="1714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-15875</wp:posOffset>
            </wp:positionV>
            <wp:extent cx="17145" cy="1714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17780</wp:posOffset>
            </wp:positionV>
            <wp:extent cx="17145" cy="1714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51435</wp:posOffset>
            </wp:positionV>
            <wp:extent cx="17145" cy="1714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85725</wp:posOffset>
            </wp:positionV>
            <wp:extent cx="17145" cy="336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7145" cy="33655"/>
                    </a:xfrm>
                    <a:prstGeom prst="rect">
                      <a:avLst/>
                    </a:prstGeom>
                    <a:noFill/>
                  </pic:spPr>
                </pic:pic>
              </a:graphicData>
            </a:graphic>
          </wp:anchor>
        </w:drawing>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-85090</wp:posOffset>
            </wp:positionV>
            <wp:extent cx="17145" cy="1714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-50800</wp:posOffset>
            </wp:positionV>
            <wp:extent cx="17145" cy="1714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-17145</wp:posOffset>
            </wp:positionV>
            <wp:extent cx="17145" cy="1714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-127635</wp:posOffset>
            </wp:positionV>
            <wp:extent cx="309118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Carla Vernón is the Chief Executive Officer at The Honest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-108585</wp:posOffset>
            </wp:positionV>
            <wp:extent cx="17145" cy="1714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-74930</wp:posOffset>
            </wp:positionV>
            <wp:extent cx="17145" cy="1714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-40640</wp:posOffset>
            </wp:positionV>
            <wp:extent cx="17145" cy="1714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-6985</wp:posOffset>
            </wp:positionV>
            <wp:extent cx="17145" cy="1714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Inc., serving in that capacity and as a member of its Board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-92075</wp:posOffset>
            </wp:positionV>
            <wp:extent cx="17145" cy="1714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-57785</wp:posOffset>
            </wp:positionV>
            <wp:extent cx="17145" cy="1714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-24130</wp:posOffset>
            </wp:positionV>
            <wp:extent cx="17145" cy="1714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January 2023. Prior to joining The Honest Company, Ms.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-108585</wp:posOffset>
            </wp:positionV>
            <wp:extent cx="17145" cy="1714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-74930</wp:posOffset>
            </wp:positionV>
            <wp:extent cx="17145" cy="1714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-40640</wp:posOffset>
            </wp:positionV>
            <wp:extent cx="17145" cy="1714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-6985</wp:posOffset>
            </wp:positionV>
            <wp:extent cx="17145" cy="1714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served as Vice President of Consumables Categories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-92075</wp:posOffset>
            </wp:positionV>
            <wp:extent cx="17145" cy="1714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-57785</wp:posOffset>
            </wp:positionV>
            <wp:extent cx="17145" cy="1714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-24130</wp:posOffset>
            </wp:positionV>
            <wp:extent cx="17145" cy="1714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Amazon.com, Inc. from January 2017 to December 2022.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-108585</wp:posOffset>
            </wp:positionV>
            <wp:extent cx="17145" cy="1714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-74930</wp:posOffset>
            </wp:positionV>
            <wp:extent cx="17145" cy="1714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-40640</wp:posOffset>
            </wp:positionV>
            <wp:extent cx="17145" cy="1714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-6985</wp:posOffset>
            </wp:positionV>
            <wp:extent cx="17145" cy="1714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joining Amazon, Ms. Vernón spent more than two decades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-92075</wp:posOffset>
            </wp:positionV>
            <wp:extent cx="17145" cy="1714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-57785</wp:posOffset>
            </wp:positionV>
            <wp:extent cx="17145" cy="1714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-24130</wp:posOffset>
            </wp:positionV>
            <wp:extent cx="17145" cy="1714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various P&amp;L leadership roles at General Mills, Inc. Most recently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-108585</wp:posOffset>
            </wp:positionV>
            <wp:extent cx="17145" cy="1714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-74930</wp:posOffset>
            </wp:positionV>
            <wp:extent cx="17145" cy="1714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-40640</wp:posOffset>
            </wp:positionV>
            <wp:extent cx="17145" cy="1714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-6985</wp:posOffset>
            </wp:positionV>
            <wp:extent cx="17145" cy="1714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General Mills, Ms. Vernón served as a Corporate Officer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-92075</wp:posOffset>
            </wp:positionV>
            <wp:extent cx="17145" cy="1714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-57785</wp:posOffset>
            </wp:positionV>
            <wp:extent cx="17145" cy="1714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-24130</wp:posOffset>
            </wp:positionV>
            <wp:extent cx="17145" cy="1714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Operating Unit President of the Natural &amp; Organic Division from July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-108585</wp:posOffset>
            </wp:positionV>
            <wp:extent cx="17145" cy="1714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-74930</wp:posOffset>
            </wp:positionV>
            <wp:extent cx="17145" cy="1714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-40640</wp:posOffset>
            </wp:positionV>
            <wp:extent cx="17145" cy="1714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-6985</wp:posOffset>
            </wp:positionV>
            <wp:extent cx="17145" cy="1714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2017 to April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-92075</wp:posOffset>
            </wp:positionV>
            <wp:extent cx="17145" cy="1714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-57785</wp:posOffset>
            </wp:positionV>
            <wp:extent cx="17145" cy="1714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-24130</wp:posOffset>
            </wp:positionV>
            <wp:extent cx="17145" cy="1714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9525</wp:posOffset>
            </wp:positionV>
            <wp:extent cx="17145" cy="1714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43180</wp:posOffset>
            </wp:positionV>
            <wp:extent cx="17145" cy="1714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77470</wp:posOffset>
            </wp:positionV>
            <wp:extent cx="17145" cy="1714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111125</wp:posOffset>
            </wp:positionV>
            <wp:extent cx="17145" cy="1714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145415</wp:posOffset>
            </wp:positionV>
            <wp:extent cx="17145" cy="336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7145" cy="33655"/>
                    </a:xfrm>
                    <a:prstGeom prst="rect">
                      <a:avLst/>
                    </a:prstGeom>
                    <a:noFill/>
                  </pic:spPr>
                </pic:pic>
              </a:graphicData>
            </a:graphic>
          </wp:anchor>
        </w:drawing>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-101600</wp:posOffset>
            </wp:positionV>
            <wp:extent cx="17145" cy="1714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-67945</wp:posOffset>
            </wp:positionV>
            <wp:extent cx="17145" cy="1714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-33655</wp:posOffset>
            </wp:positionV>
            <wp:extent cx="17145" cy="1714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0</wp:posOffset>
            </wp:positionV>
            <wp:extent cx="17145" cy="1714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-127635</wp:posOffset>
            </wp:positionV>
            <wp:extent cx="309118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 Extensive public company leadership and governance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-92075</wp:posOffset>
            </wp:positionV>
            <wp:extent cx="17145" cy="1714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-57785</wp:posOffset>
            </wp:positionV>
            <wp:extent cx="17145" cy="1714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-24130</wp:posOffset>
            </wp:positionV>
            <wp:extent cx="17145" cy="1714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as Chief Executive Officer of The Honest Company, Inc.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-108585</wp:posOffset>
            </wp:positionV>
            <wp:extent cx="17145" cy="1714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-74930</wp:posOffset>
            </wp:positionV>
            <wp:extent cx="17145" cy="1714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-40640</wp:posOffset>
            </wp:positionV>
            <wp:extent cx="17145" cy="1714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-6985</wp:posOffset>
            </wp:positionV>
            <wp:extent cx="17145" cy="1714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member of its Board since January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-92075</wp:posOffset>
            </wp:positionV>
            <wp:extent cx="17145" cy="1714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-57785</wp:posOffset>
            </wp:positionV>
            <wp:extent cx="17145" cy="1714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-24130</wp:posOffset>
            </wp:positionV>
            <wp:extent cx="17145" cy="1714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 Deep expertise in digital commerce, merchandising and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-108585</wp:posOffset>
            </wp:positionV>
            <wp:extent cx="17145" cy="1714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-74930</wp:posOffset>
            </wp:positionV>
            <wp:extent cx="17145" cy="1714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-40640</wp:posOffset>
            </wp:positionV>
            <wp:extent cx="17145" cy="1714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-6985</wp:posOffset>
            </wp:positionV>
            <wp:extent cx="17145" cy="1714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driven marketing from her leadership role as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-92075</wp:posOffset>
            </wp:positionV>
            <wp:extent cx="17145" cy="1714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-57785</wp:posOffset>
            </wp:positionV>
            <wp:extent cx="17145" cy="1714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-24130</wp:posOffset>
            </wp:positionV>
            <wp:extent cx="17145" cy="1714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Consumables Categories at Amazon.com,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-108585</wp:posOffset>
            </wp:positionV>
            <wp:extent cx="17145" cy="1714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-74930</wp:posOffset>
            </wp:positionV>
            <wp:extent cx="17145" cy="1714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-40640</wp:posOffset>
            </wp:positionV>
            <wp:extent cx="17145" cy="1714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-6985</wp:posOffset>
            </wp:positionV>
            <wp:extent cx="17145" cy="1714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 Significant consumer products and brand-building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-92075</wp:posOffset>
            </wp:positionV>
            <wp:extent cx="17145" cy="1714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-57785</wp:posOffset>
            </wp:positionV>
            <wp:extent cx="17145" cy="1714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-24130</wp:posOffset>
            </wp:positionV>
            <wp:extent cx="17145" cy="1714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developed over more than 20 years at General Mills,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-108585</wp:posOffset>
            </wp:positionV>
            <wp:extent cx="17145" cy="1714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-74930</wp:posOffset>
            </wp:positionV>
            <wp:extent cx="17145" cy="1714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-40640</wp:posOffset>
            </wp:positionV>
            <wp:extent cx="17145" cy="1714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-6985</wp:posOffset>
            </wp:positionV>
            <wp:extent cx="17145" cy="1714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including as Corporate Officer and Operating Unit President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-92075</wp:posOffset>
            </wp:positionV>
            <wp:extent cx="17145" cy="1714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-57785</wp:posOffset>
            </wp:positionV>
            <wp:extent cx="17145" cy="1714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-24130</wp:posOffset>
            </wp:positionV>
            <wp:extent cx="17145" cy="1714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Natural &amp; Organic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-108585</wp:posOffset>
            </wp:positionV>
            <wp:extent cx="17145" cy="1714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-74930</wp:posOffset>
            </wp:positionV>
            <wp:extent cx="17145" cy="1714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-40640</wp:posOffset>
            </wp:positionV>
            <wp:extent cx="17145" cy="1714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-6985</wp:posOffset>
            </wp:positionV>
            <wp:extent cx="17145" cy="1714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 Proven track record driving innovation, omnichannel growth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-92075</wp:posOffset>
            </wp:positionV>
            <wp:extent cx="17145" cy="1714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-57785</wp:posOffset>
            </wp:positionV>
            <wp:extent cx="17145" cy="1714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-24130</wp:posOffset>
            </wp:positionV>
            <wp:extent cx="17145" cy="1714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operational transformation initiatives, supporting Hasbro’s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-108585</wp:posOffset>
            </wp:positionV>
            <wp:extent cx="17145" cy="1714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-74930</wp:posOffset>
            </wp:positionV>
            <wp:extent cx="17145" cy="1714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-40640</wp:posOffset>
            </wp:positionV>
            <wp:extent cx="17145" cy="1714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-6985</wp:posOffset>
            </wp:positionV>
            <wp:extent cx="17145" cy="1714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priorities and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-92075</wp:posOffset>
            </wp:positionV>
            <wp:extent cx="17145" cy="1714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-57785</wp:posOffset>
            </wp:positionV>
            <wp:extent cx="17145" cy="1714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-24130</wp:posOffset>
            </wp:positionV>
            <wp:extent cx="17145" cy="1714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9525</wp:posOffset>
            </wp:positionV>
            <wp:extent cx="17145" cy="1714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43180</wp:posOffset>
            </wp:positionV>
            <wp:extent cx="17145" cy="1714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77470</wp:posOffset>
            </wp:positionV>
            <wp:extent cx="17145" cy="1714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111125</wp:posOffset>
            </wp:positionV>
            <wp:extent cx="17145" cy="1714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145415</wp:posOffset>
            </wp:positionV>
            <wp:extent cx="17145" cy="336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7145" cy="33655"/>
                    </a:xfrm>
                    <a:prstGeom prst="rect">
                      <a:avLst/>
                    </a:prstGeom>
                    <a:noFill/>
                  </pic:spPr>
                </pic:pic>
              </a:graphicData>
            </a:graphic>
          </wp:anchor>
        </w:drawing>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-101600</wp:posOffset>
            </wp:positionV>
            <wp:extent cx="17145" cy="1714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-67945</wp:posOffset>
            </wp:positionV>
            <wp:extent cx="17145" cy="1714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-33655</wp:posOffset>
            </wp:positionV>
            <wp:extent cx="17145" cy="1714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0</wp:posOffset>
            </wp:positionV>
            <wp:extent cx="17145" cy="1714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-127635</wp:posOffset>
            </wp:positionV>
            <wp:extent cx="309118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 The Honest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-92075</wp:posOffset>
            </wp:positionV>
            <wp:extent cx="17145" cy="1714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-57785</wp:posOffset>
            </wp:positionV>
            <wp:extent cx="17145" cy="1714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-24130</wp:posOffset>
            </wp:positionV>
            <wp:extent cx="17145" cy="1714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9525</wp:posOffset>
            </wp:positionV>
            <wp:extent cx="17145" cy="1714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43180</wp:posOffset>
            </wp:positionV>
            <wp:extent cx="17145" cy="1714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77470</wp:posOffset>
            </wp:positionV>
            <wp:extent cx="17145" cy="1714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111125</wp:posOffset>
            </wp:positionV>
            <wp:extent cx="17145" cy="1714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145415</wp:posOffset>
            </wp:positionV>
            <wp:extent cx="17145" cy="336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7145" cy="33655"/>
                    </a:xfrm>
                    <a:prstGeom prst="rect">
                      <a:avLst/>
                    </a:prstGeom>
                    <a:noFill/>
                  </pic:spPr>
                </pic:pic>
              </a:graphicData>
            </a:graphic>
          </wp:anchor>
        </w:drawing>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9BDE"/>
        </w:rPr>
        <w:t>FORMER PUBLIC COMPANY BOARDS HELD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-101600</wp:posOffset>
            </wp:positionV>
            <wp:extent cx="17145" cy="1714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-67945</wp:posOffset>
            </wp:positionV>
            <wp:extent cx="17145" cy="1714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-33655</wp:posOffset>
            </wp:positionV>
            <wp:extent cx="17145" cy="1714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0</wp:posOffset>
            </wp:positionV>
            <wp:extent cx="17145" cy="1714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-127635</wp:posOffset>
            </wp:positionV>
            <wp:extent cx="309118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b w:val="1"/>
          <w:bCs w:val="1"/>
          <w:color w:val="009BDE"/>
        </w:rPr>
        <w:t>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-102235</wp:posOffset>
            </wp:positionV>
            <wp:extent cx="17145" cy="1714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-68580</wp:posOffset>
            </wp:positionV>
            <wp:extent cx="17145" cy="1714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-34290</wp:posOffset>
            </wp:positionV>
            <wp:extent cx="17145" cy="1714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-635</wp:posOffset>
            </wp:positionV>
            <wp:extent cx="17145" cy="1714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332105</wp:posOffset>
            </wp:positionV>
            <wp:extent cx="6964045" cy="39052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6964045" cy="39052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-83185</wp:posOffset>
            </wp:positionV>
            <wp:extent cx="17145" cy="1714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-49530</wp:posOffset>
            </wp:positionV>
            <wp:extent cx="17145" cy="1714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-15240</wp:posOffset>
            </wp:positionV>
            <wp:extent cx="17145" cy="1714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CFCFC"/>
        </w:rPr>
        <w:t>    8</w:t>
      </w:r>
    </w:p>
    <w:p>
      <w:pPr>
        <w:sectPr>
          <w:pgSz w:w="11900" w:h="16838" w:orient="portrait"/>
          <w:cols w:equalWidth="0" w:num="1">
            <w:col w:w="10139"/>
          </w:cols>
          <w:pgMar w:left="320" w:top="47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39941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6929755" cy="399415"/>
                    </a:xfrm>
                    <a:prstGeom prst="rect">
                      <a:avLst/>
                    </a:prstGeom>
                    <a:noFill/>
                  </pic:spPr>
                </pic:pic>
              </a:graphicData>
            </a:graphic>
          </wp:anchor>
        </w:drawing>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Board Committees</w:t>
      </w:r>
    </w:p>
    <w:p>
      <w:pPr>
        <w:spacing w:after="0" w:line="37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Board of Directors has four standing committees:</w:t>
      </w:r>
    </w:p>
    <w:p>
      <w:pPr>
        <w:spacing w:after="0" w:line="150" w:lineRule="exact"/>
        <w:rPr>
          <w:sz w:val="20"/>
          <w:szCs w:val="20"/>
          <w:color w:val="auto"/>
        </w:rPr>
      </w:pPr>
    </w:p>
    <w:p>
      <w:pPr>
        <w:ind w:left="380" w:hanging="213"/>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Audit</w:t>
      </w:r>
    </w:p>
    <w:p>
      <w:pPr>
        <w:spacing w:after="0" w:line="19" w:lineRule="exact"/>
        <w:rPr>
          <w:rFonts w:ascii="Arial" w:cs="Arial" w:eastAsia="Arial" w:hAnsi="Arial"/>
          <w:sz w:val="16"/>
          <w:szCs w:val="16"/>
          <w:color w:val="auto"/>
        </w:rPr>
      </w:pPr>
    </w:p>
    <w:p>
      <w:pPr>
        <w:ind w:left="380" w:hanging="213"/>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Compensation and Talent</w:t>
      </w:r>
    </w:p>
    <w:p>
      <w:pPr>
        <w:spacing w:after="0" w:line="3" w:lineRule="exact"/>
        <w:rPr>
          <w:rFonts w:ascii="Arial" w:cs="Arial" w:eastAsia="Arial" w:hAnsi="Arial"/>
          <w:sz w:val="16"/>
          <w:szCs w:val="16"/>
          <w:color w:val="auto"/>
        </w:rPr>
      </w:pPr>
    </w:p>
    <w:p>
      <w:pPr>
        <w:ind w:left="380" w:hanging="213"/>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Finance and Capital Allocation</w:t>
      </w:r>
    </w:p>
    <w:p>
      <w:pPr>
        <w:spacing w:after="0" w:line="3" w:lineRule="exact"/>
        <w:rPr>
          <w:rFonts w:ascii="Arial" w:cs="Arial" w:eastAsia="Arial" w:hAnsi="Arial"/>
          <w:sz w:val="16"/>
          <w:szCs w:val="16"/>
          <w:color w:val="auto"/>
        </w:rPr>
      </w:pPr>
    </w:p>
    <w:p>
      <w:pPr>
        <w:ind w:left="380" w:hanging="213"/>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Nominating, Governance and Social Responsibility</w:t>
      </w:r>
    </w:p>
    <w:p>
      <w:pPr>
        <w:spacing w:after="0" w:line="134"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The members of each of our required committees, namely Audit, Compensation and Talent, and Nominating, Governance and Social Responsibility, are all independent directors, as defined by the rules of The NASDAQ Stock Market (“Nasdaq”) and our Standards for Director Independence (“Independence Standards”). Additionally, all members of our Audit Committee meet the additional SEC and Nasdaq independence and experience requirements applicable specifically to audit committee members, and all members of our Compensation and Talent Committee satisfy the additional Nasdaq independence requirements specifically applicable to compensation committee members. The Chair of each committee regularly reports to the</w:t>
      </w:r>
    </w:p>
    <w:p>
      <w:pPr>
        <w:spacing w:after="0" w:line="2" w:lineRule="exact"/>
        <w:rPr>
          <w:sz w:val="20"/>
          <w:szCs w:val="20"/>
          <w:color w:val="auto"/>
        </w:rPr>
      </w:pPr>
    </w:p>
    <w:p>
      <w:pPr>
        <w:ind w:left="160" w:right="980"/>
        <w:spacing w:after="0" w:line="258" w:lineRule="auto"/>
        <w:rPr>
          <w:sz w:val="20"/>
          <w:szCs w:val="20"/>
          <w:color w:val="auto"/>
        </w:rPr>
      </w:pPr>
      <w:r>
        <w:rPr>
          <w:rFonts w:ascii="Arial" w:cs="Arial" w:eastAsia="Arial" w:hAnsi="Arial"/>
          <w:sz w:val="16"/>
          <w:szCs w:val="16"/>
          <w:color w:val="auto"/>
        </w:rPr>
        <w:t>Board of Directors on committee deliberations and decisions. Each committee’s charter is posted on our website at https://hasbro.gcs-web.com/corporate-governance. The contents of our website are not incorporated by reference into this Proxy Statement.</w:t>
      </w:r>
    </w:p>
    <w:p>
      <w:pPr>
        <w:spacing w:after="0" w:line="110"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color w:val="auto"/>
        </w:rPr>
        <w:t>The principal functions of each committee, together with the committee composition as of April 13, 2026, and number of meetings held in 2025, are set forth in the table below.</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1780" w:type="dxa"/>
            <w:vAlign w:val="bottom"/>
            <w:shd w:val="clear" w:color="auto" w:fill="CCEBF8"/>
          </w:tcPr>
          <w:p>
            <w:pPr>
              <w:spacing w:after="0"/>
              <w:rPr>
                <w:sz w:val="20"/>
                <w:szCs w:val="20"/>
                <w:color w:val="auto"/>
              </w:rPr>
            </w:pPr>
          </w:p>
        </w:tc>
        <w:tc>
          <w:tcPr>
            <w:tcW w:w="5400" w:type="dxa"/>
            <w:vAlign w:val="bottom"/>
            <w:shd w:val="clear" w:color="auto" w:fill="CCEBF8"/>
          </w:tcPr>
          <w:p>
            <w:pPr>
              <w:spacing w:after="0"/>
              <w:rPr>
                <w:sz w:val="20"/>
                <w:szCs w:val="20"/>
                <w:color w:val="auto"/>
              </w:rPr>
            </w:pPr>
          </w:p>
        </w:tc>
        <w:tc>
          <w:tcPr>
            <w:tcW w:w="88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Number</w:t>
            </w:r>
          </w:p>
        </w:tc>
        <w:tc>
          <w:tcPr>
            <w:tcW w:w="2860" w:type="dxa"/>
            <w:vAlign w:val="bottom"/>
            <w:shd w:val="clear" w:color="auto" w:fill="CCEBF8"/>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CCEBF8"/>
          </w:tcPr>
          <w:p>
            <w:pPr>
              <w:spacing w:after="0"/>
              <w:rPr>
                <w:sz w:val="16"/>
                <w:szCs w:val="16"/>
                <w:color w:val="auto"/>
              </w:rPr>
            </w:pPr>
          </w:p>
        </w:tc>
        <w:tc>
          <w:tcPr>
            <w:tcW w:w="5400" w:type="dxa"/>
            <w:vAlign w:val="bottom"/>
            <w:shd w:val="clear" w:color="auto" w:fill="CCEBF8"/>
          </w:tcPr>
          <w:p>
            <w:pPr>
              <w:spacing w:after="0"/>
              <w:rPr>
                <w:sz w:val="16"/>
                <w:szCs w:val="16"/>
                <w:color w:val="auto"/>
              </w:rPr>
            </w:pPr>
          </w:p>
        </w:tc>
        <w:tc>
          <w:tcPr>
            <w:tcW w:w="88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of</w:t>
            </w:r>
          </w:p>
        </w:tc>
        <w:tc>
          <w:tcPr>
            <w:tcW w:w="2860" w:type="dxa"/>
            <w:vAlign w:val="bottom"/>
            <w:shd w:val="clear" w:color="auto" w:fill="CCEBF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CCEBF8"/>
          </w:tcPr>
          <w:p>
            <w:pPr>
              <w:spacing w:after="0"/>
              <w:rPr>
                <w:sz w:val="16"/>
                <w:szCs w:val="16"/>
                <w:color w:val="auto"/>
              </w:rPr>
            </w:pPr>
          </w:p>
        </w:tc>
        <w:tc>
          <w:tcPr>
            <w:tcW w:w="5400" w:type="dxa"/>
            <w:vAlign w:val="bottom"/>
            <w:shd w:val="clear" w:color="auto" w:fill="CCEBF8"/>
          </w:tcPr>
          <w:p>
            <w:pPr>
              <w:spacing w:after="0"/>
              <w:rPr>
                <w:sz w:val="16"/>
                <w:szCs w:val="16"/>
                <w:color w:val="auto"/>
              </w:rPr>
            </w:pPr>
          </w:p>
        </w:tc>
        <w:tc>
          <w:tcPr>
            <w:tcW w:w="88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Meetings</w:t>
            </w:r>
          </w:p>
        </w:tc>
        <w:tc>
          <w:tcPr>
            <w:tcW w:w="2860" w:type="dxa"/>
            <w:vAlign w:val="bottom"/>
            <w:shd w:val="clear" w:color="auto" w:fill="CCEBF8"/>
          </w:tcPr>
          <w:p>
            <w:pPr>
              <w:jc w:val="center"/>
              <w:ind w:left="20"/>
              <w:spacing w:after="0"/>
              <w:rPr>
                <w:sz w:val="20"/>
                <w:szCs w:val="20"/>
                <w:color w:val="auto"/>
              </w:rPr>
            </w:pPr>
            <w:r>
              <w:rPr>
                <w:rFonts w:ascii="Arial" w:cs="Arial" w:eastAsia="Arial" w:hAnsi="Arial"/>
                <w:sz w:val="16"/>
                <w:szCs w:val="16"/>
                <w:b w:val="1"/>
                <w:bCs w:val="1"/>
                <w:color w:val="009BDE"/>
              </w:rPr>
              <w:t>Committee</w:t>
            </w:r>
          </w:p>
        </w:tc>
        <w:tc>
          <w:tcPr>
            <w:tcW w:w="0" w:type="dxa"/>
            <w:vAlign w:val="bottom"/>
          </w:tcPr>
          <w:p>
            <w:pPr>
              <w:spacing w:after="0"/>
              <w:rPr>
                <w:sz w:val="1"/>
                <w:szCs w:val="1"/>
                <w:color w:val="auto"/>
              </w:rPr>
            </w:pPr>
          </w:p>
        </w:tc>
      </w:tr>
      <w:tr>
        <w:trPr>
          <w:trHeight w:val="221"/>
        </w:trPr>
        <w:tc>
          <w:tcPr>
            <w:tcW w:w="178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Committee</w:t>
            </w:r>
          </w:p>
        </w:tc>
        <w:tc>
          <w:tcPr>
            <w:tcW w:w="5400" w:type="dxa"/>
            <w:vAlign w:val="bottom"/>
            <w:shd w:val="clear" w:color="auto" w:fill="CCEBF8"/>
          </w:tcPr>
          <w:p>
            <w:pPr>
              <w:ind w:left="2080"/>
              <w:spacing w:after="0"/>
              <w:rPr>
                <w:sz w:val="20"/>
                <w:szCs w:val="20"/>
                <w:color w:val="auto"/>
              </w:rPr>
            </w:pPr>
            <w:r>
              <w:rPr>
                <w:rFonts w:ascii="Arial" w:cs="Arial" w:eastAsia="Arial" w:hAnsi="Arial"/>
                <w:sz w:val="16"/>
                <w:szCs w:val="16"/>
                <w:b w:val="1"/>
                <w:bCs w:val="1"/>
                <w:color w:val="009BDE"/>
              </w:rPr>
              <w:t>Principal Function</w:t>
            </w:r>
          </w:p>
        </w:tc>
        <w:tc>
          <w:tcPr>
            <w:tcW w:w="88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in 2025</w:t>
            </w:r>
          </w:p>
        </w:tc>
        <w:tc>
          <w:tcPr>
            <w:tcW w:w="2860" w:type="dxa"/>
            <w:vAlign w:val="bottom"/>
            <w:shd w:val="clear" w:color="auto" w:fill="CCEBF8"/>
          </w:tcPr>
          <w:p>
            <w:pPr>
              <w:jc w:val="center"/>
              <w:ind w:left="40"/>
              <w:spacing w:after="0"/>
              <w:rPr>
                <w:sz w:val="20"/>
                <w:szCs w:val="20"/>
                <w:color w:val="auto"/>
              </w:rPr>
            </w:pPr>
            <w:r>
              <w:rPr>
                <w:rFonts w:ascii="Arial" w:cs="Arial" w:eastAsia="Arial" w:hAnsi="Arial"/>
                <w:sz w:val="16"/>
                <w:szCs w:val="16"/>
                <w:b w:val="1"/>
                <w:bCs w:val="1"/>
                <w:color w:val="009BDE"/>
                <w:w w:val="99"/>
              </w:rPr>
              <w:t>Members</w:t>
            </w:r>
          </w:p>
        </w:tc>
        <w:tc>
          <w:tcPr>
            <w:tcW w:w="0" w:type="dxa"/>
            <w:vAlign w:val="bottom"/>
          </w:tcPr>
          <w:p>
            <w:pPr>
              <w:spacing w:after="0"/>
              <w:rPr>
                <w:sz w:val="1"/>
                <w:szCs w:val="1"/>
                <w:color w:val="auto"/>
              </w:rPr>
            </w:pPr>
          </w:p>
        </w:tc>
      </w:tr>
      <w:tr>
        <w:trPr>
          <w:trHeight w:val="114"/>
        </w:trPr>
        <w:tc>
          <w:tcPr>
            <w:tcW w:w="1780" w:type="dxa"/>
            <w:vAlign w:val="bottom"/>
            <w:tcBorders>
              <w:bottom w:val="single" w:sz="8" w:color="009BDE"/>
            </w:tcBorders>
            <w:shd w:val="clear" w:color="auto" w:fill="CCEBF8"/>
          </w:tcPr>
          <w:p>
            <w:pPr>
              <w:spacing w:after="0"/>
              <w:rPr>
                <w:sz w:val="9"/>
                <w:szCs w:val="9"/>
                <w:color w:val="auto"/>
              </w:rPr>
            </w:pPr>
          </w:p>
        </w:tc>
        <w:tc>
          <w:tcPr>
            <w:tcW w:w="5400" w:type="dxa"/>
            <w:vAlign w:val="bottom"/>
            <w:tcBorders>
              <w:bottom w:val="single" w:sz="8" w:color="009BDE"/>
            </w:tcBorders>
            <w:shd w:val="clear" w:color="auto" w:fill="CCEBF8"/>
          </w:tcPr>
          <w:p>
            <w:pPr>
              <w:spacing w:after="0"/>
              <w:rPr>
                <w:sz w:val="9"/>
                <w:szCs w:val="9"/>
                <w:color w:val="auto"/>
              </w:rPr>
            </w:pPr>
          </w:p>
        </w:tc>
        <w:tc>
          <w:tcPr>
            <w:tcW w:w="880" w:type="dxa"/>
            <w:vAlign w:val="bottom"/>
            <w:tcBorders>
              <w:bottom w:val="single" w:sz="8" w:color="009BDE"/>
            </w:tcBorders>
            <w:shd w:val="clear" w:color="auto" w:fill="CCEBF8"/>
          </w:tcPr>
          <w:p>
            <w:pPr>
              <w:spacing w:after="0"/>
              <w:rPr>
                <w:sz w:val="9"/>
                <w:szCs w:val="9"/>
                <w:color w:val="auto"/>
              </w:rPr>
            </w:pPr>
          </w:p>
        </w:tc>
        <w:tc>
          <w:tcPr>
            <w:tcW w:w="2860" w:type="dxa"/>
            <w:vAlign w:val="bottom"/>
            <w:tcBorders>
              <w:bottom w:val="single" w:sz="8" w:color="009BDE"/>
            </w:tcBorders>
            <w:shd w:val="clear" w:color="auto" w:fill="CCEBF8"/>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1780" w:type="dxa"/>
            <w:vAlign w:val="bottom"/>
          </w:tcPr>
          <w:p>
            <w:pPr>
              <w:ind w:left="80"/>
              <w:spacing w:after="0"/>
              <w:rPr>
                <w:sz w:val="20"/>
                <w:szCs w:val="20"/>
                <w:color w:val="auto"/>
              </w:rPr>
            </w:pPr>
            <w:r>
              <w:rPr>
                <w:rFonts w:ascii="Arial" w:cs="Arial" w:eastAsia="Arial" w:hAnsi="Arial"/>
                <w:sz w:val="16"/>
                <w:szCs w:val="16"/>
                <w:color w:val="auto"/>
              </w:rPr>
              <w:t>Audit</w:t>
            </w:r>
          </w:p>
        </w:tc>
        <w:tc>
          <w:tcPr>
            <w:tcW w:w="5400" w:type="dxa"/>
            <w:vAlign w:val="bottom"/>
          </w:tcPr>
          <w:p>
            <w:pPr>
              <w:ind w:left="220"/>
              <w:spacing w:after="0"/>
              <w:rPr>
                <w:sz w:val="20"/>
                <w:szCs w:val="20"/>
                <w:color w:val="auto"/>
              </w:rPr>
            </w:pPr>
            <w:r>
              <w:rPr>
                <w:rFonts w:ascii="Arial" w:cs="Arial" w:eastAsia="Arial" w:hAnsi="Arial"/>
                <w:sz w:val="14"/>
                <w:szCs w:val="14"/>
                <w:color w:val="auto"/>
              </w:rPr>
              <w:t>• Directly responsible for the appointment, compensation, retention and oversight</w:t>
            </w:r>
          </w:p>
        </w:tc>
        <w:tc>
          <w:tcPr>
            <w:tcW w:w="880" w:type="dxa"/>
            <w:vAlign w:val="bottom"/>
          </w:tcPr>
          <w:p>
            <w:pPr>
              <w:jc w:val="center"/>
              <w:spacing w:after="0"/>
              <w:rPr>
                <w:sz w:val="20"/>
                <w:szCs w:val="20"/>
                <w:color w:val="auto"/>
              </w:rPr>
            </w:pPr>
            <w:r>
              <w:rPr>
                <w:rFonts w:ascii="Arial" w:cs="Arial" w:eastAsia="Arial" w:hAnsi="Arial"/>
                <w:sz w:val="16"/>
                <w:szCs w:val="16"/>
                <w:color w:val="auto"/>
              </w:rPr>
              <w:t>12</w:t>
            </w:r>
          </w:p>
        </w:tc>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Hope F. Cochran (Chair)</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00" w:type="dxa"/>
            <w:vAlign w:val="bottom"/>
          </w:tcPr>
          <w:p>
            <w:pPr>
              <w:ind w:left="340"/>
              <w:spacing w:after="0"/>
              <w:rPr>
                <w:sz w:val="20"/>
                <w:szCs w:val="20"/>
                <w:color w:val="auto"/>
              </w:rPr>
            </w:pPr>
            <w:r>
              <w:rPr>
                <w:rFonts w:ascii="Arial" w:cs="Arial" w:eastAsia="Arial" w:hAnsi="Arial"/>
                <w:sz w:val="14"/>
                <w:szCs w:val="14"/>
                <w:color w:val="auto"/>
              </w:rPr>
              <w:t>of the Company’s independent auditor.</w:t>
            </w:r>
          </w:p>
        </w:tc>
        <w:tc>
          <w:tcPr>
            <w:tcW w:w="880" w:type="dxa"/>
            <w:vAlign w:val="bottom"/>
          </w:tcPr>
          <w:p>
            <w:pPr>
              <w:spacing w:after="0"/>
              <w:rPr>
                <w:sz w:val="16"/>
                <w:szCs w:val="16"/>
                <w:color w:val="auto"/>
              </w:rPr>
            </w:pPr>
          </w:p>
        </w:tc>
        <w:tc>
          <w:tcPr>
            <w:tcW w:w="2860" w:type="dxa"/>
            <w:vAlign w:val="bottom"/>
            <w:vMerge w:val="restart"/>
          </w:tcPr>
          <w:p>
            <w:pPr>
              <w:ind w:left="100"/>
              <w:spacing w:after="0"/>
              <w:rPr>
                <w:sz w:val="20"/>
                <w:szCs w:val="20"/>
                <w:color w:val="auto"/>
              </w:rPr>
            </w:pPr>
            <w:r>
              <w:rPr>
                <w:rFonts w:ascii="Arial" w:cs="Arial" w:eastAsia="Arial" w:hAnsi="Arial"/>
                <w:sz w:val="16"/>
                <w:szCs w:val="16"/>
                <w:color w:val="auto"/>
              </w:rPr>
              <w:t>Doug Bowser†</w:t>
            </w:r>
          </w:p>
        </w:tc>
        <w:tc>
          <w:tcPr>
            <w:tcW w:w="0" w:type="dxa"/>
            <w:vAlign w:val="bottom"/>
          </w:tcPr>
          <w:p>
            <w:pPr>
              <w:spacing w:after="0"/>
              <w:rPr>
                <w:sz w:val="1"/>
                <w:szCs w:val="1"/>
                <w:color w:val="auto"/>
              </w:rPr>
            </w:pPr>
          </w:p>
        </w:tc>
      </w:tr>
      <w:tr>
        <w:trPr>
          <w:trHeight w:val="164"/>
        </w:trPr>
        <w:tc>
          <w:tcPr>
            <w:tcW w:w="1780" w:type="dxa"/>
            <w:vAlign w:val="bottom"/>
          </w:tcPr>
          <w:p>
            <w:pPr>
              <w:spacing w:after="0"/>
              <w:rPr>
                <w:sz w:val="14"/>
                <w:szCs w:val="14"/>
                <w:color w:val="auto"/>
              </w:rPr>
            </w:pPr>
          </w:p>
        </w:tc>
        <w:tc>
          <w:tcPr>
            <w:tcW w:w="5400" w:type="dxa"/>
            <w:vAlign w:val="bottom"/>
            <w:vMerge w:val="restart"/>
          </w:tcPr>
          <w:p>
            <w:pPr>
              <w:ind w:left="220"/>
              <w:spacing w:after="0"/>
              <w:rPr>
                <w:sz w:val="20"/>
                <w:szCs w:val="20"/>
                <w:color w:val="auto"/>
              </w:rPr>
            </w:pPr>
            <w:r>
              <w:rPr>
                <w:rFonts w:ascii="Arial" w:cs="Arial" w:eastAsia="Arial" w:hAnsi="Arial"/>
                <w:sz w:val="14"/>
                <w:szCs w:val="14"/>
                <w:color w:val="auto"/>
              </w:rPr>
              <w:t>• Assists the Board in its oversight of:</w:t>
            </w:r>
          </w:p>
        </w:tc>
        <w:tc>
          <w:tcPr>
            <w:tcW w:w="880" w:type="dxa"/>
            <w:vAlign w:val="bottom"/>
          </w:tcPr>
          <w:p>
            <w:pPr>
              <w:spacing w:after="0"/>
              <w:rPr>
                <w:sz w:val="14"/>
                <w:szCs w:val="14"/>
                <w:color w:val="auto"/>
              </w:rPr>
            </w:pPr>
          </w:p>
        </w:tc>
        <w:tc>
          <w:tcPr>
            <w:tcW w:w="2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780" w:type="dxa"/>
            <w:vAlign w:val="bottom"/>
          </w:tcPr>
          <w:p>
            <w:pPr>
              <w:spacing w:after="0"/>
              <w:rPr>
                <w:sz w:val="9"/>
                <w:szCs w:val="9"/>
                <w:color w:val="auto"/>
              </w:rPr>
            </w:pPr>
          </w:p>
        </w:tc>
        <w:tc>
          <w:tcPr>
            <w:tcW w:w="54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320" w:top="478" w:right="499" w:bottom="1440" w:gutter="0" w:footer="0" w:header="0"/>
        </w:sectPr>
      </w:pPr>
    </w:p>
    <w:p>
      <w:pPr>
        <w:spacing w:after="0" w:line="95" w:lineRule="exact"/>
        <w:rPr>
          <w:sz w:val="20"/>
          <w:szCs w:val="20"/>
          <w:color w:val="auto"/>
        </w:rPr>
      </w:pPr>
    </w:p>
    <w:p>
      <w:pPr>
        <w:ind w:left="2440" w:right="360" w:hanging="137"/>
        <w:spacing w:after="0" w:line="249" w:lineRule="auto"/>
        <w:tabs>
          <w:tab w:leader="none" w:pos="2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integrity of the Company’s financial statements, including management’s conduct of the Company’s financial reporting process, the financial reports provided by the Company, the Company’s systems of internal accounting and financial controls, and the quarterly review and annual independent audit of the Company’s financial statements;</w:t>
      </w:r>
    </w:p>
    <w:p>
      <w:pPr>
        <w:spacing w:after="0" w:line="87" w:lineRule="exact"/>
        <w:rPr>
          <w:rFonts w:ascii="Arial" w:cs="Arial" w:eastAsia="Arial" w:hAnsi="Arial"/>
          <w:sz w:val="14"/>
          <w:szCs w:val="14"/>
          <w:color w:val="auto"/>
        </w:rPr>
      </w:pPr>
    </w:p>
    <w:p>
      <w:pPr>
        <w:ind w:left="2440" w:hanging="137"/>
        <w:spacing w:after="0"/>
        <w:tabs>
          <w:tab w:leader="none" w:pos="2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Company’s compliance with legal and regulatory requirements;</w:t>
      </w:r>
    </w:p>
    <w:p>
      <w:pPr>
        <w:spacing w:after="0" w:line="119" w:lineRule="exact"/>
        <w:rPr>
          <w:rFonts w:ascii="Arial" w:cs="Arial" w:eastAsia="Arial" w:hAnsi="Arial"/>
          <w:sz w:val="14"/>
          <w:szCs w:val="14"/>
          <w:color w:val="auto"/>
        </w:rPr>
      </w:pPr>
    </w:p>
    <w:p>
      <w:pPr>
        <w:ind w:left="2440" w:right="640" w:hanging="137"/>
        <w:spacing w:after="0" w:line="260" w:lineRule="auto"/>
        <w:tabs>
          <w:tab w:leader="none" w:pos="2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review and understanding of developing public disclosure requirements, such as those in relating to climate change and sustainability and cybersecurity matters;</w:t>
      </w:r>
    </w:p>
    <w:p>
      <w:pPr>
        <w:spacing w:after="0" w:line="78" w:lineRule="exact"/>
        <w:rPr>
          <w:rFonts w:ascii="Arial" w:cs="Arial" w:eastAsia="Arial" w:hAnsi="Arial"/>
          <w:sz w:val="14"/>
          <w:szCs w:val="14"/>
          <w:color w:val="auto"/>
        </w:rPr>
      </w:pPr>
    </w:p>
    <w:p>
      <w:pPr>
        <w:ind w:left="2440" w:right="540" w:hanging="137"/>
        <w:spacing w:after="0" w:line="281" w:lineRule="auto"/>
        <w:tabs>
          <w:tab w:leader="none" w:pos="2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Company’s programs, governance, systems, controls and procedures relating to cybersecurity, data privacy and data protection;</w:t>
      </w:r>
    </w:p>
    <w:p>
      <w:pPr>
        <w:spacing w:after="0" w:line="64" w:lineRule="exact"/>
        <w:rPr>
          <w:rFonts w:ascii="Arial" w:cs="Arial" w:eastAsia="Arial" w:hAnsi="Arial"/>
          <w:sz w:val="14"/>
          <w:szCs w:val="14"/>
          <w:color w:val="auto"/>
        </w:rPr>
      </w:pPr>
    </w:p>
    <w:p>
      <w:pPr>
        <w:ind w:left="2440" w:hanging="137"/>
        <w:spacing w:after="0"/>
        <w:tabs>
          <w:tab w:leader="none" w:pos="2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independent auditor’s qualifications and independence; and</w:t>
      </w:r>
    </w:p>
    <w:p>
      <w:pPr>
        <w:spacing w:after="0" w:line="119" w:lineRule="exact"/>
        <w:rPr>
          <w:rFonts w:ascii="Arial" w:cs="Arial" w:eastAsia="Arial" w:hAnsi="Arial"/>
          <w:sz w:val="14"/>
          <w:szCs w:val="14"/>
          <w:color w:val="auto"/>
        </w:rPr>
      </w:pPr>
    </w:p>
    <w:p>
      <w:pPr>
        <w:ind w:left="2440" w:hanging="137"/>
        <w:spacing w:after="0"/>
        <w:tabs>
          <w:tab w:leader="none" w:pos="2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performance of the Company’s internal audit function and internal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73660</wp:posOffset>
            </wp:positionV>
            <wp:extent cx="692975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328295</wp:posOffset>
            </wp:positionV>
            <wp:extent cx="6964045" cy="39052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Owen Mahoney†</w:t>
      </w:r>
    </w:p>
    <w:p>
      <w:pPr>
        <w:spacing w:after="0" w:line="112" w:lineRule="exact"/>
        <w:rPr>
          <w:sz w:val="20"/>
          <w:szCs w:val="20"/>
          <w:color w:val="auto"/>
        </w:rPr>
      </w:pPr>
    </w:p>
    <w:p>
      <w:pPr>
        <w:ind w:left="300" w:right="20" w:hanging="142"/>
        <w:spacing w:after="0" w:line="253" w:lineRule="auto"/>
        <w:rPr>
          <w:sz w:val="20"/>
          <w:szCs w:val="20"/>
          <w:color w:val="auto"/>
        </w:rPr>
      </w:pPr>
      <w:r>
        <w:rPr>
          <w:rFonts w:ascii="Arial" w:cs="Arial" w:eastAsia="Arial" w:hAnsi="Arial"/>
          <w:sz w:val="14"/>
          <w:szCs w:val="14"/>
          <w:color w:val="auto"/>
        </w:rPr>
        <w:t>†  The Board determined that this person qualifies as an Audit Committee Financial Expert under applicable SEC rules</w:t>
      </w:r>
    </w:p>
    <w:p>
      <w:pPr>
        <w:spacing w:after="0" w:line="2009" w:lineRule="exact"/>
        <w:rPr>
          <w:sz w:val="20"/>
          <w:szCs w:val="20"/>
          <w:color w:val="auto"/>
        </w:rPr>
      </w:pPr>
    </w:p>
    <w:p>
      <w:pPr>
        <w:sectPr>
          <w:pgSz w:w="11900" w:h="16838" w:orient="portrait"/>
          <w:cols w:equalWidth="0" w:num="2">
            <w:col w:w="7600" w:space="720"/>
            <w:col w:w="2760"/>
          </w:cols>
          <w:pgMar w:left="320" w:top="478" w:right="49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FCFCFC"/>
        </w:rPr>
        <w:t>    9</w:t>
      </w:r>
    </w:p>
    <w:p>
      <w:pPr>
        <w:sectPr>
          <w:pgSz w:w="11900" w:h="16838" w:orient="portrait"/>
          <w:cols w:equalWidth="0" w:num="1">
            <w:col w:w="11080"/>
          </w:cols>
          <w:pgMar w:left="320" w:top="478" w:right="4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37"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1780" w:type="dxa"/>
            <w:vAlign w:val="bottom"/>
            <w:shd w:val="clear" w:color="auto" w:fill="CCEBF8"/>
          </w:tcPr>
          <w:p>
            <w:pPr>
              <w:spacing w:after="0"/>
              <w:rPr>
                <w:sz w:val="20"/>
                <w:szCs w:val="20"/>
                <w:color w:val="auto"/>
              </w:rPr>
            </w:pPr>
          </w:p>
        </w:tc>
        <w:tc>
          <w:tcPr>
            <w:tcW w:w="5440" w:type="dxa"/>
            <w:vAlign w:val="bottom"/>
            <w:shd w:val="clear" w:color="auto" w:fill="CCEBF8"/>
          </w:tcPr>
          <w:p>
            <w:pPr>
              <w:spacing w:after="0"/>
              <w:rPr>
                <w:sz w:val="20"/>
                <w:szCs w:val="20"/>
                <w:color w:val="auto"/>
              </w:rPr>
            </w:pPr>
          </w:p>
        </w:tc>
        <w:tc>
          <w:tcPr>
            <w:tcW w:w="88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Number</w:t>
            </w:r>
          </w:p>
        </w:tc>
        <w:tc>
          <w:tcPr>
            <w:tcW w:w="2820" w:type="dxa"/>
            <w:vAlign w:val="bottom"/>
            <w:shd w:val="clear" w:color="auto" w:fill="CCEBF8"/>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CCEBF8"/>
          </w:tcPr>
          <w:p>
            <w:pPr>
              <w:spacing w:after="0"/>
              <w:rPr>
                <w:sz w:val="16"/>
                <w:szCs w:val="16"/>
                <w:color w:val="auto"/>
              </w:rPr>
            </w:pPr>
          </w:p>
        </w:tc>
        <w:tc>
          <w:tcPr>
            <w:tcW w:w="5440" w:type="dxa"/>
            <w:vAlign w:val="bottom"/>
            <w:shd w:val="clear" w:color="auto" w:fill="CCEBF8"/>
          </w:tcPr>
          <w:p>
            <w:pPr>
              <w:spacing w:after="0"/>
              <w:rPr>
                <w:sz w:val="16"/>
                <w:szCs w:val="16"/>
                <w:color w:val="auto"/>
              </w:rPr>
            </w:pPr>
          </w:p>
        </w:tc>
        <w:tc>
          <w:tcPr>
            <w:tcW w:w="88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of</w:t>
            </w:r>
          </w:p>
        </w:tc>
        <w:tc>
          <w:tcPr>
            <w:tcW w:w="2820" w:type="dxa"/>
            <w:vAlign w:val="bottom"/>
            <w:shd w:val="clear" w:color="auto" w:fill="CCEBF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CCEBF8"/>
          </w:tcPr>
          <w:p>
            <w:pPr>
              <w:spacing w:after="0"/>
              <w:rPr>
                <w:sz w:val="16"/>
                <w:szCs w:val="16"/>
                <w:color w:val="auto"/>
              </w:rPr>
            </w:pPr>
          </w:p>
        </w:tc>
        <w:tc>
          <w:tcPr>
            <w:tcW w:w="5440" w:type="dxa"/>
            <w:vAlign w:val="bottom"/>
            <w:shd w:val="clear" w:color="auto" w:fill="CCEBF8"/>
          </w:tcPr>
          <w:p>
            <w:pPr>
              <w:spacing w:after="0"/>
              <w:rPr>
                <w:sz w:val="16"/>
                <w:szCs w:val="16"/>
                <w:color w:val="auto"/>
              </w:rPr>
            </w:pPr>
          </w:p>
        </w:tc>
        <w:tc>
          <w:tcPr>
            <w:tcW w:w="88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Meetings</w:t>
            </w:r>
          </w:p>
        </w:tc>
        <w:tc>
          <w:tcPr>
            <w:tcW w:w="2820" w:type="dxa"/>
            <w:vAlign w:val="bottom"/>
            <w:shd w:val="clear" w:color="auto" w:fill="CCEBF8"/>
          </w:tcPr>
          <w:p>
            <w:pPr>
              <w:ind w:left="1040"/>
              <w:spacing w:after="0"/>
              <w:rPr>
                <w:sz w:val="20"/>
                <w:szCs w:val="20"/>
                <w:color w:val="auto"/>
              </w:rPr>
            </w:pPr>
            <w:r>
              <w:rPr>
                <w:rFonts w:ascii="Arial" w:cs="Arial" w:eastAsia="Arial" w:hAnsi="Arial"/>
                <w:sz w:val="16"/>
                <w:szCs w:val="16"/>
                <w:b w:val="1"/>
                <w:bCs w:val="1"/>
                <w:color w:val="009BDE"/>
              </w:rPr>
              <w:t>Committee</w:t>
            </w:r>
          </w:p>
        </w:tc>
        <w:tc>
          <w:tcPr>
            <w:tcW w:w="0" w:type="dxa"/>
            <w:vAlign w:val="bottom"/>
          </w:tcPr>
          <w:p>
            <w:pPr>
              <w:spacing w:after="0"/>
              <w:rPr>
                <w:sz w:val="1"/>
                <w:szCs w:val="1"/>
                <w:color w:val="auto"/>
              </w:rPr>
            </w:pPr>
          </w:p>
        </w:tc>
      </w:tr>
      <w:tr>
        <w:trPr>
          <w:trHeight w:val="221"/>
        </w:trPr>
        <w:tc>
          <w:tcPr>
            <w:tcW w:w="178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Committee</w:t>
            </w:r>
          </w:p>
        </w:tc>
        <w:tc>
          <w:tcPr>
            <w:tcW w:w="5440" w:type="dxa"/>
            <w:vAlign w:val="bottom"/>
            <w:shd w:val="clear" w:color="auto" w:fill="CCEBF8"/>
          </w:tcPr>
          <w:p>
            <w:pPr>
              <w:ind w:left="2100"/>
              <w:spacing w:after="0"/>
              <w:rPr>
                <w:sz w:val="20"/>
                <w:szCs w:val="20"/>
                <w:color w:val="auto"/>
              </w:rPr>
            </w:pPr>
            <w:r>
              <w:rPr>
                <w:rFonts w:ascii="Arial" w:cs="Arial" w:eastAsia="Arial" w:hAnsi="Arial"/>
                <w:sz w:val="16"/>
                <w:szCs w:val="16"/>
                <w:b w:val="1"/>
                <w:bCs w:val="1"/>
                <w:color w:val="009BDE"/>
              </w:rPr>
              <w:t>Principal Function</w:t>
            </w:r>
          </w:p>
        </w:tc>
        <w:tc>
          <w:tcPr>
            <w:tcW w:w="88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in 2025</w:t>
            </w:r>
          </w:p>
        </w:tc>
        <w:tc>
          <w:tcPr>
            <w:tcW w:w="2820" w:type="dxa"/>
            <w:vAlign w:val="bottom"/>
            <w:shd w:val="clear" w:color="auto" w:fill="CCEBF8"/>
          </w:tcPr>
          <w:p>
            <w:pPr>
              <w:ind w:left="1120"/>
              <w:spacing w:after="0"/>
              <w:rPr>
                <w:sz w:val="20"/>
                <w:szCs w:val="20"/>
                <w:color w:val="auto"/>
              </w:rPr>
            </w:pPr>
            <w:r>
              <w:rPr>
                <w:rFonts w:ascii="Arial" w:cs="Arial" w:eastAsia="Arial" w:hAnsi="Arial"/>
                <w:sz w:val="16"/>
                <w:szCs w:val="16"/>
                <w:b w:val="1"/>
                <w:bCs w:val="1"/>
                <w:color w:val="009BDE"/>
              </w:rPr>
              <w:t>Members</w:t>
            </w:r>
          </w:p>
        </w:tc>
        <w:tc>
          <w:tcPr>
            <w:tcW w:w="0" w:type="dxa"/>
            <w:vAlign w:val="bottom"/>
          </w:tcPr>
          <w:p>
            <w:pPr>
              <w:spacing w:after="0"/>
              <w:rPr>
                <w:sz w:val="1"/>
                <w:szCs w:val="1"/>
                <w:color w:val="auto"/>
              </w:rPr>
            </w:pPr>
          </w:p>
        </w:tc>
      </w:tr>
      <w:tr>
        <w:trPr>
          <w:trHeight w:val="114"/>
        </w:trPr>
        <w:tc>
          <w:tcPr>
            <w:tcW w:w="1780" w:type="dxa"/>
            <w:vAlign w:val="bottom"/>
            <w:tcBorders>
              <w:bottom w:val="single" w:sz="8" w:color="009BDE"/>
            </w:tcBorders>
            <w:shd w:val="clear" w:color="auto" w:fill="CCEBF8"/>
          </w:tcPr>
          <w:p>
            <w:pPr>
              <w:spacing w:after="0"/>
              <w:rPr>
                <w:sz w:val="9"/>
                <w:szCs w:val="9"/>
                <w:color w:val="auto"/>
              </w:rPr>
            </w:pPr>
          </w:p>
        </w:tc>
        <w:tc>
          <w:tcPr>
            <w:tcW w:w="5440" w:type="dxa"/>
            <w:vAlign w:val="bottom"/>
            <w:tcBorders>
              <w:bottom w:val="single" w:sz="8" w:color="009BDE"/>
            </w:tcBorders>
            <w:shd w:val="clear" w:color="auto" w:fill="CCEBF8"/>
          </w:tcPr>
          <w:p>
            <w:pPr>
              <w:spacing w:after="0"/>
              <w:rPr>
                <w:sz w:val="9"/>
                <w:szCs w:val="9"/>
                <w:color w:val="auto"/>
              </w:rPr>
            </w:pPr>
          </w:p>
        </w:tc>
        <w:tc>
          <w:tcPr>
            <w:tcW w:w="880" w:type="dxa"/>
            <w:vAlign w:val="bottom"/>
            <w:tcBorders>
              <w:bottom w:val="single" w:sz="8" w:color="009BDE"/>
            </w:tcBorders>
            <w:shd w:val="clear" w:color="auto" w:fill="CCEBF8"/>
          </w:tcPr>
          <w:p>
            <w:pPr>
              <w:spacing w:after="0"/>
              <w:rPr>
                <w:sz w:val="9"/>
                <w:szCs w:val="9"/>
                <w:color w:val="auto"/>
              </w:rPr>
            </w:pPr>
          </w:p>
        </w:tc>
        <w:tc>
          <w:tcPr>
            <w:tcW w:w="2820" w:type="dxa"/>
            <w:vAlign w:val="bottom"/>
            <w:tcBorders>
              <w:bottom w:val="single" w:sz="8" w:color="009BDE"/>
            </w:tcBorders>
            <w:shd w:val="clear" w:color="auto" w:fill="CCEBF8"/>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780" w:type="dxa"/>
            <w:vAlign w:val="bottom"/>
          </w:tcPr>
          <w:p>
            <w:pPr>
              <w:ind w:left="80"/>
              <w:spacing w:after="0"/>
              <w:rPr>
                <w:sz w:val="20"/>
                <w:szCs w:val="20"/>
                <w:color w:val="auto"/>
              </w:rPr>
            </w:pPr>
            <w:r>
              <w:rPr>
                <w:rFonts w:ascii="Arial" w:cs="Arial" w:eastAsia="Arial" w:hAnsi="Arial"/>
                <w:sz w:val="16"/>
                <w:szCs w:val="16"/>
                <w:color w:val="auto"/>
              </w:rPr>
              <w:t>Compensation and</w:t>
            </w:r>
          </w:p>
        </w:tc>
        <w:tc>
          <w:tcPr>
            <w:tcW w:w="5440" w:type="dxa"/>
            <w:vAlign w:val="bottom"/>
          </w:tcPr>
          <w:p>
            <w:pPr>
              <w:ind w:left="220"/>
              <w:spacing w:after="0"/>
              <w:rPr>
                <w:sz w:val="20"/>
                <w:szCs w:val="20"/>
                <w:color w:val="auto"/>
              </w:rPr>
            </w:pPr>
            <w:r>
              <w:rPr>
                <w:rFonts w:ascii="Arial" w:cs="Arial" w:eastAsia="Arial" w:hAnsi="Arial"/>
                <w:sz w:val="16"/>
                <w:szCs w:val="16"/>
                <w:color w:val="auto"/>
              </w:rPr>
              <w:t>• Responsible for establishing and overseeing the compensation</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820" w:type="dxa"/>
            <w:vAlign w:val="bottom"/>
          </w:tcPr>
          <w:p>
            <w:pPr>
              <w:ind w:left="100"/>
              <w:spacing w:after="0"/>
              <w:rPr>
                <w:sz w:val="20"/>
                <w:szCs w:val="20"/>
                <w:color w:val="auto"/>
              </w:rPr>
            </w:pPr>
            <w:r>
              <w:rPr>
                <w:rFonts w:ascii="Arial" w:cs="Arial" w:eastAsia="Arial" w:hAnsi="Arial"/>
                <w:sz w:val="16"/>
                <w:szCs w:val="16"/>
                <w:b w:val="1"/>
                <w:bCs w:val="1"/>
                <w:color w:val="auto"/>
              </w:rPr>
              <w:t>Darin Harris (Chair)</w:t>
            </w:r>
          </w:p>
        </w:tc>
        <w:tc>
          <w:tcPr>
            <w:tcW w:w="0" w:type="dxa"/>
            <w:vAlign w:val="bottom"/>
          </w:tcPr>
          <w:p>
            <w:pPr>
              <w:spacing w:after="0"/>
              <w:rPr>
                <w:sz w:val="1"/>
                <w:szCs w:val="1"/>
                <w:color w:val="auto"/>
              </w:rPr>
            </w:pPr>
          </w:p>
        </w:tc>
      </w:tr>
      <w:tr>
        <w:trPr>
          <w:trHeight w:val="187"/>
        </w:trPr>
        <w:tc>
          <w:tcPr>
            <w:tcW w:w="1780" w:type="dxa"/>
            <w:vAlign w:val="bottom"/>
          </w:tcPr>
          <w:p>
            <w:pPr>
              <w:ind w:left="80"/>
              <w:spacing w:after="0"/>
              <w:rPr>
                <w:sz w:val="20"/>
                <w:szCs w:val="20"/>
                <w:color w:val="auto"/>
              </w:rPr>
            </w:pPr>
            <w:r>
              <w:rPr>
                <w:rFonts w:ascii="Arial" w:cs="Arial" w:eastAsia="Arial" w:hAnsi="Arial"/>
                <w:sz w:val="16"/>
                <w:szCs w:val="16"/>
                <w:color w:val="auto"/>
              </w:rPr>
              <w:t>Talent</w:t>
            </w:r>
          </w:p>
        </w:tc>
        <w:tc>
          <w:tcPr>
            <w:tcW w:w="5440" w:type="dxa"/>
            <w:vAlign w:val="bottom"/>
          </w:tcPr>
          <w:p>
            <w:pPr>
              <w:ind w:left="360"/>
              <w:spacing w:after="0"/>
              <w:rPr>
                <w:sz w:val="20"/>
                <w:szCs w:val="20"/>
                <w:color w:val="auto"/>
              </w:rPr>
            </w:pPr>
            <w:r>
              <w:rPr>
                <w:rFonts w:ascii="Arial" w:cs="Arial" w:eastAsia="Arial" w:hAnsi="Arial"/>
                <w:sz w:val="16"/>
                <w:szCs w:val="16"/>
                <w:color w:val="auto"/>
              </w:rPr>
              <w:t>policies, arrangements and plans of the Company with respect to</w:t>
            </w:r>
          </w:p>
        </w:tc>
        <w:tc>
          <w:tcPr>
            <w:tcW w:w="880" w:type="dxa"/>
            <w:vAlign w:val="bottom"/>
          </w:tcPr>
          <w:p>
            <w:pPr>
              <w:spacing w:after="0"/>
              <w:rPr>
                <w:sz w:val="16"/>
                <w:szCs w:val="16"/>
                <w:color w:val="auto"/>
              </w:rPr>
            </w:pPr>
          </w:p>
        </w:tc>
        <w:tc>
          <w:tcPr>
            <w:tcW w:w="2820" w:type="dxa"/>
            <w:vAlign w:val="bottom"/>
            <w:vMerge w:val="restart"/>
          </w:tcPr>
          <w:p>
            <w:pPr>
              <w:ind w:left="100"/>
              <w:spacing w:after="0"/>
              <w:rPr>
                <w:sz w:val="20"/>
                <w:szCs w:val="20"/>
                <w:color w:val="auto"/>
              </w:rPr>
            </w:pPr>
            <w:r>
              <w:rPr>
                <w:rFonts w:ascii="Arial" w:cs="Arial" w:eastAsia="Arial" w:hAnsi="Arial"/>
                <w:sz w:val="16"/>
                <w:szCs w:val="16"/>
                <w:color w:val="auto"/>
              </w:rPr>
              <w:t>Lisa Gersh</w:t>
            </w: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5440" w:type="dxa"/>
            <w:vAlign w:val="bottom"/>
            <w:vMerge w:val="restart"/>
          </w:tcPr>
          <w:p>
            <w:pPr>
              <w:ind w:left="360"/>
              <w:spacing w:after="0"/>
              <w:rPr>
                <w:sz w:val="20"/>
                <w:szCs w:val="20"/>
                <w:color w:val="auto"/>
              </w:rPr>
            </w:pPr>
            <w:r>
              <w:rPr>
                <w:rFonts w:ascii="Arial" w:cs="Arial" w:eastAsia="Arial" w:hAnsi="Arial"/>
                <w:sz w:val="16"/>
                <w:szCs w:val="16"/>
                <w:color w:val="auto"/>
              </w:rPr>
              <w:t>senior management, including all executive officers.</w:t>
            </w:r>
          </w:p>
        </w:tc>
        <w:tc>
          <w:tcPr>
            <w:tcW w:w="880" w:type="dxa"/>
            <w:vAlign w:val="bottom"/>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54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1780" w:type="dxa"/>
            <w:vAlign w:val="bottom"/>
          </w:tcPr>
          <w:p>
            <w:pPr>
              <w:spacing w:after="0"/>
              <w:rPr>
                <w:sz w:val="20"/>
                <w:szCs w:val="20"/>
                <w:color w:val="auto"/>
              </w:rPr>
            </w:pPr>
          </w:p>
        </w:tc>
        <w:tc>
          <w:tcPr>
            <w:tcW w:w="5440" w:type="dxa"/>
            <w:vAlign w:val="bottom"/>
            <w:vMerge w:val="restart"/>
          </w:tcPr>
          <w:p>
            <w:pPr>
              <w:ind w:left="220"/>
              <w:spacing w:after="0"/>
              <w:rPr>
                <w:sz w:val="20"/>
                <w:szCs w:val="20"/>
                <w:color w:val="auto"/>
              </w:rPr>
            </w:pPr>
            <w:r>
              <w:rPr>
                <w:rFonts w:ascii="Arial" w:cs="Arial" w:eastAsia="Arial" w:hAnsi="Arial"/>
                <w:sz w:val="16"/>
                <w:szCs w:val="16"/>
                <w:color w:val="auto"/>
              </w:rPr>
              <w:t>• Oversight of the Company’s incentive compensation and equity-based</w:t>
            </w:r>
          </w:p>
        </w:tc>
        <w:tc>
          <w:tcPr>
            <w:tcW w:w="880" w:type="dxa"/>
            <w:vAlign w:val="bottom"/>
          </w:tcPr>
          <w:p>
            <w:pPr>
              <w:spacing w:after="0"/>
              <w:rPr>
                <w:sz w:val="20"/>
                <w:szCs w:val="20"/>
                <w:color w:val="auto"/>
              </w:rPr>
            </w:pPr>
          </w:p>
        </w:tc>
        <w:tc>
          <w:tcPr>
            <w:tcW w:w="2820" w:type="dxa"/>
            <w:vAlign w:val="bottom"/>
          </w:tcPr>
          <w:p>
            <w:pPr>
              <w:ind w:left="100"/>
              <w:spacing w:after="0"/>
              <w:rPr>
                <w:sz w:val="20"/>
                <w:szCs w:val="20"/>
                <w:color w:val="auto"/>
              </w:rPr>
            </w:pPr>
            <w:r>
              <w:rPr>
                <w:rFonts w:ascii="Arial" w:cs="Arial" w:eastAsia="Arial" w:hAnsi="Arial"/>
                <w:sz w:val="16"/>
                <w:szCs w:val="16"/>
                <w:color w:val="auto"/>
              </w:rPr>
              <w:t>Elizabeth Hamren</w:t>
            </w:r>
          </w:p>
        </w:tc>
        <w:tc>
          <w:tcPr>
            <w:tcW w:w="0" w:type="dxa"/>
            <w:vAlign w:val="bottom"/>
          </w:tcPr>
          <w:p>
            <w:pPr>
              <w:spacing w:after="0"/>
              <w:rPr>
                <w:sz w:val="1"/>
                <w:szCs w:val="1"/>
                <w:color w:val="auto"/>
              </w:rPr>
            </w:pPr>
          </w:p>
        </w:tc>
      </w:tr>
      <w:tr>
        <w:trPr>
          <w:trHeight w:val="43"/>
        </w:trPr>
        <w:tc>
          <w:tcPr>
            <w:tcW w:w="1780" w:type="dxa"/>
            <w:vAlign w:val="bottom"/>
          </w:tcPr>
          <w:p>
            <w:pPr>
              <w:spacing w:after="0"/>
              <w:rPr>
                <w:sz w:val="3"/>
                <w:szCs w:val="3"/>
                <w:color w:val="auto"/>
              </w:rPr>
            </w:pPr>
          </w:p>
        </w:tc>
        <w:tc>
          <w:tcPr>
            <w:tcW w:w="544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5440" w:type="dxa"/>
            <w:vAlign w:val="bottom"/>
          </w:tcPr>
          <w:p>
            <w:pPr>
              <w:ind w:left="360"/>
              <w:spacing w:after="0"/>
              <w:rPr>
                <w:sz w:val="20"/>
                <w:szCs w:val="20"/>
                <w:color w:val="auto"/>
              </w:rPr>
            </w:pPr>
            <w:r>
              <w:rPr>
                <w:rFonts w:ascii="Arial" w:cs="Arial" w:eastAsia="Arial" w:hAnsi="Arial"/>
                <w:sz w:val="16"/>
                <w:szCs w:val="16"/>
                <w:color w:val="auto"/>
              </w:rPr>
              <w:t>plans, including authorization to make grants and awards under the</w:t>
            </w:r>
          </w:p>
        </w:tc>
        <w:tc>
          <w:tcPr>
            <w:tcW w:w="8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80" w:type="dxa"/>
            <w:vAlign w:val="bottom"/>
          </w:tcPr>
          <w:p>
            <w:pPr>
              <w:spacing w:after="0"/>
              <w:rPr>
                <w:sz w:val="18"/>
                <w:szCs w:val="18"/>
                <w:color w:val="auto"/>
              </w:rPr>
            </w:pPr>
          </w:p>
        </w:tc>
        <w:tc>
          <w:tcPr>
            <w:tcW w:w="5440" w:type="dxa"/>
            <w:vAlign w:val="bottom"/>
          </w:tcPr>
          <w:p>
            <w:pPr>
              <w:ind w:left="360"/>
              <w:spacing w:after="0"/>
              <w:rPr>
                <w:sz w:val="20"/>
                <w:szCs w:val="20"/>
                <w:color w:val="auto"/>
              </w:rPr>
            </w:pPr>
            <w:r>
              <w:rPr>
                <w:rFonts w:ascii="Arial" w:cs="Arial" w:eastAsia="Arial" w:hAnsi="Arial"/>
                <w:sz w:val="16"/>
                <w:szCs w:val="16"/>
                <w:color w:val="auto"/>
              </w:rPr>
              <w:t>Company’s employee stock incentive performance plan.</w:t>
            </w:r>
          </w:p>
        </w:tc>
        <w:tc>
          <w:tcPr>
            <w:tcW w:w="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780" w:type="dxa"/>
            <w:vAlign w:val="bottom"/>
          </w:tcPr>
          <w:p>
            <w:pPr>
              <w:spacing w:after="0"/>
              <w:rPr>
                <w:sz w:val="24"/>
                <w:szCs w:val="24"/>
                <w:color w:val="auto"/>
              </w:rPr>
            </w:pPr>
          </w:p>
        </w:tc>
        <w:tc>
          <w:tcPr>
            <w:tcW w:w="5440" w:type="dxa"/>
            <w:vAlign w:val="bottom"/>
          </w:tcPr>
          <w:p>
            <w:pPr>
              <w:ind w:left="220"/>
              <w:spacing w:after="0"/>
              <w:rPr>
                <w:sz w:val="20"/>
                <w:szCs w:val="20"/>
                <w:color w:val="auto"/>
              </w:rPr>
            </w:pPr>
            <w:r>
              <w:rPr>
                <w:rFonts w:ascii="Arial" w:cs="Arial" w:eastAsia="Arial" w:hAnsi="Arial"/>
                <w:sz w:val="16"/>
                <w:szCs w:val="16"/>
                <w:color w:val="auto"/>
              </w:rPr>
              <w:t>• Shares responsibility for evaluation of the Company’s Chief Executive</w:t>
            </w:r>
          </w:p>
        </w:tc>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5440" w:type="dxa"/>
            <w:vAlign w:val="bottom"/>
          </w:tcPr>
          <w:p>
            <w:pPr>
              <w:ind w:left="360"/>
              <w:spacing w:after="0"/>
              <w:rPr>
                <w:sz w:val="20"/>
                <w:szCs w:val="20"/>
                <w:color w:val="auto"/>
              </w:rPr>
            </w:pPr>
            <w:r>
              <w:rPr>
                <w:rFonts w:ascii="Arial" w:cs="Arial" w:eastAsia="Arial" w:hAnsi="Arial"/>
                <w:sz w:val="16"/>
                <w:szCs w:val="16"/>
                <w:color w:val="auto"/>
              </w:rPr>
              <w:t>Officer with the Nominating, Governance and Social Responsibility</w:t>
            </w:r>
          </w:p>
        </w:tc>
        <w:tc>
          <w:tcPr>
            <w:tcW w:w="8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80" w:type="dxa"/>
            <w:vAlign w:val="bottom"/>
          </w:tcPr>
          <w:p>
            <w:pPr>
              <w:spacing w:after="0"/>
              <w:rPr>
                <w:sz w:val="18"/>
                <w:szCs w:val="18"/>
                <w:color w:val="auto"/>
              </w:rPr>
            </w:pPr>
          </w:p>
        </w:tc>
        <w:tc>
          <w:tcPr>
            <w:tcW w:w="5440" w:type="dxa"/>
            <w:vAlign w:val="bottom"/>
          </w:tcPr>
          <w:p>
            <w:pPr>
              <w:ind w:left="360"/>
              <w:spacing w:after="0"/>
              <w:rPr>
                <w:sz w:val="20"/>
                <w:szCs w:val="20"/>
                <w:color w:val="auto"/>
              </w:rPr>
            </w:pPr>
            <w:r>
              <w:rPr>
                <w:rFonts w:ascii="Arial" w:cs="Arial" w:eastAsia="Arial" w:hAnsi="Arial"/>
                <w:sz w:val="16"/>
                <w:szCs w:val="16"/>
                <w:color w:val="auto"/>
              </w:rPr>
              <w:t>Committee.</w:t>
            </w:r>
          </w:p>
        </w:tc>
        <w:tc>
          <w:tcPr>
            <w:tcW w:w="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780" w:type="dxa"/>
            <w:vAlign w:val="bottom"/>
          </w:tcPr>
          <w:p>
            <w:pPr>
              <w:spacing w:after="0"/>
              <w:rPr>
                <w:sz w:val="24"/>
                <w:szCs w:val="24"/>
                <w:color w:val="auto"/>
              </w:rPr>
            </w:pPr>
          </w:p>
        </w:tc>
        <w:tc>
          <w:tcPr>
            <w:tcW w:w="5440" w:type="dxa"/>
            <w:vAlign w:val="bottom"/>
          </w:tcPr>
          <w:p>
            <w:pPr>
              <w:ind w:left="220"/>
              <w:spacing w:after="0"/>
              <w:rPr>
                <w:sz w:val="20"/>
                <w:szCs w:val="20"/>
                <w:color w:val="auto"/>
              </w:rPr>
            </w:pPr>
            <w:r>
              <w:rPr>
                <w:rFonts w:ascii="Arial" w:cs="Arial" w:eastAsia="Arial" w:hAnsi="Arial"/>
                <w:sz w:val="16"/>
                <w:szCs w:val="16"/>
                <w:color w:val="auto"/>
              </w:rPr>
              <w:t>• Review and discuss with management the Company’s talent and</w:t>
            </w:r>
          </w:p>
        </w:tc>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5440" w:type="dxa"/>
            <w:vAlign w:val="bottom"/>
          </w:tcPr>
          <w:p>
            <w:pPr>
              <w:ind w:left="360"/>
              <w:spacing w:after="0"/>
              <w:rPr>
                <w:sz w:val="20"/>
                <w:szCs w:val="20"/>
                <w:color w:val="auto"/>
              </w:rPr>
            </w:pPr>
            <w:r>
              <w:rPr>
                <w:rFonts w:ascii="Arial" w:cs="Arial" w:eastAsia="Arial" w:hAnsi="Arial"/>
                <w:sz w:val="16"/>
                <w:szCs w:val="16"/>
                <w:color w:val="auto"/>
              </w:rPr>
              <w:t>human capital management practices, including recruitment,</w:t>
            </w:r>
          </w:p>
        </w:tc>
        <w:tc>
          <w:tcPr>
            <w:tcW w:w="8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5440" w:type="dxa"/>
            <w:vAlign w:val="bottom"/>
          </w:tcPr>
          <w:p>
            <w:pPr>
              <w:ind w:left="360"/>
              <w:spacing w:after="0"/>
              <w:rPr>
                <w:sz w:val="20"/>
                <w:szCs w:val="20"/>
                <w:color w:val="auto"/>
              </w:rPr>
            </w:pPr>
            <w:r>
              <w:rPr>
                <w:rFonts w:ascii="Arial" w:cs="Arial" w:eastAsia="Arial" w:hAnsi="Arial"/>
                <w:sz w:val="16"/>
                <w:szCs w:val="16"/>
                <w:color w:val="auto"/>
              </w:rPr>
              <w:t>leadership, talent and career development, succession planning,</w:t>
            </w:r>
          </w:p>
        </w:tc>
        <w:tc>
          <w:tcPr>
            <w:tcW w:w="8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80" w:type="dxa"/>
            <w:vAlign w:val="bottom"/>
          </w:tcPr>
          <w:p>
            <w:pPr>
              <w:spacing w:after="0"/>
              <w:rPr>
                <w:sz w:val="18"/>
                <w:szCs w:val="18"/>
                <w:color w:val="auto"/>
              </w:rPr>
            </w:pPr>
          </w:p>
        </w:tc>
        <w:tc>
          <w:tcPr>
            <w:tcW w:w="5440" w:type="dxa"/>
            <w:vAlign w:val="bottom"/>
          </w:tcPr>
          <w:p>
            <w:pPr>
              <w:ind w:left="360"/>
              <w:spacing w:after="0"/>
              <w:rPr>
                <w:sz w:val="20"/>
                <w:szCs w:val="20"/>
                <w:color w:val="auto"/>
              </w:rPr>
            </w:pPr>
            <w:r>
              <w:rPr>
                <w:rFonts w:ascii="Arial" w:cs="Arial" w:eastAsia="Arial" w:hAnsi="Arial"/>
                <w:sz w:val="16"/>
                <w:szCs w:val="16"/>
                <w:color w:val="auto"/>
              </w:rPr>
              <w:t>culture, employee engagement and retention.</w:t>
            </w:r>
          </w:p>
        </w:tc>
        <w:tc>
          <w:tcPr>
            <w:tcW w:w="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1780" w:type="dxa"/>
            <w:vAlign w:val="bottom"/>
            <w:tcBorders>
              <w:bottom w:val="single" w:sz="8" w:color="009BDE"/>
            </w:tcBorders>
          </w:tcPr>
          <w:p>
            <w:pPr>
              <w:spacing w:after="0"/>
              <w:rPr>
                <w:sz w:val="8"/>
                <w:szCs w:val="8"/>
                <w:color w:val="auto"/>
              </w:rPr>
            </w:pPr>
          </w:p>
        </w:tc>
        <w:tc>
          <w:tcPr>
            <w:tcW w:w="544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28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ind w:left="80"/>
              <w:spacing w:after="0"/>
              <w:rPr>
                <w:sz w:val="20"/>
                <w:szCs w:val="20"/>
                <w:color w:val="auto"/>
              </w:rPr>
            </w:pPr>
            <w:r>
              <w:rPr>
                <w:rFonts w:ascii="Arial" w:cs="Arial" w:eastAsia="Arial" w:hAnsi="Arial"/>
                <w:sz w:val="16"/>
                <w:szCs w:val="16"/>
                <w:color w:val="auto"/>
              </w:rPr>
              <w:t>Finance and Capital</w:t>
            </w:r>
          </w:p>
        </w:tc>
        <w:tc>
          <w:tcPr>
            <w:tcW w:w="5440" w:type="dxa"/>
            <w:vAlign w:val="bottom"/>
          </w:tcPr>
          <w:p>
            <w:pPr>
              <w:ind w:left="220"/>
              <w:spacing w:after="0"/>
              <w:rPr>
                <w:sz w:val="20"/>
                <w:szCs w:val="20"/>
                <w:color w:val="auto"/>
              </w:rPr>
            </w:pPr>
            <w:r>
              <w:rPr>
                <w:rFonts w:ascii="Arial" w:cs="Arial" w:eastAsia="Arial" w:hAnsi="Arial"/>
                <w:sz w:val="16"/>
                <w:szCs w:val="16"/>
                <w:color w:val="auto"/>
              </w:rPr>
              <w:t>• Assists the Board in overseeing the Company’s annual and long-term</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820" w:type="dxa"/>
            <w:vAlign w:val="bottom"/>
          </w:tcPr>
          <w:p>
            <w:pPr>
              <w:ind w:left="100"/>
              <w:spacing w:after="0"/>
              <w:rPr>
                <w:sz w:val="20"/>
                <w:szCs w:val="20"/>
                <w:color w:val="auto"/>
              </w:rPr>
            </w:pPr>
            <w:r>
              <w:rPr>
                <w:rFonts w:ascii="Arial" w:cs="Arial" w:eastAsia="Arial" w:hAnsi="Arial"/>
                <w:sz w:val="16"/>
                <w:szCs w:val="16"/>
                <w:b w:val="1"/>
                <w:bCs w:val="1"/>
                <w:color w:val="auto"/>
              </w:rPr>
              <w:t>Frank D. Gibeau (Chair)</w:t>
            </w:r>
          </w:p>
        </w:tc>
        <w:tc>
          <w:tcPr>
            <w:tcW w:w="0" w:type="dxa"/>
            <w:vAlign w:val="bottom"/>
          </w:tcPr>
          <w:p>
            <w:pPr>
              <w:spacing w:after="0"/>
              <w:rPr>
                <w:sz w:val="1"/>
                <w:szCs w:val="1"/>
                <w:color w:val="auto"/>
              </w:rPr>
            </w:pPr>
          </w:p>
        </w:tc>
      </w:tr>
      <w:tr>
        <w:trPr>
          <w:trHeight w:val="187"/>
        </w:trPr>
        <w:tc>
          <w:tcPr>
            <w:tcW w:w="1780" w:type="dxa"/>
            <w:vAlign w:val="bottom"/>
          </w:tcPr>
          <w:p>
            <w:pPr>
              <w:ind w:left="80"/>
              <w:spacing w:after="0"/>
              <w:rPr>
                <w:sz w:val="20"/>
                <w:szCs w:val="20"/>
                <w:color w:val="auto"/>
              </w:rPr>
            </w:pPr>
            <w:r>
              <w:rPr>
                <w:rFonts w:ascii="Arial" w:cs="Arial" w:eastAsia="Arial" w:hAnsi="Arial"/>
                <w:sz w:val="16"/>
                <w:szCs w:val="16"/>
                <w:color w:val="auto"/>
              </w:rPr>
              <w:t>Allocation</w:t>
            </w:r>
          </w:p>
        </w:tc>
        <w:tc>
          <w:tcPr>
            <w:tcW w:w="5440" w:type="dxa"/>
            <w:vAlign w:val="bottom"/>
          </w:tcPr>
          <w:p>
            <w:pPr>
              <w:ind w:left="360"/>
              <w:spacing w:after="0"/>
              <w:rPr>
                <w:sz w:val="20"/>
                <w:szCs w:val="20"/>
                <w:color w:val="auto"/>
              </w:rPr>
            </w:pPr>
            <w:r>
              <w:rPr>
                <w:rFonts w:ascii="Arial" w:cs="Arial" w:eastAsia="Arial" w:hAnsi="Arial"/>
                <w:sz w:val="16"/>
                <w:szCs w:val="16"/>
                <w:color w:val="auto"/>
              </w:rPr>
              <w:t>financial plans, capital structure, capital allocation decisions, use of</w:t>
            </w:r>
          </w:p>
        </w:tc>
        <w:tc>
          <w:tcPr>
            <w:tcW w:w="880" w:type="dxa"/>
            <w:vAlign w:val="bottom"/>
          </w:tcPr>
          <w:p>
            <w:pPr>
              <w:spacing w:after="0"/>
              <w:rPr>
                <w:sz w:val="16"/>
                <w:szCs w:val="16"/>
                <w:color w:val="auto"/>
              </w:rPr>
            </w:pPr>
          </w:p>
        </w:tc>
        <w:tc>
          <w:tcPr>
            <w:tcW w:w="2820" w:type="dxa"/>
            <w:vAlign w:val="bottom"/>
            <w:vMerge w:val="restart"/>
          </w:tcPr>
          <w:p>
            <w:pPr>
              <w:ind w:left="100"/>
              <w:spacing w:after="0"/>
              <w:rPr>
                <w:sz w:val="20"/>
                <w:szCs w:val="20"/>
                <w:color w:val="auto"/>
              </w:rPr>
            </w:pPr>
            <w:r>
              <w:rPr>
                <w:rFonts w:ascii="Arial" w:cs="Arial" w:eastAsia="Arial" w:hAnsi="Arial"/>
                <w:sz w:val="16"/>
                <w:szCs w:val="16"/>
                <w:color w:val="auto"/>
              </w:rPr>
              <w:t>Hope Cochran</w:t>
            </w: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5440" w:type="dxa"/>
            <w:vAlign w:val="bottom"/>
            <w:vMerge w:val="restart"/>
          </w:tcPr>
          <w:p>
            <w:pPr>
              <w:ind w:left="360"/>
              <w:spacing w:after="0"/>
              <w:rPr>
                <w:sz w:val="20"/>
                <w:szCs w:val="20"/>
                <w:color w:val="auto"/>
              </w:rPr>
            </w:pPr>
            <w:r>
              <w:rPr>
                <w:rFonts w:ascii="Arial" w:cs="Arial" w:eastAsia="Arial" w:hAnsi="Arial"/>
                <w:sz w:val="16"/>
                <w:szCs w:val="16"/>
                <w:color w:val="auto"/>
              </w:rPr>
              <w:t>funds, investments, financial and risk management and proposed</w:t>
            </w:r>
          </w:p>
        </w:tc>
        <w:tc>
          <w:tcPr>
            <w:tcW w:w="880" w:type="dxa"/>
            <w:vAlign w:val="bottom"/>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1780" w:type="dxa"/>
            <w:vAlign w:val="bottom"/>
          </w:tcPr>
          <w:p>
            <w:pPr>
              <w:spacing w:after="0"/>
              <w:rPr>
                <w:sz w:val="3"/>
                <w:szCs w:val="3"/>
                <w:color w:val="auto"/>
              </w:rPr>
            </w:pPr>
          </w:p>
        </w:tc>
        <w:tc>
          <w:tcPr>
            <w:tcW w:w="544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780" w:type="dxa"/>
            <w:vAlign w:val="bottom"/>
          </w:tcPr>
          <w:p>
            <w:pPr>
              <w:spacing w:after="0"/>
              <w:rPr>
                <w:sz w:val="18"/>
                <w:szCs w:val="18"/>
                <w:color w:val="auto"/>
              </w:rPr>
            </w:pPr>
          </w:p>
        </w:tc>
        <w:tc>
          <w:tcPr>
            <w:tcW w:w="5440" w:type="dxa"/>
            <w:vAlign w:val="bottom"/>
          </w:tcPr>
          <w:p>
            <w:pPr>
              <w:ind w:left="360"/>
              <w:spacing w:after="0"/>
              <w:rPr>
                <w:sz w:val="20"/>
                <w:szCs w:val="20"/>
                <w:color w:val="auto"/>
              </w:rPr>
            </w:pPr>
            <w:r>
              <w:rPr>
                <w:rFonts w:ascii="Arial" w:cs="Arial" w:eastAsia="Arial" w:hAnsi="Arial"/>
                <w:sz w:val="16"/>
                <w:szCs w:val="16"/>
                <w:color w:val="auto"/>
              </w:rPr>
              <w:t>significant transactions.</w:t>
            </w:r>
          </w:p>
        </w:tc>
        <w:tc>
          <w:tcPr>
            <w:tcW w:w="880" w:type="dxa"/>
            <w:vAlign w:val="bottom"/>
          </w:tcPr>
          <w:p>
            <w:pPr>
              <w:spacing w:after="0"/>
              <w:rPr>
                <w:sz w:val="18"/>
                <w:szCs w:val="18"/>
                <w:color w:val="auto"/>
              </w:rPr>
            </w:pPr>
          </w:p>
        </w:tc>
        <w:tc>
          <w:tcPr>
            <w:tcW w:w="2820" w:type="dxa"/>
            <w:vAlign w:val="bottom"/>
            <w:vMerge w:val="restart"/>
          </w:tcPr>
          <w:p>
            <w:pPr>
              <w:ind w:left="100"/>
              <w:spacing w:after="0"/>
              <w:rPr>
                <w:sz w:val="20"/>
                <w:szCs w:val="20"/>
                <w:color w:val="auto"/>
              </w:rPr>
            </w:pPr>
            <w:r>
              <w:rPr>
                <w:rFonts w:ascii="Arial" w:cs="Arial" w:eastAsia="Arial" w:hAnsi="Arial"/>
                <w:sz w:val="16"/>
                <w:szCs w:val="16"/>
                <w:color w:val="auto"/>
              </w:rPr>
              <w:t>Darin S. Harris</w:t>
            </w: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5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440" w:type="dxa"/>
            <w:vAlign w:val="bottom"/>
          </w:tcPr>
          <w:p>
            <w:pPr>
              <w:ind w:left="220"/>
              <w:spacing w:after="0"/>
              <w:rPr>
                <w:sz w:val="20"/>
                <w:szCs w:val="20"/>
                <w:color w:val="auto"/>
              </w:rPr>
            </w:pPr>
            <w:r>
              <w:rPr>
                <w:rFonts w:ascii="Arial" w:cs="Arial" w:eastAsia="Arial" w:hAnsi="Arial"/>
                <w:sz w:val="16"/>
                <w:szCs w:val="16"/>
                <w:color w:val="auto"/>
              </w:rPr>
              <w:t>• Reviews short and long-term financing plans, including debt and equity</w:t>
            </w:r>
          </w:p>
        </w:tc>
        <w:tc>
          <w:tcPr>
            <w:tcW w:w="880" w:type="dxa"/>
            <w:vAlign w:val="bottom"/>
          </w:tcPr>
          <w:p>
            <w:pPr>
              <w:spacing w:after="0"/>
              <w:rPr>
                <w:sz w:val="20"/>
                <w:szCs w:val="20"/>
                <w:color w:val="auto"/>
              </w:rPr>
            </w:pPr>
          </w:p>
        </w:tc>
        <w:tc>
          <w:tcPr>
            <w:tcW w:w="2820" w:type="dxa"/>
            <w:vAlign w:val="bottom"/>
            <w:vMerge w:val="restart"/>
          </w:tcPr>
          <w:p>
            <w:pPr>
              <w:ind w:left="100"/>
              <w:spacing w:after="0"/>
              <w:rPr>
                <w:sz w:val="20"/>
                <w:szCs w:val="20"/>
                <w:color w:val="auto"/>
              </w:rPr>
            </w:pPr>
            <w:r>
              <w:rPr>
                <w:rFonts w:ascii="Arial" w:cs="Arial" w:eastAsia="Arial" w:hAnsi="Arial"/>
                <w:sz w:val="16"/>
                <w:szCs w:val="16"/>
                <w:color w:val="auto"/>
              </w:rPr>
              <w:t>Owen Mahoney</w:t>
            </w:r>
          </w:p>
        </w:tc>
        <w:tc>
          <w:tcPr>
            <w:tcW w:w="0" w:type="dxa"/>
            <w:vAlign w:val="bottom"/>
          </w:tcPr>
          <w:p>
            <w:pPr>
              <w:spacing w:after="0"/>
              <w:rPr>
                <w:sz w:val="1"/>
                <w:szCs w:val="1"/>
                <w:color w:val="auto"/>
              </w:rPr>
            </w:pPr>
          </w:p>
        </w:tc>
      </w:tr>
      <w:tr>
        <w:trPr>
          <w:trHeight w:val="78"/>
        </w:trPr>
        <w:tc>
          <w:tcPr>
            <w:tcW w:w="1780" w:type="dxa"/>
            <w:vAlign w:val="bottom"/>
          </w:tcPr>
          <w:p>
            <w:pPr>
              <w:spacing w:after="0"/>
              <w:rPr>
                <w:sz w:val="6"/>
                <w:szCs w:val="6"/>
                <w:color w:val="auto"/>
              </w:rPr>
            </w:pPr>
          </w:p>
        </w:tc>
        <w:tc>
          <w:tcPr>
            <w:tcW w:w="5440" w:type="dxa"/>
            <w:vAlign w:val="bottom"/>
            <w:vMerge w:val="restart"/>
          </w:tcPr>
          <w:p>
            <w:pPr>
              <w:ind w:left="360"/>
              <w:spacing w:after="0"/>
              <w:rPr>
                <w:sz w:val="20"/>
                <w:szCs w:val="20"/>
                <w:color w:val="auto"/>
              </w:rPr>
            </w:pPr>
            <w:r>
              <w:rPr>
                <w:rFonts w:ascii="Arial" w:cs="Arial" w:eastAsia="Arial" w:hAnsi="Arial"/>
                <w:sz w:val="16"/>
                <w:szCs w:val="16"/>
                <w:color w:val="auto"/>
              </w:rPr>
              <w:t>financings and use of securitization facilities.</w:t>
            </w:r>
          </w:p>
        </w:tc>
        <w:tc>
          <w:tcPr>
            <w:tcW w:w="880" w:type="dxa"/>
            <w:vAlign w:val="bottom"/>
          </w:tcPr>
          <w:p>
            <w:pPr>
              <w:spacing w:after="0"/>
              <w:rPr>
                <w:sz w:val="6"/>
                <w:szCs w:val="6"/>
                <w:color w:val="auto"/>
              </w:rPr>
            </w:pPr>
          </w:p>
        </w:tc>
        <w:tc>
          <w:tcPr>
            <w:tcW w:w="2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780" w:type="dxa"/>
            <w:vAlign w:val="bottom"/>
          </w:tcPr>
          <w:p>
            <w:pPr>
              <w:spacing w:after="0"/>
              <w:rPr>
                <w:sz w:val="11"/>
                <w:szCs w:val="11"/>
                <w:color w:val="auto"/>
              </w:rPr>
            </w:pPr>
          </w:p>
        </w:tc>
        <w:tc>
          <w:tcPr>
            <w:tcW w:w="54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1780" w:type="dxa"/>
            <w:vAlign w:val="bottom"/>
          </w:tcPr>
          <w:p>
            <w:pPr>
              <w:spacing w:after="0"/>
              <w:rPr>
                <w:sz w:val="24"/>
                <w:szCs w:val="24"/>
                <w:color w:val="auto"/>
              </w:rPr>
            </w:pPr>
          </w:p>
        </w:tc>
        <w:tc>
          <w:tcPr>
            <w:tcW w:w="5440" w:type="dxa"/>
            <w:vAlign w:val="bottom"/>
          </w:tcPr>
          <w:p>
            <w:pPr>
              <w:ind w:left="220"/>
              <w:spacing w:after="0"/>
              <w:rPr>
                <w:sz w:val="20"/>
                <w:szCs w:val="20"/>
                <w:color w:val="auto"/>
              </w:rPr>
            </w:pPr>
            <w:r>
              <w:rPr>
                <w:rFonts w:ascii="Arial" w:cs="Arial" w:eastAsia="Arial" w:hAnsi="Arial"/>
                <w:sz w:val="16"/>
                <w:szCs w:val="16"/>
                <w:color w:val="auto"/>
              </w:rPr>
              <w:t>• Reviews capital structure, capital allocation priorities, metrics, hurdle</w:t>
            </w:r>
          </w:p>
        </w:tc>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80" w:type="dxa"/>
            <w:vAlign w:val="bottom"/>
          </w:tcPr>
          <w:p>
            <w:pPr>
              <w:spacing w:after="0"/>
              <w:rPr>
                <w:sz w:val="18"/>
                <w:szCs w:val="18"/>
                <w:color w:val="auto"/>
              </w:rPr>
            </w:pPr>
          </w:p>
        </w:tc>
        <w:tc>
          <w:tcPr>
            <w:tcW w:w="5440" w:type="dxa"/>
            <w:vAlign w:val="bottom"/>
          </w:tcPr>
          <w:p>
            <w:pPr>
              <w:ind w:left="360"/>
              <w:spacing w:after="0"/>
              <w:rPr>
                <w:sz w:val="20"/>
                <w:szCs w:val="20"/>
                <w:color w:val="auto"/>
              </w:rPr>
            </w:pPr>
            <w:r>
              <w:rPr>
                <w:rFonts w:ascii="Arial" w:cs="Arial" w:eastAsia="Arial" w:hAnsi="Arial"/>
                <w:sz w:val="16"/>
                <w:szCs w:val="16"/>
                <w:color w:val="auto"/>
              </w:rPr>
              <w:t>rates and underlying assumptions in capital allocation decisions.</w:t>
            </w:r>
          </w:p>
        </w:tc>
        <w:tc>
          <w:tcPr>
            <w:tcW w:w="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780" w:type="dxa"/>
            <w:vAlign w:val="bottom"/>
          </w:tcPr>
          <w:p>
            <w:pPr>
              <w:spacing w:after="0"/>
              <w:rPr>
                <w:sz w:val="24"/>
                <w:szCs w:val="24"/>
                <w:color w:val="auto"/>
              </w:rPr>
            </w:pPr>
          </w:p>
        </w:tc>
        <w:tc>
          <w:tcPr>
            <w:tcW w:w="5440" w:type="dxa"/>
            <w:vAlign w:val="bottom"/>
          </w:tcPr>
          <w:p>
            <w:pPr>
              <w:ind w:left="220"/>
              <w:spacing w:after="0"/>
              <w:rPr>
                <w:sz w:val="20"/>
                <w:szCs w:val="20"/>
                <w:color w:val="auto"/>
              </w:rPr>
            </w:pPr>
            <w:r>
              <w:rPr>
                <w:rFonts w:ascii="Arial" w:cs="Arial" w:eastAsia="Arial" w:hAnsi="Arial"/>
                <w:sz w:val="16"/>
                <w:szCs w:val="16"/>
                <w:color w:val="auto"/>
              </w:rPr>
              <w:t>• Reviews use of funds for investments, dividends and share</w:t>
            </w:r>
          </w:p>
        </w:tc>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80" w:type="dxa"/>
            <w:vAlign w:val="bottom"/>
          </w:tcPr>
          <w:p>
            <w:pPr>
              <w:spacing w:after="0"/>
              <w:rPr>
                <w:sz w:val="18"/>
                <w:szCs w:val="18"/>
                <w:color w:val="auto"/>
              </w:rPr>
            </w:pPr>
          </w:p>
        </w:tc>
        <w:tc>
          <w:tcPr>
            <w:tcW w:w="5440" w:type="dxa"/>
            <w:vAlign w:val="bottom"/>
          </w:tcPr>
          <w:p>
            <w:pPr>
              <w:ind w:left="360"/>
              <w:spacing w:after="0"/>
              <w:rPr>
                <w:sz w:val="20"/>
                <w:szCs w:val="20"/>
                <w:color w:val="auto"/>
              </w:rPr>
            </w:pPr>
            <w:r>
              <w:rPr>
                <w:rFonts w:ascii="Arial" w:cs="Arial" w:eastAsia="Arial" w:hAnsi="Arial"/>
                <w:sz w:val="16"/>
                <w:szCs w:val="16"/>
                <w:color w:val="auto"/>
              </w:rPr>
              <w:t>repurchases and acquisitions.</w:t>
            </w:r>
          </w:p>
        </w:tc>
        <w:tc>
          <w:tcPr>
            <w:tcW w:w="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1780" w:type="dxa"/>
            <w:vAlign w:val="bottom"/>
            <w:tcBorders>
              <w:bottom w:val="single" w:sz="8" w:color="009BDE"/>
            </w:tcBorders>
          </w:tcPr>
          <w:p>
            <w:pPr>
              <w:spacing w:after="0"/>
              <w:rPr>
                <w:sz w:val="8"/>
                <w:szCs w:val="8"/>
                <w:color w:val="auto"/>
              </w:rPr>
            </w:pPr>
          </w:p>
        </w:tc>
        <w:tc>
          <w:tcPr>
            <w:tcW w:w="544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28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ind w:left="80"/>
              <w:spacing w:after="0"/>
              <w:rPr>
                <w:sz w:val="20"/>
                <w:szCs w:val="20"/>
                <w:color w:val="auto"/>
              </w:rPr>
            </w:pPr>
            <w:r>
              <w:rPr>
                <w:rFonts w:ascii="Arial" w:cs="Arial" w:eastAsia="Arial" w:hAnsi="Arial"/>
                <w:sz w:val="16"/>
                <w:szCs w:val="16"/>
                <w:color w:val="auto"/>
              </w:rPr>
              <w:t>Nominating,</w:t>
            </w:r>
          </w:p>
        </w:tc>
        <w:tc>
          <w:tcPr>
            <w:tcW w:w="5440" w:type="dxa"/>
            <w:vAlign w:val="bottom"/>
          </w:tcPr>
          <w:p>
            <w:pPr>
              <w:ind w:left="220"/>
              <w:spacing w:after="0"/>
              <w:rPr>
                <w:sz w:val="20"/>
                <w:szCs w:val="20"/>
                <w:color w:val="auto"/>
              </w:rPr>
            </w:pPr>
            <w:r>
              <w:rPr>
                <w:rFonts w:ascii="Arial" w:cs="Arial" w:eastAsia="Arial" w:hAnsi="Arial"/>
                <w:sz w:val="16"/>
                <w:szCs w:val="16"/>
                <w:color w:val="auto"/>
              </w:rPr>
              <w:t>• Identifies and evaluates individuals qualified to become Board</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820" w:type="dxa"/>
            <w:vAlign w:val="bottom"/>
          </w:tcPr>
          <w:p>
            <w:pPr>
              <w:ind w:left="100"/>
              <w:spacing w:after="0"/>
              <w:rPr>
                <w:sz w:val="20"/>
                <w:szCs w:val="20"/>
                <w:color w:val="auto"/>
              </w:rPr>
            </w:pPr>
            <w:r>
              <w:rPr>
                <w:rFonts w:ascii="Arial" w:cs="Arial" w:eastAsia="Arial" w:hAnsi="Arial"/>
                <w:sz w:val="16"/>
                <w:szCs w:val="16"/>
                <w:b w:val="1"/>
                <w:bCs w:val="1"/>
                <w:color w:val="auto"/>
              </w:rPr>
              <w:t>Laurel J. Richie (incoming Chair)</w:t>
            </w:r>
          </w:p>
        </w:tc>
        <w:tc>
          <w:tcPr>
            <w:tcW w:w="0" w:type="dxa"/>
            <w:vAlign w:val="bottom"/>
          </w:tcPr>
          <w:p>
            <w:pPr>
              <w:spacing w:after="0"/>
              <w:rPr>
                <w:sz w:val="1"/>
                <w:szCs w:val="1"/>
                <w:color w:val="auto"/>
              </w:rPr>
            </w:pPr>
          </w:p>
        </w:tc>
      </w:tr>
      <w:tr>
        <w:trPr>
          <w:trHeight w:val="187"/>
        </w:trPr>
        <w:tc>
          <w:tcPr>
            <w:tcW w:w="1780" w:type="dxa"/>
            <w:vAlign w:val="bottom"/>
          </w:tcPr>
          <w:p>
            <w:pPr>
              <w:ind w:left="80"/>
              <w:spacing w:after="0"/>
              <w:rPr>
                <w:sz w:val="20"/>
                <w:szCs w:val="20"/>
                <w:color w:val="auto"/>
              </w:rPr>
            </w:pPr>
            <w:r>
              <w:rPr>
                <w:rFonts w:ascii="Arial" w:cs="Arial" w:eastAsia="Arial" w:hAnsi="Arial"/>
                <w:sz w:val="16"/>
                <w:szCs w:val="16"/>
                <w:color w:val="auto"/>
              </w:rPr>
              <w:t>Governance and Social</w:t>
            </w:r>
          </w:p>
        </w:tc>
        <w:tc>
          <w:tcPr>
            <w:tcW w:w="5440" w:type="dxa"/>
            <w:vAlign w:val="bottom"/>
          </w:tcPr>
          <w:p>
            <w:pPr>
              <w:ind w:left="360"/>
              <w:spacing w:after="0"/>
              <w:rPr>
                <w:sz w:val="20"/>
                <w:szCs w:val="20"/>
                <w:color w:val="auto"/>
              </w:rPr>
            </w:pPr>
            <w:r>
              <w:rPr>
                <w:rFonts w:ascii="Arial" w:cs="Arial" w:eastAsia="Arial" w:hAnsi="Arial"/>
                <w:sz w:val="16"/>
                <w:szCs w:val="16"/>
                <w:color w:val="auto"/>
              </w:rPr>
              <w:t>members and makes recommendations to the full Board on possible</w:t>
            </w:r>
          </w:p>
        </w:tc>
        <w:tc>
          <w:tcPr>
            <w:tcW w:w="880" w:type="dxa"/>
            <w:vAlign w:val="bottom"/>
          </w:tcPr>
          <w:p>
            <w:pPr>
              <w:spacing w:after="0"/>
              <w:rPr>
                <w:sz w:val="16"/>
                <w:szCs w:val="16"/>
                <w:color w:val="auto"/>
              </w:rPr>
            </w:pPr>
          </w:p>
        </w:tc>
        <w:tc>
          <w:tcPr>
            <w:tcW w:w="2820" w:type="dxa"/>
            <w:vAlign w:val="bottom"/>
            <w:vMerge w:val="restart"/>
          </w:tcPr>
          <w:p>
            <w:pPr>
              <w:ind w:left="100"/>
              <w:spacing w:after="0"/>
              <w:rPr>
                <w:sz w:val="20"/>
                <w:szCs w:val="20"/>
                <w:color w:val="auto"/>
              </w:rPr>
            </w:pPr>
            <w:r>
              <w:rPr>
                <w:rFonts w:ascii="Arial" w:cs="Arial" w:eastAsia="Arial" w:hAnsi="Arial"/>
                <w:sz w:val="16"/>
                <w:szCs w:val="16"/>
                <w:color w:val="auto"/>
              </w:rPr>
              <w:t>Richard S. Stoddart</w:t>
            </w:r>
          </w:p>
        </w:tc>
        <w:tc>
          <w:tcPr>
            <w:tcW w:w="0" w:type="dxa"/>
            <w:vAlign w:val="bottom"/>
          </w:tcPr>
          <w:p>
            <w:pPr>
              <w:spacing w:after="0"/>
              <w:rPr>
                <w:sz w:val="1"/>
                <w:szCs w:val="1"/>
                <w:color w:val="auto"/>
              </w:rPr>
            </w:pPr>
          </w:p>
        </w:tc>
      </w:tr>
      <w:tr>
        <w:trPr>
          <w:trHeight w:val="144"/>
        </w:trPr>
        <w:tc>
          <w:tcPr>
            <w:tcW w:w="1780" w:type="dxa"/>
            <w:vAlign w:val="bottom"/>
            <w:vMerge w:val="restart"/>
          </w:tcPr>
          <w:p>
            <w:pPr>
              <w:ind w:left="80"/>
              <w:spacing w:after="0"/>
              <w:rPr>
                <w:sz w:val="20"/>
                <w:szCs w:val="20"/>
                <w:color w:val="auto"/>
              </w:rPr>
            </w:pPr>
            <w:r>
              <w:rPr>
                <w:rFonts w:ascii="Arial" w:cs="Arial" w:eastAsia="Arial" w:hAnsi="Arial"/>
                <w:sz w:val="16"/>
                <w:szCs w:val="16"/>
                <w:color w:val="auto"/>
              </w:rPr>
              <w:t>Responsibility</w:t>
            </w:r>
          </w:p>
        </w:tc>
        <w:tc>
          <w:tcPr>
            <w:tcW w:w="5440" w:type="dxa"/>
            <w:vAlign w:val="bottom"/>
            <w:vMerge w:val="restart"/>
          </w:tcPr>
          <w:p>
            <w:pPr>
              <w:ind w:left="360"/>
              <w:spacing w:after="0"/>
              <w:rPr>
                <w:sz w:val="20"/>
                <w:szCs w:val="20"/>
                <w:color w:val="auto"/>
              </w:rPr>
            </w:pPr>
            <w:r>
              <w:rPr>
                <w:rFonts w:ascii="Arial" w:cs="Arial" w:eastAsia="Arial" w:hAnsi="Arial"/>
                <w:sz w:val="16"/>
                <w:szCs w:val="16"/>
                <w:color w:val="auto"/>
              </w:rPr>
              <w:t>additions to the Board and on the director nominees for election at the</w:t>
            </w:r>
          </w:p>
        </w:tc>
        <w:tc>
          <w:tcPr>
            <w:tcW w:w="880" w:type="dxa"/>
            <w:vAlign w:val="bottom"/>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1780" w:type="dxa"/>
            <w:vAlign w:val="bottom"/>
            <w:vMerge w:val="continue"/>
          </w:tcPr>
          <w:p>
            <w:pPr>
              <w:spacing w:after="0"/>
              <w:rPr>
                <w:sz w:val="5"/>
                <w:szCs w:val="5"/>
                <w:color w:val="auto"/>
              </w:rPr>
            </w:pPr>
          </w:p>
        </w:tc>
        <w:tc>
          <w:tcPr>
            <w:tcW w:w="54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199"/>
        </w:trPr>
        <w:tc>
          <w:tcPr>
            <w:tcW w:w="7620" w:type="dxa"/>
            <w:vAlign w:val="bottom"/>
          </w:tcPr>
          <w:p>
            <w:pPr>
              <w:ind w:left="2140"/>
              <w:spacing w:after="0"/>
              <w:rPr>
                <w:sz w:val="20"/>
                <w:szCs w:val="20"/>
                <w:color w:val="auto"/>
              </w:rPr>
            </w:pPr>
            <w:r>
              <w:rPr>
                <w:rFonts w:ascii="Arial" w:cs="Arial" w:eastAsia="Arial" w:hAnsi="Arial"/>
                <w:sz w:val="16"/>
                <w:szCs w:val="16"/>
                <w:color w:val="auto"/>
              </w:rPr>
              <w:t>Company’s annual meeting.</w:t>
            </w:r>
          </w:p>
        </w:tc>
        <w:tc>
          <w:tcPr>
            <w:tcW w:w="3300" w:type="dxa"/>
            <w:vAlign w:val="bottom"/>
            <w:vMerge w:val="restart"/>
          </w:tcPr>
          <w:p>
            <w:pPr>
              <w:ind w:left="580"/>
              <w:spacing w:after="0"/>
              <w:rPr>
                <w:sz w:val="20"/>
                <w:szCs w:val="20"/>
                <w:color w:val="auto"/>
              </w:rPr>
            </w:pPr>
            <w:r>
              <w:rPr>
                <w:rFonts w:ascii="Arial" w:cs="Arial" w:eastAsia="Arial" w:hAnsi="Arial"/>
                <w:sz w:val="16"/>
                <w:szCs w:val="16"/>
                <w:color w:val="auto"/>
              </w:rPr>
              <w:t>Carla Vernón</w:t>
            </w:r>
          </w:p>
        </w:tc>
        <w:tc>
          <w:tcPr>
            <w:tcW w:w="0" w:type="dxa"/>
            <w:vAlign w:val="bottom"/>
          </w:tcPr>
          <w:p>
            <w:pPr>
              <w:spacing w:after="0"/>
              <w:rPr>
                <w:sz w:val="1"/>
                <w:szCs w:val="1"/>
                <w:color w:val="auto"/>
              </w:rPr>
            </w:pPr>
          </w:p>
        </w:tc>
      </w:tr>
      <w:tr>
        <w:trPr>
          <w:trHeight w:val="50"/>
        </w:trPr>
        <w:tc>
          <w:tcPr>
            <w:tcW w:w="7620" w:type="dxa"/>
            <w:vAlign w:val="bottom"/>
          </w:tcPr>
          <w:p>
            <w:pPr>
              <w:spacing w:after="0"/>
              <w:rPr>
                <w:sz w:val="4"/>
                <w:szCs w:val="4"/>
                <w:color w:val="auto"/>
              </w:rPr>
            </w:pPr>
          </w:p>
        </w:tc>
        <w:tc>
          <w:tcPr>
            <w:tcW w:w="3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00"/>
              <w:spacing w:after="0"/>
              <w:rPr>
                <w:sz w:val="20"/>
                <w:szCs w:val="20"/>
                <w:color w:val="auto"/>
              </w:rPr>
            </w:pPr>
            <w:r>
              <w:rPr>
                <w:rFonts w:ascii="Arial" w:cs="Arial" w:eastAsia="Arial" w:hAnsi="Arial"/>
                <w:sz w:val="16"/>
                <w:szCs w:val="16"/>
                <w:color w:val="auto"/>
              </w:rPr>
              <w:t>• Oversees and makes recommendations regarding the governance of</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620" w:type="dxa"/>
            <w:vAlign w:val="bottom"/>
          </w:tcPr>
          <w:p>
            <w:pPr>
              <w:ind w:left="2140"/>
              <w:spacing w:after="0"/>
              <w:rPr>
                <w:sz w:val="20"/>
                <w:szCs w:val="20"/>
                <w:color w:val="auto"/>
              </w:rPr>
            </w:pPr>
            <w:r>
              <w:rPr>
                <w:rFonts w:ascii="Arial" w:cs="Arial" w:eastAsia="Arial" w:hAnsi="Arial"/>
                <w:sz w:val="16"/>
                <w:szCs w:val="16"/>
                <w:color w:val="auto"/>
              </w:rPr>
              <w:t>the Board and its committees.</w:t>
            </w: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7620" w:type="dxa"/>
            <w:vAlign w:val="bottom"/>
            <w:tcBorders>
              <w:bottom w:val="single" w:sz="8" w:color="009BDE"/>
            </w:tcBorders>
          </w:tcPr>
          <w:p>
            <w:pPr>
              <w:spacing w:after="0"/>
              <w:rPr>
                <w:sz w:val="8"/>
                <w:szCs w:val="8"/>
                <w:color w:val="auto"/>
              </w:rPr>
            </w:pPr>
          </w:p>
        </w:tc>
        <w:tc>
          <w:tcPr>
            <w:tcW w:w="330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789"/>
        </w:trPr>
        <w:tc>
          <w:tcPr>
            <w:tcW w:w="7620" w:type="dxa"/>
            <w:vAlign w:val="bottom"/>
          </w:tcPr>
          <w:p>
            <w:pPr>
              <w:ind w:left="60"/>
              <w:spacing w:after="0"/>
              <w:rPr>
                <w:sz w:val="20"/>
                <w:szCs w:val="20"/>
                <w:color w:val="auto"/>
              </w:rPr>
            </w:pPr>
            <w:r>
              <w:rPr>
                <w:rFonts w:ascii="Arial" w:cs="Arial" w:eastAsia="Arial" w:hAnsi="Arial"/>
                <w:sz w:val="16"/>
                <w:szCs w:val="16"/>
                <w:b w:val="1"/>
                <w:bCs w:val="1"/>
                <w:color w:val="FCFCFC"/>
              </w:rPr>
              <w:t>    10</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-258445</wp:posOffset>
            </wp:positionV>
            <wp:extent cx="6964045" cy="39052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39941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6929755" cy="399415"/>
                    </a:xfrm>
                    <a:prstGeom prst="rect">
                      <a:avLst/>
                    </a:prstGeom>
                    <a:noFill/>
                  </pic:spPr>
                </pic:pic>
              </a:graphicData>
            </a:graphic>
          </wp:anchor>
        </w:drawing>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Role of the Board in Risk Oversight</w:t>
      </w:r>
    </w:p>
    <w:p>
      <w:pPr>
        <w:spacing w:after="0" w:line="375"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The Board of Directors is actively involved in risk oversight for the Company. Although the Board as a whole has retained oversight over the Company’s risk assessment and risk management efforts, the efforts of the various committees of the Board are instrumental in this process. Each committee, generally through its Chair, regularly reports back to the full Board on the conduct of the committee’s functions. The Board, as well as the individual Board committees, also regularly speaks directly with key officers and employees of the Company involved in risk assessment and risk management.</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Set forth below is a description of the role of the various Board committees, and the full Board, in risk oversight for the Company.</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262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COMMITTEE</w:t>
            </w:r>
          </w:p>
        </w:tc>
        <w:tc>
          <w:tcPr>
            <w:tcW w:w="8300" w:type="dxa"/>
            <w:vAlign w:val="bottom"/>
            <w:shd w:val="clear" w:color="auto" w:fill="CCEBF8"/>
          </w:tcPr>
          <w:p>
            <w:pPr>
              <w:ind w:left="3520"/>
              <w:spacing w:after="0"/>
              <w:rPr>
                <w:sz w:val="20"/>
                <w:szCs w:val="20"/>
                <w:color w:val="auto"/>
              </w:rPr>
            </w:pPr>
            <w:r>
              <w:rPr>
                <w:rFonts w:ascii="Arial" w:cs="Arial" w:eastAsia="Arial" w:hAnsi="Arial"/>
                <w:sz w:val="16"/>
                <w:szCs w:val="16"/>
                <w:b w:val="1"/>
                <w:bCs w:val="1"/>
                <w:color w:val="009BDE"/>
              </w:rPr>
              <w:t>RISK OVERSIGHT</w:t>
            </w:r>
          </w:p>
        </w:tc>
      </w:tr>
      <w:tr>
        <w:trPr>
          <w:trHeight w:val="114"/>
        </w:trPr>
        <w:tc>
          <w:tcPr>
            <w:tcW w:w="2620" w:type="dxa"/>
            <w:vAlign w:val="bottom"/>
            <w:tcBorders>
              <w:bottom w:val="single" w:sz="8" w:color="009BDE"/>
            </w:tcBorders>
            <w:shd w:val="clear" w:color="auto" w:fill="CCEBF8"/>
          </w:tcPr>
          <w:p>
            <w:pPr>
              <w:spacing w:after="0"/>
              <w:rPr>
                <w:sz w:val="9"/>
                <w:szCs w:val="9"/>
                <w:color w:val="auto"/>
              </w:rPr>
            </w:pPr>
          </w:p>
        </w:tc>
        <w:tc>
          <w:tcPr>
            <w:tcW w:w="8300" w:type="dxa"/>
            <w:vAlign w:val="bottom"/>
            <w:tcBorders>
              <w:bottom w:val="single" w:sz="8" w:color="009BDE"/>
            </w:tcBorders>
            <w:shd w:val="clear" w:color="auto" w:fill="CCEBF8"/>
          </w:tcPr>
          <w:p>
            <w:pPr>
              <w:spacing w:after="0"/>
              <w:rPr>
                <w:sz w:val="9"/>
                <w:szCs w:val="9"/>
                <w:color w:val="auto"/>
              </w:rPr>
            </w:pP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Audit</w:t>
            </w:r>
          </w:p>
        </w:tc>
        <w:tc>
          <w:tcPr>
            <w:tcW w:w="8300" w:type="dxa"/>
            <w:vAlign w:val="bottom"/>
          </w:tcPr>
          <w:p>
            <w:pPr>
              <w:ind w:left="120"/>
              <w:spacing w:after="0"/>
              <w:rPr>
                <w:sz w:val="20"/>
                <w:szCs w:val="20"/>
                <w:color w:val="auto"/>
              </w:rPr>
            </w:pPr>
            <w:r>
              <w:rPr>
                <w:rFonts w:ascii="Arial" w:cs="Arial" w:eastAsia="Arial" w:hAnsi="Arial"/>
                <w:sz w:val="16"/>
                <w:szCs w:val="16"/>
                <w:color w:val="auto"/>
              </w:rPr>
              <w:t>• Assists the Board in risk oversight for the Company by reviewing and discussing with management, internal</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auditors and the independent auditors the Company’s significant financial and other exposures, and guidelines</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and policies relating to enterprise risk assessment and risk management, including the Company’s procedures for</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monitoring and controlling such risks.</w:t>
            </w:r>
          </w:p>
        </w:tc>
      </w:tr>
      <w:tr>
        <w:trPr>
          <w:trHeight w:val="187"/>
        </w:trPr>
        <w:tc>
          <w:tcPr>
            <w:tcW w:w="2620" w:type="dxa"/>
            <w:vAlign w:val="bottom"/>
          </w:tcPr>
          <w:p>
            <w:pPr>
              <w:spacing w:after="0"/>
              <w:rPr>
                <w:sz w:val="16"/>
                <w:szCs w:val="16"/>
                <w:color w:val="auto"/>
              </w:rPr>
            </w:pPr>
          </w:p>
        </w:tc>
        <w:tc>
          <w:tcPr>
            <w:tcW w:w="8300" w:type="dxa"/>
            <w:vAlign w:val="bottom"/>
          </w:tcPr>
          <w:p>
            <w:pPr>
              <w:ind w:left="120"/>
              <w:spacing w:after="0"/>
              <w:rPr>
                <w:sz w:val="20"/>
                <w:szCs w:val="20"/>
                <w:color w:val="auto"/>
              </w:rPr>
            </w:pPr>
            <w:r>
              <w:rPr>
                <w:rFonts w:ascii="Arial" w:cs="Arial" w:eastAsia="Arial" w:hAnsi="Arial"/>
                <w:sz w:val="16"/>
                <w:szCs w:val="16"/>
                <w:color w:val="auto"/>
              </w:rPr>
              <w:t>• Oversees, on behalf of the Board, financial reporting, tax, and accounting matters, climate, sustainability, conflict</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minerals, cybersecurity and other SEC related reporting.</w:t>
            </w:r>
          </w:p>
        </w:tc>
      </w:tr>
      <w:tr>
        <w:trPr>
          <w:trHeight w:val="187"/>
        </w:trPr>
        <w:tc>
          <w:tcPr>
            <w:tcW w:w="2620" w:type="dxa"/>
            <w:vAlign w:val="bottom"/>
          </w:tcPr>
          <w:p>
            <w:pPr>
              <w:spacing w:after="0"/>
              <w:rPr>
                <w:sz w:val="16"/>
                <w:szCs w:val="16"/>
                <w:color w:val="auto"/>
              </w:rPr>
            </w:pPr>
          </w:p>
        </w:tc>
        <w:tc>
          <w:tcPr>
            <w:tcW w:w="8300" w:type="dxa"/>
            <w:vAlign w:val="bottom"/>
          </w:tcPr>
          <w:p>
            <w:pPr>
              <w:ind w:left="120"/>
              <w:spacing w:after="0"/>
              <w:rPr>
                <w:sz w:val="20"/>
                <w:szCs w:val="20"/>
                <w:color w:val="auto"/>
              </w:rPr>
            </w:pPr>
            <w:r>
              <w:rPr>
                <w:rFonts w:ascii="Arial" w:cs="Arial" w:eastAsia="Arial" w:hAnsi="Arial"/>
                <w:sz w:val="16"/>
                <w:szCs w:val="16"/>
                <w:color w:val="auto"/>
              </w:rPr>
              <w:t>• Oversight of the Company’s risk exposures in cybersecurity and data privacy and the steps management takes to</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identify, assess, monitor and mitigate such exposures.</w:t>
            </w:r>
          </w:p>
        </w:tc>
      </w:tr>
      <w:tr>
        <w:trPr>
          <w:trHeight w:val="187"/>
        </w:trPr>
        <w:tc>
          <w:tcPr>
            <w:tcW w:w="2620" w:type="dxa"/>
            <w:vAlign w:val="bottom"/>
          </w:tcPr>
          <w:p>
            <w:pPr>
              <w:spacing w:after="0"/>
              <w:rPr>
                <w:sz w:val="16"/>
                <w:szCs w:val="16"/>
                <w:color w:val="auto"/>
              </w:rPr>
            </w:pPr>
          </w:p>
        </w:tc>
        <w:tc>
          <w:tcPr>
            <w:tcW w:w="8300" w:type="dxa"/>
            <w:vAlign w:val="bottom"/>
          </w:tcPr>
          <w:p>
            <w:pPr>
              <w:ind w:left="120"/>
              <w:spacing w:after="0"/>
              <w:rPr>
                <w:sz w:val="20"/>
                <w:szCs w:val="20"/>
                <w:color w:val="auto"/>
              </w:rPr>
            </w:pPr>
            <w:r>
              <w:rPr>
                <w:rFonts w:ascii="Arial" w:cs="Arial" w:eastAsia="Arial" w:hAnsi="Arial"/>
                <w:sz w:val="16"/>
                <w:szCs w:val="16"/>
                <w:color w:val="auto"/>
              </w:rPr>
              <w:t>• Oversees, on behalf of the Board, the Company’s internal controls over financial reporting.</w:t>
            </w:r>
          </w:p>
        </w:tc>
      </w:tr>
      <w:tr>
        <w:trPr>
          <w:trHeight w:val="211"/>
        </w:trPr>
        <w:tc>
          <w:tcPr>
            <w:tcW w:w="2620" w:type="dxa"/>
            <w:vAlign w:val="bottom"/>
          </w:tcPr>
          <w:p>
            <w:pPr>
              <w:spacing w:after="0"/>
              <w:rPr>
                <w:sz w:val="18"/>
                <w:szCs w:val="18"/>
                <w:color w:val="auto"/>
              </w:rPr>
            </w:pPr>
          </w:p>
        </w:tc>
        <w:tc>
          <w:tcPr>
            <w:tcW w:w="8300" w:type="dxa"/>
            <w:vAlign w:val="bottom"/>
          </w:tcPr>
          <w:p>
            <w:pPr>
              <w:ind w:left="120"/>
              <w:spacing w:after="0"/>
              <w:rPr>
                <w:sz w:val="20"/>
                <w:szCs w:val="20"/>
                <w:color w:val="auto"/>
              </w:rPr>
            </w:pPr>
            <w:r>
              <w:rPr>
                <w:rFonts w:ascii="Arial" w:cs="Arial" w:eastAsia="Arial" w:hAnsi="Arial"/>
                <w:sz w:val="16"/>
                <w:szCs w:val="16"/>
                <w:color w:val="auto"/>
              </w:rPr>
              <w:t>• Key role in oversight of the Company’s compliance with legal and regulatory requirements.</w:t>
            </w:r>
          </w:p>
        </w:tc>
      </w:tr>
      <w:tr>
        <w:trPr>
          <w:trHeight w:val="97"/>
        </w:trPr>
        <w:tc>
          <w:tcPr>
            <w:tcW w:w="2620" w:type="dxa"/>
            <w:vAlign w:val="bottom"/>
            <w:tcBorders>
              <w:bottom w:val="single" w:sz="8" w:color="009BDE"/>
            </w:tcBorders>
          </w:tcPr>
          <w:p>
            <w:pPr>
              <w:spacing w:after="0"/>
              <w:rPr>
                <w:sz w:val="8"/>
                <w:szCs w:val="8"/>
                <w:color w:val="auto"/>
              </w:rPr>
            </w:pPr>
          </w:p>
        </w:tc>
        <w:tc>
          <w:tcPr>
            <w:tcW w:w="8300" w:type="dxa"/>
            <w:vAlign w:val="bottom"/>
            <w:tcBorders>
              <w:bottom w:val="single" w:sz="8" w:color="009BDE"/>
            </w:tcBorders>
          </w:tcPr>
          <w:p>
            <w:pPr>
              <w:spacing w:after="0"/>
              <w:rPr>
                <w:sz w:val="8"/>
                <w:szCs w:val="8"/>
                <w:color w:val="auto"/>
              </w:rPr>
            </w:pP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Compensation and Talent</w:t>
            </w:r>
          </w:p>
        </w:tc>
        <w:tc>
          <w:tcPr>
            <w:tcW w:w="8300" w:type="dxa"/>
            <w:vAlign w:val="bottom"/>
          </w:tcPr>
          <w:p>
            <w:pPr>
              <w:ind w:left="120"/>
              <w:spacing w:after="0"/>
              <w:rPr>
                <w:sz w:val="20"/>
                <w:szCs w:val="20"/>
                <w:color w:val="auto"/>
              </w:rPr>
            </w:pPr>
            <w:r>
              <w:rPr>
                <w:rFonts w:ascii="Arial" w:cs="Arial" w:eastAsia="Arial" w:hAnsi="Arial"/>
                <w:sz w:val="16"/>
                <w:szCs w:val="16"/>
                <w:color w:val="auto"/>
              </w:rPr>
              <w:t>• Assists the Board in oversight of the compensation programs for the Company’s executive officers.</w:t>
            </w:r>
          </w:p>
        </w:tc>
      </w:tr>
      <w:tr>
        <w:trPr>
          <w:trHeight w:val="187"/>
        </w:trPr>
        <w:tc>
          <w:tcPr>
            <w:tcW w:w="2620" w:type="dxa"/>
            <w:vAlign w:val="bottom"/>
          </w:tcPr>
          <w:p>
            <w:pPr>
              <w:spacing w:after="0"/>
              <w:rPr>
                <w:sz w:val="16"/>
                <w:szCs w:val="16"/>
                <w:color w:val="auto"/>
              </w:rPr>
            </w:pPr>
          </w:p>
        </w:tc>
        <w:tc>
          <w:tcPr>
            <w:tcW w:w="8300" w:type="dxa"/>
            <w:vAlign w:val="bottom"/>
          </w:tcPr>
          <w:p>
            <w:pPr>
              <w:ind w:left="120"/>
              <w:spacing w:after="0"/>
              <w:rPr>
                <w:sz w:val="20"/>
                <w:szCs w:val="20"/>
                <w:color w:val="auto"/>
              </w:rPr>
            </w:pPr>
            <w:r>
              <w:rPr>
                <w:rFonts w:ascii="Arial" w:cs="Arial" w:eastAsia="Arial" w:hAnsi="Arial"/>
                <w:sz w:val="16"/>
                <w:szCs w:val="16"/>
                <w:color w:val="auto"/>
              </w:rPr>
              <w:t>• Ensures that the performance goals and metrics being used in the Company’s compensation plans and</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arrangements align the interests of executives with those of the Company and its shareholders and maximize</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executive and Company performance, while not creating incentives on the part of executives to take excessive or</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inappropriate risks.</w:t>
            </w:r>
          </w:p>
        </w:tc>
      </w:tr>
      <w:tr>
        <w:trPr>
          <w:trHeight w:val="187"/>
        </w:trPr>
        <w:tc>
          <w:tcPr>
            <w:tcW w:w="2620" w:type="dxa"/>
            <w:vAlign w:val="bottom"/>
          </w:tcPr>
          <w:p>
            <w:pPr>
              <w:spacing w:after="0"/>
              <w:rPr>
                <w:sz w:val="16"/>
                <w:szCs w:val="16"/>
                <w:color w:val="auto"/>
              </w:rPr>
            </w:pPr>
          </w:p>
        </w:tc>
        <w:tc>
          <w:tcPr>
            <w:tcW w:w="8300" w:type="dxa"/>
            <w:vAlign w:val="bottom"/>
          </w:tcPr>
          <w:p>
            <w:pPr>
              <w:ind w:left="120"/>
              <w:spacing w:after="0"/>
              <w:rPr>
                <w:sz w:val="20"/>
                <w:szCs w:val="20"/>
                <w:color w:val="auto"/>
              </w:rPr>
            </w:pPr>
            <w:r>
              <w:rPr>
                <w:rFonts w:ascii="Arial" w:cs="Arial" w:eastAsia="Arial" w:hAnsi="Arial"/>
                <w:sz w:val="16"/>
                <w:szCs w:val="16"/>
                <w:color w:val="auto"/>
              </w:rPr>
              <w:t>• Assists the Board in risk oversight of the Company’s key strategies, initiatives, programs, practices and</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performance outcomes related to human capital management, including with respect to recruiting, talent</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development, education and training, retention, and workforce demographics, as well as management</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succession and employment practices (other than within the purview of the Nominating, Governance and Social</w:t>
            </w:r>
          </w:p>
        </w:tc>
      </w:tr>
      <w:tr>
        <w:trPr>
          <w:trHeight w:val="211"/>
        </w:trPr>
        <w:tc>
          <w:tcPr>
            <w:tcW w:w="2620" w:type="dxa"/>
            <w:vAlign w:val="bottom"/>
          </w:tcPr>
          <w:p>
            <w:pPr>
              <w:spacing w:after="0"/>
              <w:rPr>
                <w:sz w:val="18"/>
                <w:szCs w:val="18"/>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Responsibility Committee).</w:t>
            </w:r>
          </w:p>
        </w:tc>
      </w:tr>
      <w:tr>
        <w:trPr>
          <w:trHeight w:val="97"/>
        </w:trPr>
        <w:tc>
          <w:tcPr>
            <w:tcW w:w="2620" w:type="dxa"/>
            <w:vAlign w:val="bottom"/>
            <w:tcBorders>
              <w:bottom w:val="single" w:sz="8" w:color="009BDE"/>
            </w:tcBorders>
          </w:tcPr>
          <w:p>
            <w:pPr>
              <w:spacing w:after="0"/>
              <w:rPr>
                <w:sz w:val="8"/>
                <w:szCs w:val="8"/>
                <w:color w:val="auto"/>
              </w:rPr>
            </w:pPr>
          </w:p>
        </w:tc>
        <w:tc>
          <w:tcPr>
            <w:tcW w:w="8300" w:type="dxa"/>
            <w:vAlign w:val="bottom"/>
            <w:tcBorders>
              <w:bottom w:val="single" w:sz="8" w:color="009BDE"/>
            </w:tcBorders>
          </w:tcPr>
          <w:p>
            <w:pPr>
              <w:spacing w:after="0"/>
              <w:rPr>
                <w:sz w:val="8"/>
                <w:szCs w:val="8"/>
                <w:color w:val="auto"/>
              </w:rPr>
            </w:pP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Finance and Capital Allocation</w:t>
            </w:r>
          </w:p>
        </w:tc>
        <w:tc>
          <w:tcPr>
            <w:tcW w:w="8300" w:type="dxa"/>
            <w:vAlign w:val="bottom"/>
          </w:tcPr>
          <w:p>
            <w:pPr>
              <w:ind w:left="120"/>
              <w:spacing w:after="0"/>
              <w:rPr>
                <w:sz w:val="20"/>
                <w:szCs w:val="20"/>
                <w:color w:val="auto"/>
              </w:rPr>
            </w:pPr>
            <w:r>
              <w:rPr>
                <w:rFonts w:ascii="Arial" w:cs="Arial" w:eastAsia="Arial" w:hAnsi="Arial"/>
                <w:sz w:val="16"/>
                <w:szCs w:val="16"/>
                <w:color w:val="auto"/>
              </w:rPr>
              <w:t>• Reviews and discusses with management the Company’s financial risk management activities and strategies,</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including with respect to foreign currency, credit risk, interest rate exposure and the use of hedging and other</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techniques to manage these risks.</w:t>
            </w:r>
          </w:p>
        </w:tc>
      </w:tr>
      <w:tr>
        <w:trPr>
          <w:trHeight w:val="187"/>
        </w:trPr>
        <w:tc>
          <w:tcPr>
            <w:tcW w:w="2620" w:type="dxa"/>
            <w:vAlign w:val="bottom"/>
          </w:tcPr>
          <w:p>
            <w:pPr>
              <w:spacing w:after="0"/>
              <w:rPr>
                <w:sz w:val="16"/>
                <w:szCs w:val="16"/>
                <w:color w:val="auto"/>
              </w:rPr>
            </w:pPr>
          </w:p>
        </w:tc>
        <w:tc>
          <w:tcPr>
            <w:tcW w:w="8300" w:type="dxa"/>
            <w:vAlign w:val="bottom"/>
          </w:tcPr>
          <w:p>
            <w:pPr>
              <w:ind w:left="120"/>
              <w:spacing w:after="0"/>
              <w:rPr>
                <w:sz w:val="20"/>
                <w:szCs w:val="20"/>
                <w:color w:val="auto"/>
              </w:rPr>
            </w:pPr>
            <w:r>
              <w:rPr>
                <w:rFonts w:ascii="Arial" w:cs="Arial" w:eastAsia="Arial" w:hAnsi="Arial"/>
                <w:sz w:val="16"/>
                <w:szCs w:val="16"/>
                <w:color w:val="auto"/>
              </w:rPr>
              <w:t>• As part of its review of the operating budget and strategic plan, the Finance and Capital Allocation Committee</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reviews major capital allocation decisions and business risks to the Company and the Company’s efforts to</w:t>
            </w:r>
          </w:p>
        </w:tc>
      </w:tr>
      <w:tr>
        <w:trPr>
          <w:trHeight w:val="211"/>
        </w:trPr>
        <w:tc>
          <w:tcPr>
            <w:tcW w:w="2620" w:type="dxa"/>
            <w:vAlign w:val="bottom"/>
          </w:tcPr>
          <w:p>
            <w:pPr>
              <w:spacing w:after="0"/>
              <w:rPr>
                <w:sz w:val="18"/>
                <w:szCs w:val="18"/>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manage those decisions and risks.</w:t>
            </w:r>
          </w:p>
        </w:tc>
      </w:tr>
      <w:tr>
        <w:trPr>
          <w:trHeight w:val="97"/>
        </w:trPr>
        <w:tc>
          <w:tcPr>
            <w:tcW w:w="2620" w:type="dxa"/>
            <w:vAlign w:val="bottom"/>
            <w:tcBorders>
              <w:bottom w:val="single" w:sz="8" w:color="009BDE"/>
            </w:tcBorders>
          </w:tcPr>
          <w:p>
            <w:pPr>
              <w:spacing w:after="0"/>
              <w:rPr>
                <w:sz w:val="8"/>
                <w:szCs w:val="8"/>
                <w:color w:val="auto"/>
              </w:rPr>
            </w:pPr>
          </w:p>
        </w:tc>
        <w:tc>
          <w:tcPr>
            <w:tcW w:w="8300" w:type="dxa"/>
            <w:vAlign w:val="bottom"/>
            <w:tcBorders>
              <w:bottom w:val="single" w:sz="8" w:color="009BDE"/>
            </w:tcBorders>
          </w:tcPr>
          <w:p>
            <w:pPr>
              <w:spacing w:after="0"/>
              <w:rPr>
                <w:sz w:val="8"/>
                <w:szCs w:val="8"/>
                <w:color w:val="auto"/>
              </w:rPr>
            </w:pPr>
          </w:p>
        </w:tc>
      </w:tr>
      <w:tr>
        <w:trPr>
          <w:trHeight w:val="802"/>
        </w:trPr>
        <w:tc>
          <w:tcPr>
            <w:tcW w:w="2620" w:type="dxa"/>
            <w:vAlign w:val="bottom"/>
          </w:tcPr>
          <w:p>
            <w:pPr>
              <w:ind w:left="60"/>
              <w:spacing w:after="0"/>
              <w:rPr>
                <w:sz w:val="20"/>
                <w:szCs w:val="20"/>
                <w:color w:val="auto"/>
              </w:rPr>
            </w:pPr>
            <w:r>
              <w:rPr>
                <w:rFonts w:ascii="Arial" w:cs="Arial" w:eastAsia="Arial" w:hAnsi="Arial"/>
                <w:sz w:val="16"/>
                <w:szCs w:val="16"/>
                <w:b w:val="1"/>
                <w:bCs w:val="1"/>
                <w:color w:val="FCFCFC"/>
              </w:rPr>
              <w:t>    11</w:t>
            </w:r>
          </w:p>
        </w:tc>
        <w:tc>
          <w:tcPr>
            <w:tcW w:w="8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-266700</wp:posOffset>
            </wp:positionV>
            <wp:extent cx="6964045" cy="39052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37"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262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COMMITTEE</w:t>
            </w:r>
          </w:p>
        </w:tc>
        <w:tc>
          <w:tcPr>
            <w:tcW w:w="8300" w:type="dxa"/>
            <w:vAlign w:val="bottom"/>
            <w:shd w:val="clear" w:color="auto" w:fill="CCEBF8"/>
          </w:tcPr>
          <w:p>
            <w:pPr>
              <w:ind w:left="3520"/>
              <w:spacing w:after="0"/>
              <w:rPr>
                <w:sz w:val="20"/>
                <w:szCs w:val="20"/>
                <w:color w:val="auto"/>
              </w:rPr>
            </w:pPr>
            <w:r>
              <w:rPr>
                <w:rFonts w:ascii="Arial" w:cs="Arial" w:eastAsia="Arial" w:hAnsi="Arial"/>
                <w:sz w:val="16"/>
                <w:szCs w:val="16"/>
                <w:b w:val="1"/>
                <w:bCs w:val="1"/>
                <w:color w:val="009BDE"/>
              </w:rPr>
              <w:t>RISK OVERSIGHT</w:t>
            </w:r>
          </w:p>
        </w:tc>
      </w:tr>
      <w:tr>
        <w:trPr>
          <w:trHeight w:val="114"/>
        </w:trPr>
        <w:tc>
          <w:tcPr>
            <w:tcW w:w="2620" w:type="dxa"/>
            <w:vAlign w:val="bottom"/>
            <w:tcBorders>
              <w:bottom w:val="single" w:sz="8" w:color="009BDE"/>
            </w:tcBorders>
            <w:shd w:val="clear" w:color="auto" w:fill="CCEBF8"/>
          </w:tcPr>
          <w:p>
            <w:pPr>
              <w:spacing w:after="0"/>
              <w:rPr>
                <w:sz w:val="9"/>
                <w:szCs w:val="9"/>
                <w:color w:val="auto"/>
              </w:rPr>
            </w:pPr>
          </w:p>
        </w:tc>
        <w:tc>
          <w:tcPr>
            <w:tcW w:w="8300" w:type="dxa"/>
            <w:vAlign w:val="bottom"/>
            <w:tcBorders>
              <w:bottom w:val="single" w:sz="8" w:color="009BDE"/>
            </w:tcBorders>
            <w:shd w:val="clear" w:color="auto" w:fill="CCEBF8"/>
          </w:tcPr>
          <w:p>
            <w:pPr>
              <w:spacing w:after="0"/>
              <w:rPr>
                <w:sz w:val="9"/>
                <w:szCs w:val="9"/>
                <w:color w:val="auto"/>
              </w:rPr>
            </w:pP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Nominating, Governance and</w:t>
            </w:r>
          </w:p>
        </w:tc>
        <w:tc>
          <w:tcPr>
            <w:tcW w:w="8300" w:type="dxa"/>
            <w:vAlign w:val="bottom"/>
          </w:tcPr>
          <w:p>
            <w:pPr>
              <w:ind w:left="120"/>
              <w:spacing w:after="0"/>
              <w:rPr>
                <w:sz w:val="20"/>
                <w:szCs w:val="20"/>
                <w:color w:val="auto"/>
              </w:rPr>
            </w:pPr>
            <w:r>
              <w:rPr>
                <w:rFonts w:ascii="Arial" w:cs="Arial" w:eastAsia="Arial" w:hAnsi="Arial"/>
                <w:sz w:val="16"/>
                <w:szCs w:val="16"/>
                <w:color w:val="auto"/>
              </w:rPr>
              <w:t>• Assists the Board in its oversight of the Company’s governance policies and structures, management and director</w:t>
            </w:r>
          </w:p>
        </w:tc>
      </w:tr>
      <w:tr>
        <w:trPr>
          <w:trHeight w:val="187"/>
        </w:trPr>
        <w:tc>
          <w:tcPr>
            <w:tcW w:w="2620" w:type="dxa"/>
            <w:vAlign w:val="bottom"/>
          </w:tcPr>
          <w:p>
            <w:pPr>
              <w:ind w:left="80"/>
              <w:spacing w:after="0"/>
              <w:rPr>
                <w:sz w:val="20"/>
                <w:szCs w:val="20"/>
                <w:color w:val="auto"/>
              </w:rPr>
            </w:pPr>
            <w:r>
              <w:rPr>
                <w:rFonts w:ascii="Arial" w:cs="Arial" w:eastAsia="Arial" w:hAnsi="Arial"/>
                <w:sz w:val="16"/>
                <w:szCs w:val="16"/>
                <w:color w:val="auto"/>
              </w:rPr>
              <w:t>Social Responsibility</w:t>
            </w:r>
          </w:p>
        </w:tc>
        <w:tc>
          <w:tcPr>
            <w:tcW w:w="8300" w:type="dxa"/>
            <w:vAlign w:val="bottom"/>
          </w:tcPr>
          <w:p>
            <w:pPr>
              <w:ind w:left="240"/>
              <w:spacing w:after="0"/>
              <w:rPr>
                <w:sz w:val="20"/>
                <w:szCs w:val="20"/>
                <w:color w:val="auto"/>
              </w:rPr>
            </w:pPr>
            <w:r>
              <w:rPr>
                <w:rFonts w:ascii="Arial" w:cs="Arial" w:eastAsia="Arial" w:hAnsi="Arial"/>
                <w:sz w:val="16"/>
                <w:szCs w:val="16"/>
                <w:color w:val="auto"/>
              </w:rPr>
              <w:t>succession planning, ESG, inclusion and belonging, human capital management and issues related to health,</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safety and the environment and sustainability, as well as risks and efforts to manage risks to the Company in</w:t>
            </w:r>
          </w:p>
        </w:tc>
      </w:tr>
      <w:tr>
        <w:trPr>
          <w:trHeight w:val="211"/>
        </w:trPr>
        <w:tc>
          <w:tcPr>
            <w:tcW w:w="2620" w:type="dxa"/>
            <w:vAlign w:val="bottom"/>
          </w:tcPr>
          <w:p>
            <w:pPr>
              <w:spacing w:after="0"/>
              <w:rPr>
                <w:sz w:val="18"/>
                <w:szCs w:val="18"/>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those areas.</w:t>
            </w:r>
          </w:p>
        </w:tc>
      </w:tr>
      <w:tr>
        <w:trPr>
          <w:trHeight w:val="97"/>
        </w:trPr>
        <w:tc>
          <w:tcPr>
            <w:tcW w:w="2620" w:type="dxa"/>
            <w:vAlign w:val="bottom"/>
            <w:tcBorders>
              <w:bottom w:val="single" w:sz="8" w:color="009BDE"/>
            </w:tcBorders>
          </w:tcPr>
          <w:p>
            <w:pPr>
              <w:spacing w:after="0"/>
              <w:rPr>
                <w:sz w:val="8"/>
                <w:szCs w:val="8"/>
                <w:color w:val="auto"/>
              </w:rPr>
            </w:pPr>
          </w:p>
        </w:tc>
        <w:tc>
          <w:tcPr>
            <w:tcW w:w="8300" w:type="dxa"/>
            <w:vAlign w:val="bottom"/>
            <w:tcBorders>
              <w:bottom w:val="single" w:sz="8" w:color="009BDE"/>
            </w:tcBorders>
          </w:tcPr>
          <w:p>
            <w:pPr>
              <w:spacing w:after="0"/>
              <w:rPr>
                <w:sz w:val="8"/>
                <w:szCs w:val="8"/>
                <w:color w:val="auto"/>
              </w:rPr>
            </w:pP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Board</w:t>
            </w:r>
          </w:p>
        </w:tc>
        <w:tc>
          <w:tcPr>
            <w:tcW w:w="8300" w:type="dxa"/>
            <w:vAlign w:val="bottom"/>
          </w:tcPr>
          <w:p>
            <w:pPr>
              <w:ind w:left="120"/>
              <w:spacing w:after="0"/>
              <w:rPr>
                <w:sz w:val="20"/>
                <w:szCs w:val="20"/>
                <w:color w:val="auto"/>
              </w:rPr>
            </w:pPr>
            <w:r>
              <w:rPr>
                <w:rFonts w:ascii="Arial" w:cs="Arial" w:eastAsia="Arial" w:hAnsi="Arial"/>
                <w:sz w:val="16"/>
                <w:szCs w:val="16"/>
                <w:color w:val="auto"/>
              </w:rPr>
              <w:t>• The full Board regularly reviews the efforts of each of its committees and discusses, at the level of the full Board,</w:t>
            </w:r>
          </w:p>
        </w:tc>
      </w:tr>
      <w:tr>
        <w:trPr>
          <w:trHeight w:val="187"/>
        </w:trPr>
        <w:tc>
          <w:tcPr>
            <w:tcW w:w="2620" w:type="dxa"/>
            <w:vAlign w:val="bottom"/>
          </w:tcPr>
          <w:p>
            <w:pPr>
              <w:spacing w:after="0"/>
              <w:rPr>
                <w:sz w:val="16"/>
                <w:szCs w:val="16"/>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the key strategic, financial, business, legal and other risks facing the Company, including emerging risks such as</w:t>
            </w:r>
          </w:p>
        </w:tc>
      </w:tr>
      <w:tr>
        <w:trPr>
          <w:trHeight w:val="211"/>
        </w:trPr>
        <w:tc>
          <w:tcPr>
            <w:tcW w:w="2620" w:type="dxa"/>
            <w:vAlign w:val="bottom"/>
          </w:tcPr>
          <w:p>
            <w:pPr>
              <w:spacing w:after="0"/>
              <w:rPr>
                <w:sz w:val="18"/>
                <w:szCs w:val="18"/>
                <w:color w:val="auto"/>
              </w:rPr>
            </w:pPr>
          </w:p>
        </w:tc>
        <w:tc>
          <w:tcPr>
            <w:tcW w:w="8300" w:type="dxa"/>
            <w:vAlign w:val="bottom"/>
          </w:tcPr>
          <w:p>
            <w:pPr>
              <w:ind w:left="240"/>
              <w:spacing w:after="0"/>
              <w:rPr>
                <w:sz w:val="20"/>
                <w:szCs w:val="20"/>
                <w:color w:val="auto"/>
              </w:rPr>
            </w:pPr>
            <w:r>
              <w:rPr>
                <w:rFonts w:ascii="Arial" w:cs="Arial" w:eastAsia="Arial" w:hAnsi="Arial"/>
                <w:sz w:val="16"/>
                <w:szCs w:val="16"/>
                <w:color w:val="auto"/>
              </w:rPr>
              <w:t>artificial intelligence, and the Company’s efforts to manage those risks.</w:t>
            </w:r>
          </w:p>
        </w:tc>
      </w:tr>
      <w:tr>
        <w:trPr>
          <w:trHeight w:val="97"/>
        </w:trPr>
        <w:tc>
          <w:tcPr>
            <w:tcW w:w="2620" w:type="dxa"/>
            <w:vAlign w:val="bottom"/>
            <w:tcBorders>
              <w:bottom w:val="single" w:sz="8" w:color="009BDE"/>
            </w:tcBorders>
          </w:tcPr>
          <w:p>
            <w:pPr>
              <w:spacing w:after="0"/>
              <w:rPr>
                <w:sz w:val="8"/>
                <w:szCs w:val="8"/>
                <w:color w:val="auto"/>
              </w:rPr>
            </w:pPr>
          </w:p>
        </w:tc>
        <w:tc>
          <w:tcPr>
            <w:tcW w:w="8300" w:type="dxa"/>
            <w:vAlign w:val="bottom"/>
            <w:tcBorders>
              <w:bottom w:val="single" w:sz="8" w:color="009BDE"/>
            </w:tcBorders>
          </w:tcPr>
          <w:p>
            <w:pPr>
              <w:spacing w:after="0"/>
              <w:rPr>
                <w:sz w:val="8"/>
                <w:szCs w:val="8"/>
                <w:color w:val="auto"/>
              </w:rPr>
            </w:pPr>
          </w:p>
        </w:tc>
      </w:tr>
    </w:tbl>
    <w:p>
      <w:pPr>
        <w:spacing w:after="0" w:line="120" w:lineRule="exact"/>
        <w:rPr>
          <w:sz w:val="20"/>
          <w:szCs w:val="20"/>
          <w:color w:val="auto"/>
        </w:rPr>
      </w:pPr>
    </w:p>
    <w:p>
      <w:pPr>
        <w:ind w:left="160" w:right="80"/>
        <w:spacing w:after="0" w:line="251" w:lineRule="auto"/>
        <w:rPr>
          <w:sz w:val="20"/>
          <w:szCs w:val="20"/>
          <w:color w:val="auto"/>
        </w:rPr>
      </w:pPr>
      <w:r>
        <w:rPr>
          <w:rFonts w:ascii="Arial" w:cs="Arial" w:eastAsia="Arial" w:hAnsi="Arial"/>
          <w:sz w:val="16"/>
          <w:szCs w:val="16"/>
          <w:color w:val="auto"/>
        </w:rPr>
        <w:t>The Board and its committees receive periodic reports from internal and external advisors on risks to the organization. These reports come from the functional leaders across the organization. The Company’s compliance team, sustainability team and internal audit team also provide regular reports to our Board and its committees. The internal audit team presents a regular enterprise risk assessment to the Audit Committee, which is shared with the Board. In addition, other areas, such as cybersecurity and privacy risk, are assessed by third parties who report to the Audit Committee and the full Board. Members of our disclosure committee receive and provide reports on risks identified, and review material risks that could rise to the level of public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142240</wp:posOffset>
            </wp:positionV>
            <wp:extent cx="6929755" cy="39941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6929755" cy="399415"/>
                    </a:xfrm>
                    <a:prstGeom prst="rect">
                      <a:avLst/>
                    </a:prstGeom>
                    <a:noFill/>
                  </pic:spPr>
                </pic:pic>
              </a:graphicData>
            </a:graphic>
          </wp:anchor>
        </w:drawing>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Director Compensation</w:t>
      </w:r>
    </w:p>
    <w:p>
      <w:pPr>
        <w:spacing w:after="0" w:line="388"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The following table sets forth information concerning compensation of the Company’s directors for fiscal 2025. Mr. Cocks, the Company’s Chief Executive Officer, served on the Board during fiscal 2025. However, Mr. Cocks did not receive any compensation for his Board service in fiscal 2025 while performing duties as an officer of the Company. Mr. Bowser and Ms. Vernón joined the Board in January 2026 and did not receive any compensation for Board service in 2025.</w:t>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3000" w:type="dxa"/>
            <w:vAlign w:val="bottom"/>
            <w:shd w:val="clear" w:color="auto" w:fill="CCEBF8"/>
          </w:tcPr>
          <w:p>
            <w:pPr>
              <w:spacing w:after="0"/>
              <w:rPr>
                <w:sz w:val="20"/>
                <w:szCs w:val="20"/>
                <w:color w:val="auto"/>
              </w:rPr>
            </w:pPr>
          </w:p>
        </w:tc>
        <w:tc>
          <w:tcPr>
            <w:tcW w:w="300" w:type="dxa"/>
            <w:vAlign w:val="bottom"/>
            <w:shd w:val="clear" w:color="auto" w:fill="CCEBF8"/>
          </w:tcPr>
          <w:p>
            <w:pPr>
              <w:spacing w:after="0"/>
              <w:rPr>
                <w:sz w:val="20"/>
                <w:szCs w:val="20"/>
                <w:color w:val="auto"/>
              </w:rPr>
            </w:pPr>
          </w:p>
        </w:tc>
        <w:tc>
          <w:tcPr>
            <w:tcW w:w="880" w:type="dxa"/>
            <w:vAlign w:val="bottom"/>
            <w:shd w:val="clear" w:color="auto" w:fill="CCEBF8"/>
          </w:tcPr>
          <w:p>
            <w:pPr>
              <w:spacing w:after="0"/>
              <w:rPr>
                <w:sz w:val="20"/>
                <w:szCs w:val="20"/>
                <w:color w:val="auto"/>
              </w:rPr>
            </w:pPr>
          </w:p>
        </w:tc>
        <w:tc>
          <w:tcPr>
            <w:tcW w:w="1220" w:type="dxa"/>
            <w:vAlign w:val="bottom"/>
            <w:shd w:val="clear" w:color="auto" w:fill="CCEBF8"/>
          </w:tcPr>
          <w:p>
            <w:pPr>
              <w:spacing w:after="0"/>
              <w:rPr>
                <w:sz w:val="20"/>
                <w:szCs w:val="20"/>
                <w:color w:val="auto"/>
              </w:rPr>
            </w:pPr>
          </w:p>
        </w:tc>
        <w:tc>
          <w:tcPr>
            <w:tcW w:w="360" w:type="dxa"/>
            <w:vAlign w:val="bottom"/>
            <w:shd w:val="clear" w:color="auto" w:fill="CCEBF8"/>
          </w:tcPr>
          <w:p>
            <w:pPr>
              <w:spacing w:after="0"/>
              <w:rPr>
                <w:sz w:val="20"/>
                <w:szCs w:val="20"/>
                <w:color w:val="auto"/>
              </w:rPr>
            </w:pPr>
          </w:p>
        </w:tc>
        <w:tc>
          <w:tcPr>
            <w:tcW w:w="800" w:type="dxa"/>
            <w:vAlign w:val="bottom"/>
            <w:shd w:val="clear" w:color="auto" w:fill="CCEBF8"/>
          </w:tcPr>
          <w:p>
            <w:pPr>
              <w:spacing w:after="0"/>
              <w:rPr>
                <w:sz w:val="20"/>
                <w:szCs w:val="20"/>
                <w:color w:val="auto"/>
              </w:rPr>
            </w:pPr>
          </w:p>
        </w:tc>
        <w:tc>
          <w:tcPr>
            <w:tcW w:w="1540" w:type="dxa"/>
            <w:vAlign w:val="bottom"/>
            <w:shd w:val="clear" w:color="auto" w:fill="CCEBF8"/>
          </w:tcPr>
          <w:p>
            <w:pPr>
              <w:jc w:val="center"/>
              <w:ind w:left="80"/>
              <w:spacing w:after="0"/>
              <w:rPr>
                <w:sz w:val="20"/>
                <w:szCs w:val="20"/>
                <w:color w:val="auto"/>
              </w:rPr>
            </w:pPr>
            <w:r>
              <w:rPr>
                <w:rFonts w:ascii="Arial" w:cs="Arial" w:eastAsia="Arial" w:hAnsi="Arial"/>
                <w:sz w:val="16"/>
                <w:szCs w:val="16"/>
                <w:b w:val="1"/>
                <w:bCs w:val="1"/>
                <w:color w:val="009BDE"/>
              </w:rPr>
              <w:t>Change in</w:t>
            </w:r>
          </w:p>
        </w:tc>
        <w:tc>
          <w:tcPr>
            <w:tcW w:w="320" w:type="dxa"/>
            <w:vAlign w:val="bottom"/>
            <w:shd w:val="clear" w:color="auto" w:fill="CCEBF8"/>
          </w:tcPr>
          <w:p>
            <w:pPr>
              <w:spacing w:after="0"/>
              <w:rPr>
                <w:sz w:val="20"/>
                <w:szCs w:val="20"/>
                <w:color w:val="auto"/>
              </w:rPr>
            </w:pPr>
          </w:p>
        </w:tc>
        <w:tc>
          <w:tcPr>
            <w:tcW w:w="1260" w:type="dxa"/>
            <w:vAlign w:val="bottom"/>
            <w:shd w:val="clear" w:color="auto" w:fill="CCEBF8"/>
          </w:tcPr>
          <w:p>
            <w:pPr>
              <w:spacing w:after="0"/>
              <w:rPr>
                <w:sz w:val="20"/>
                <w:szCs w:val="20"/>
                <w:color w:val="auto"/>
              </w:rPr>
            </w:pPr>
          </w:p>
        </w:tc>
        <w:tc>
          <w:tcPr>
            <w:tcW w:w="1240" w:type="dxa"/>
            <w:vAlign w:val="bottom"/>
            <w:shd w:val="clear" w:color="auto" w:fill="CCEBF8"/>
          </w:tcPr>
          <w:p>
            <w:pPr>
              <w:spacing w:after="0"/>
              <w:rPr>
                <w:sz w:val="20"/>
                <w:szCs w:val="20"/>
                <w:color w:val="auto"/>
              </w:rPr>
            </w:pPr>
          </w:p>
        </w:tc>
      </w:tr>
      <w:tr>
        <w:trPr>
          <w:trHeight w:val="187"/>
        </w:trPr>
        <w:tc>
          <w:tcPr>
            <w:tcW w:w="3000" w:type="dxa"/>
            <w:vAlign w:val="bottom"/>
            <w:shd w:val="clear" w:color="auto" w:fill="CCEBF8"/>
          </w:tcPr>
          <w:p>
            <w:pPr>
              <w:spacing w:after="0"/>
              <w:rPr>
                <w:sz w:val="16"/>
                <w:szCs w:val="16"/>
                <w:color w:val="auto"/>
              </w:rPr>
            </w:pPr>
          </w:p>
        </w:tc>
        <w:tc>
          <w:tcPr>
            <w:tcW w:w="300" w:type="dxa"/>
            <w:vAlign w:val="bottom"/>
            <w:shd w:val="clear" w:color="auto" w:fill="CCEBF8"/>
          </w:tcPr>
          <w:p>
            <w:pPr>
              <w:spacing w:after="0"/>
              <w:rPr>
                <w:sz w:val="16"/>
                <w:szCs w:val="16"/>
                <w:color w:val="auto"/>
              </w:rPr>
            </w:pPr>
          </w:p>
        </w:tc>
        <w:tc>
          <w:tcPr>
            <w:tcW w:w="880" w:type="dxa"/>
            <w:vAlign w:val="bottom"/>
            <w:shd w:val="clear" w:color="auto" w:fill="CCEBF8"/>
          </w:tcPr>
          <w:p>
            <w:pPr>
              <w:spacing w:after="0"/>
              <w:rPr>
                <w:sz w:val="16"/>
                <w:szCs w:val="16"/>
                <w:color w:val="auto"/>
              </w:rPr>
            </w:pPr>
          </w:p>
        </w:tc>
        <w:tc>
          <w:tcPr>
            <w:tcW w:w="1220" w:type="dxa"/>
            <w:vAlign w:val="bottom"/>
            <w:shd w:val="clear" w:color="auto" w:fill="CCEBF8"/>
          </w:tcPr>
          <w:p>
            <w:pPr>
              <w:spacing w:after="0"/>
              <w:rPr>
                <w:sz w:val="16"/>
                <w:szCs w:val="16"/>
                <w:color w:val="auto"/>
              </w:rPr>
            </w:pPr>
          </w:p>
        </w:tc>
        <w:tc>
          <w:tcPr>
            <w:tcW w:w="360" w:type="dxa"/>
            <w:vAlign w:val="bottom"/>
            <w:shd w:val="clear" w:color="auto" w:fill="CCEBF8"/>
          </w:tcPr>
          <w:p>
            <w:pPr>
              <w:spacing w:after="0"/>
              <w:rPr>
                <w:sz w:val="16"/>
                <w:szCs w:val="16"/>
                <w:color w:val="auto"/>
              </w:rPr>
            </w:pPr>
          </w:p>
        </w:tc>
        <w:tc>
          <w:tcPr>
            <w:tcW w:w="800" w:type="dxa"/>
            <w:vAlign w:val="bottom"/>
            <w:shd w:val="clear" w:color="auto" w:fill="CCEBF8"/>
          </w:tcPr>
          <w:p>
            <w:pPr>
              <w:spacing w:after="0"/>
              <w:rPr>
                <w:sz w:val="16"/>
                <w:szCs w:val="16"/>
                <w:color w:val="auto"/>
              </w:rPr>
            </w:pPr>
          </w:p>
        </w:tc>
        <w:tc>
          <w:tcPr>
            <w:tcW w:w="1540" w:type="dxa"/>
            <w:vAlign w:val="bottom"/>
            <w:shd w:val="clear" w:color="auto" w:fill="CCEBF8"/>
          </w:tcPr>
          <w:p>
            <w:pPr>
              <w:jc w:val="center"/>
              <w:ind w:left="80"/>
              <w:spacing w:after="0"/>
              <w:rPr>
                <w:sz w:val="20"/>
                <w:szCs w:val="20"/>
                <w:color w:val="auto"/>
              </w:rPr>
            </w:pPr>
            <w:r>
              <w:rPr>
                <w:rFonts w:ascii="Arial" w:cs="Arial" w:eastAsia="Arial" w:hAnsi="Arial"/>
                <w:sz w:val="16"/>
                <w:szCs w:val="16"/>
                <w:b w:val="1"/>
                <w:bCs w:val="1"/>
                <w:color w:val="009BDE"/>
                <w:w w:val="99"/>
              </w:rPr>
              <w:t>Pension</w:t>
            </w:r>
          </w:p>
        </w:tc>
        <w:tc>
          <w:tcPr>
            <w:tcW w:w="320" w:type="dxa"/>
            <w:vAlign w:val="bottom"/>
            <w:shd w:val="clear" w:color="auto" w:fill="CCEBF8"/>
          </w:tcPr>
          <w:p>
            <w:pPr>
              <w:spacing w:after="0"/>
              <w:rPr>
                <w:sz w:val="16"/>
                <w:szCs w:val="16"/>
                <w:color w:val="auto"/>
              </w:rPr>
            </w:pPr>
          </w:p>
        </w:tc>
        <w:tc>
          <w:tcPr>
            <w:tcW w:w="1260" w:type="dxa"/>
            <w:vAlign w:val="bottom"/>
            <w:shd w:val="clear" w:color="auto" w:fill="CCEBF8"/>
          </w:tcPr>
          <w:p>
            <w:pPr>
              <w:spacing w:after="0"/>
              <w:rPr>
                <w:sz w:val="16"/>
                <w:szCs w:val="16"/>
                <w:color w:val="auto"/>
              </w:rPr>
            </w:pPr>
          </w:p>
        </w:tc>
        <w:tc>
          <w:tcPr>
            <w:tcW w:w="1240" w:type="dxa"/>
            <w:vAlign w:val="bottom"/>
            <w:shd w:val="clear" w:color="auto" w:fill="CCEBF8"/>
          </w:tcPr>
          <w:p>
            <w:pPr>
              <w:spacing w:after="0"/>
              <w:rPr>
                <w:sz w:val="16"/>
                <w:szCs w:val="16"/>
                <w:color w:val="auto"/>
              </w:rPr>
            </w:pPr>
          </w:p>
        </w:tc>
      </w:tr>
      <w:tr>
        <w:trPr>
          <w:trHeight w:val="187"/>
        </w:trPr>
        <w:tc>
          <w:tcPr>
            <w:tcW w:w="3000" w:type="dxa"/>
            <w:vAlign w:val="bottom"/>
            <w:shd w:val="clear" w:color="auto" w:fill="CCEBF8"/>
          </w:tcPr>
          <w:p>
            <w:pPr>
              <w:spacing w:after="0"/>
              <w:rPr>
                <w:sz w:val="16"/>
                <w:szCs w:val="16"/>
                <w:color w:val="auto"/>
              </w:rPr>
            </w:pPr>
          </w:p>
        </w:tc>
        <w:tc>
          <w:tcPr>
            <w:tcW w:w="300" w:type="dxa"/>
            <w:vAlign w:val="bottom"/>
            <w:shd w:val="clear" w:color="auto" w:fill="CCEBF8"/>
          </w:tcPr>
          <w:p>
            <w:pPr>
              <w:spacing w:after="0"/>
              <w:rPr>
                <w:sz w:val="16"/>
                <w:szCs w:val="16"/>
                <w:color w:val="auto"/>
              </w:rPr>
            </w:pPr>
          </w:p>
        </w:tc>
        <w:tc>
          <w:tcPr>
            <w:tcW w:w="880" w:type="dxa"/>
            <w:vAlign w:val="bottom"/>
            <w:shd w:val="clear" w:color="auto" w:fill="CCEBF8"/>
          </w:tcPr>
          <w:p>
            <w:pPr>
              <w:spacing w:after="0"/>
              <w:rPr>
                <w:sz w:val="16"/>
                <w:szCs w:val="16"/>
                <w:color w:val="auto"/>
              </w:rPr>
            </w:pPr>
          </w:p>
        </w:tc>
        <w:tc>
          <w:tcPr>
            <w:tcW w:w="1220" w:type="dxa"/>
            <w:vAlign w:val="bottom"/>
            <w:shd w:val="clear" w:color="auto" w:fill="CCEBF8"/>
          </w:tcPr>
          <w:p>
            <w:pPr>
              <w:spacing w:after="0"/>
              <w:rPr>
                <w:sz w:val="16"/>
                <w:szCs w:val="16"/>
                <w:color w:val="auto"/>
              </w:rPr>
            </w:pPr>
          </w:p>
        </w:tc>
        <w:tc>
          <w:tcPr>
            <w:tcW w:w="360" w:type="dxa"/>
            <w:vAlign w:val="bottom"/>
            <w:shd w:val="clear" w:color="auto" w:fill="CCEBF8"/>
          </w:tcPr>
          <w:p>
            <w:pPr>
              <w:spacing w:after="0"/>
              <w:rPr>
                <w:sz w:val="16"/>
                <w:szCs w:val="16"/>
                <w:color w:val="auto"/>
              </w:rPr>
            </w:pPr>
          </w:p>
        </w:tc>
        <w:tc>
          <w:tcPr>
            <w:tcW w:w="800" w:type="dxa"/>
            <w:vAlign w:val="bottom"/>
            <w:shd w:val="clear" w:color="auto" w:fill="CCEBF8"/>
          </w:tcPr>
          <w:p>
            <w:pPr>
              <w:spacing w:after="0"/>
              <w:rPr>
                <w:sz w:val="16"/>
                <w:szCs w:val="16"/>
                <w:color w:val="auto"/>
              </w:rPr>
            </w:pPr>
          </w:p>
        </w:tc>
        <w:tc>
          <w:tcPr>
            <w:tcW w:w="1540" w:type="dxa"/>
            <w:vAlign w:val="bottom"/>
            <w:shd w:val="clear" w:color="auto" w:fill="CCEBF8"/>
          </w:tcPr>
          <w:p>
            <w:pPr>
              <w:jc w:val="center"/>
              <w:ind w:left="60"/>
              <w:spacing w:after="0"/>
              <w:rPr>
                <w:sz w:val="20"/>
                <w:szCs w:val="20"/>
                <w:color w:val="auto"/>
              </w:rPr>
            </w:pPr>
            <w:r>
              <w:rPr>
                <w:rFonts w:ascii="Arial" w:cs="Arial" w:eastAsia="Arial" w:hAnsi="Arial"/>
                <w:sz w:val="16"/>
                <w:szCs w:val="16"/>
                <w:b w:val="1"/>
                <w:bCs w:val="1"/>
                <w:color w:val="009BDE"/>
              </w:rPr>
              <w:t>Value and</w:t>
            </w:r>
          </w:p>
        </w:tc>
        <w:tc>
          <w:tcPr>
            <w:tcW w:w="320" w:type="dxa"/>
            <w:vAlign w:val="bottom"/>
            <w:shd w:val="clear" w:color="auto" w:fill="CCEBF8"/>
          </w:tcPr>
          <w:p>
            <w:pPr>
              <w:spacing w:after="0"/>
              <w:rPr>
                <w:sz w:val="16"/>
                <w:szCs w:val="16"/>
                <w:color w:val="auto"/>
              </w:rPr>
            </w:pPr>
          </w:p>
        </w:tc>
        <w:tc>
          <w:tcPr>
            <w:tcW w:w="1260" w:type="dxa"/>
            <w:vAlign w:val="bottom"/>
            <w:shd w:val="clear" w:color="auto" w:fill="CCEBF8"/>
          </w:tcPr>
          <w:p>
            <w:pPr>
              <w:spacing w:after="0"/>
              <w:rPr>
                <w:sz w:val="16"/>
                <w:szCs w:val="16"/>
                <w:color w:val="auto"/>
              </w:rPr>
            </w:pPr>
          </w:p>
        </w:tc>
        <w:tc>
          <w:tcPr>
            <w:tcW w:w="1240" w:type="dxa"/>
            <w:vAlign w:val="bottom"/>
            <w:shd w:val="clear" w:color="auto" w:fill="CCEBF8"/>
          </w:tcPr>
          <w:p>
            <w:pPr>
              <w:spacing w:after="0"/>
              <w:rPr>
                <w:sz w:val="16"/>
                <w:szCs w:val="16"/>
                <w:color w:val="auto"/>
              </w:rPr>
            </w:pPr>
          </w:p>
        </w:tc>
      </w:tr>
      <w:tr>
        <w:trPr>
          <w:trHeight w:val="187"/>
        </w:trPr>
        <w:tc>
          <w:tcPr>
            <w:tcW w:w="3000" w:type="dxa"/>
            <w:vAlign w:val="bottom"/>
            <w:shd w:val="clear" w:color="auto" w:fill="CCEBF8"/>
          </w:tcPr>
          <w:p>
            <w:pPr>
              <w:spacing w:after="0"/>
              <w:rPr>
                <w:sz w:val="16"/>
                <w:szCs w:val="16"/>
                <w:color w:val="auto"/>
              </w:rPr>
            </w:pPr>
          </w:p>
        </w:tc>
        <w:tc>
          <w:tcPr>
            <w:tcW w:w="300" w:type="dxa"/>
            <w:vAlign w:val="bottom"/>
            <w:shd w:val="clear" w:color="auto" w:fill="CCEBF8"/>
          </w:tcPr>
          <w:p>
            <w:pPr>
              <w:spacing w:after="0"/>
              <w:rPr>
                <w:sz w:val="16"/>
                <w:szCs w:val="16"/>
                <w:color w:val="auto"/>
              </w:rPr>
            </w:pPr>
          </w:p>
        </w:tc>
        <w:tc>
          <w:tcPr>
            <w:tcW w:w="880" w:type="dxa"/>
            <w:vAlign w:val="bottom"/>
            <w:shd w:val="clear" w:color="auto" w:fill="CCEBF8"/>
          </w:tcPr>
          <w:p>
            <w:pPr>
              <w:jc w:val="center"/>
              <w:ind w:right="260"/>
              <w:spacing w:after="0"/>
              <w:rPr>
                <w:sz w:val="20"/>
                <w:szCs w:val="20"/>
                <w:color w:val="auto"/>
              </w:rPr>
            </w:pPr>
            <w:r>
              <w:rPr>
                <w:rFonts w:ascii="Arial" w:cs="Arial" w:eastAsia="Arial" w:hAnsi="Arial"/>
                <w:sz w:val="16"/>
                <w:szCs w:val="16"/>
                <w:b w:val="1"/>
                <w:bCs w:val="1"/>
                <w:color w:val="009BDE"/>
              </w:rPr>
              <w:t>Fees</w:t>
            </w:r>
          </w:p>
        </w:tc>
        <w:tc>
          <w:tcPr>
            <w:tcW w:w="1220" w:type="dxa"/>
            <w:vAlign w:val="bottom"/>
            <w:shd w:val="clear" w:color="auto" w:fill="CCEBF8"/>
          </w:tcPr>
          <w:p>
            <w:pPr>
              <w:spacing w:after="0"/>
              <w:rPr>
                <w:sz w:val="16"/>
                <w:szCs w:val="16"/>
                <w:color w:val="auto"/>
              </w:rPr>
            </w:pPr>
          </w:p>
        </w:tc>
        <w:tc>
          <w:tcPr>
            <w:tcW w:w="360" w:type="dxa"/>
            <w:vAlign w:val="bottom"/>
            <w:shd w:val="clear" w:color="auto" w:fill="CCEBF8"/>
          </w:tcPr>
          <w:p>
            <w:pPr>
              <w:spacing w:after="0"/>
              <w:rPr>
                <w:sz w:val="16"/>
                <w:szCs w:val="16"/>
                <w:color w:val="auto"/>
              </w:rPr>
            </w:pPr>
          </w:p>
        </w:tc>
        <w:tc>
          <w:tcPr>
            <w:tcW w:w="800" w:type="dxa"/>
            <w:vAlign w:val="bottom"/>
            <w:shd w:val="clear" w:color="auto" w:fill="CCEBF8"/>
          </w:tcPr>
          <w:p>
            <w:pPr>
              <w:spacing w:after="0"/>
              <w:rPr>
                <w:sz w:val="16"/>
                <w:szCs w:val="16"/>
                <w:color w:val="auto"/>
              </w:rPr>
            </w:pPr>
          </w:p>
        </w:tc>
        <w:tc>
          <w:tcPr>
            <w:tcW w:w="1540" w:type="dxa"/>
            <w:vAlign w:val="bottom"/>
            <w:shd w:val="clear" w:color="auto" w:fill="CCEBF8"/>
          </w:tcPr>
          <w:p>
            <w:pPr>
              <w:jc w:val="center"/>
              <w:ind w:left="80"/>
              <w:spacing w:after="0"/>
              <w:rPr>
                <w:sz w:val="20"/>
                <w:szCs w:val="20"/>
                <w:color w:val="auto"/>
              </w:rPr>
            </w:pPr>
            <w:r>
              <w:rPr>
                <w:rFonts w:ascii="Arial" w:cs="Arial" w:eastAsia="Arial" w:hAnsi="Arial"/>
                <w:sz w:val="16"/>
                <w:szCs w:val="16"/>
                <w:b w:val="1"/>
                <w:bCs w:val="1"/>
                <w:color w:val="009BDE"/>
                <w:w w:val="99"/>
              </w:rPr>
              <w:t>Non-qualified</w:t>
            </w:r>
          </w:p>
        </w:tc>
        <w:tc>
          <w:tcPr>
            <w:tcW w:w="320" w:type="dxa"/>
            <w:vAlign w:val="bottom"/>
            <w:shd w:val="clear" w:color="auto" w:fill="CCEBF8"/>
          </w:tcPr>
          <w:p>
            <w:pPr>
              <w:spacing w:after="0"/>
              <w:rPr>
                <w:sz w:val="16"/>
                <w:szCs w:val="16"/>
                <w:color w:val="auto"/>
              </w:rPr>
            </w:pPr>
          </w:p>
        </w:tc>
        <w:tc>
          <w:tcPr>
            <w:tcW w:w="1260" w:type="dxa"/>
            <w:vAlign w:val="bottom"/>
            <w:shd w:val="clear" w:color="auto" w:fill="CCEBF8"/>
          </w:tcPr>
          <w:p>
            <w:pPr>
              <w:spacing w:after="0"/>
              <w:rPr>
                <w:sz w:val="16"/>
                <w:szCs w:val="16"/>
                <w:color w:val="auto"/>
              </w:rPr>
            </w:pPr>
          </w:p>
        </w:tc>
        <w:tc>
          <w:tcPr>
            <w:tcW w:w="1240" w:type="dxa"/>
            <w:vAlign w:val="bottom"/>
            <w:shd w:val="clear" w:color="auto" w:fill="CCEBF8"/>
          </w:tcPr>
          <w:p>
            <w:pPr>
              <w:spacing w:after="0"/>
              <w:rPr>
                <w:sz w:val="16"/>
                <w:szCs w:val="16"/>
                <w:color w:val="auto"/>
              </w:rPr>
            </w:pPr>
          </w:p>
        </w:tc>
      </w:tr>
      <w:tr>
        <w:trPr>
          <w:trHeight w:val="187"/>
        </w:trPr>
        <w:tc>
          <w:tcPr>
            <w:tcW w:w="3000" w:type="dxa"/>
            <w:vAlign w:val="bottom"/>
            <w:shd w:val="clear" w:color="auto" w:fill="CCEBF8"/>
          </w:tcPr>
          <w:p>
            <w:pPr>
              <w:spacing w:after="0"/>
              <w:rPr>
                <w:sz w:val="16"/>
                <w:szCs w:val="16"/>
                <w:color w:val="auto"/>
              </w:rPr>
            </w:pPr>
          </w:p>
        </w:tc>
        <w:tc>
          <w:tcPr>
            <w:tcW w:w="300" w:type="dxa"/>
            <w:vAlign w:val="bottom"/>
            <w:shd w:val="clear" w:color="auto" w:fill="CCEBF8"/>
          </w:tcPr>
          <w:p>
            <w:pPr>
              <w:spacing w:after="0"/>
              <w:rPr>
                <w:sz w:val="16"/>
                <w:szCs w:val="16"/>
                <w:color w:val="auto"/>
              </w:rPr>
            </w:pPr>
          </w:p>
        </w:tc>
        <w:tc>
          <w:tcPr>
            <w:tcW w:w="880" w:type="dxa"/>
            <w:vAlign w:val="bottom"/>
            <w:shd w:val="clear" w:color="auto" w:fill="CCEBF8"/>
          </w:tcPr>
          <w:p>
            <w:pPr>
              <w:jc w:val="center"/>
              <w:ind w:right="260"/>
              <w:spacing w:after="0"/>
              <w:rPr>
                <w:sz w:val="20"/>
                <w:szCs w:val="20"/>
                <w:color w:val="auto"/>
              </w:rPr>
            </w:pPr>
            <w:r>
              <w:rPr>
                <w:rFonts w:ascii="Arial" w:cs="Arial" w:eastAsia="Arial" w:hAnsi="Arial"/>
                <w:sz w:val="16"/>
                <w:szCs w:val="16"/>
                <w:b w:val="1"/>
                <w:bCs w:val="1"/>
                <w:color w:val="009BDE"/>
                <w:w w:val="99"/>
              </w:rPr>
              <w:t>Earned</w:t>
            </w:r>
          </w:p>
        </w:tc>
        <w:tc>
          <w:tcPr>
            <w:tcW w:w="12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Stock</w:t>
            </w:r>
          </w:p>
        </w:tc>
        <w:tc>
          <w:tcPr>
            <w:tcW w:w="1160" w:type="dxa"/>
            <w:vAlign w:val="bottom"/>
            <w:gridSpan w:val="2"/>
            <w:shd w:val="clear" w:color="auto" w:fill="CCEBF8"/>
          </w:tcPr>
          <w:p>
            <w:pPr>
              <w:ind w:left="320"/>
              <w:spacing w:after="0"/>
              <w:rPr>
                <w:sz w:val="20"/>
                <w:szCs w:val="20"/>
                <w:color w:val="auto"/>
              </w:rPr>
            </w:pPr>
            <w:r>
              <w:rPr>
                <w:rFonts w:ascii="Arial" w:cs="Arial" w:eastAsia="Arial" w:hAnsi="Arial"/>
                <w:sz w:val="16"/>
                <w:szCs w:val="16"/>
                <w:b w:val="1"/>
                <w:bCs w:val="1"/>
                <w:color w:val="009BDE"/>
              </w:rPr>
              <w:t>Option</w:t>
            </w:r>
          </w:p>
        </w:tc>
        <w:tc>
          <w:tcPr>
            <w:tcW w:w="1540" w:type="dxa"/>
            <w:vAlign w:val="bottom"/>
            <w:shd w:val="clear" w:color="auto" w:fill="CCEBF8"/>
          </w:tcPr>
          <w:p>
            <w:pPr>
              <w:jc w:val="center"/>
              <w:ind w:left="80"/>
              <w:spacing w:after="0"/>
              <w:rPr>
                <w:sz w:val="20"/>
                <w:szCs w:val="20"/>
                <w:color w:val="auto"/>
              </w:rPr>
            </w:pPr>
            <w:r>
              <w:rPr>
                <w:rFonts w:ascii="Arial" w:cs="Arial" w:eastAsia="Arial" w:hAnsi="Arial"/>
                <w:sz w:val="16"/>
                <w:szCs w:val="16"/>
                <w:b w:val="1"/>
                <w:bCs w:val="1"/>
                <w:color w:val="009BDE"/>
              </w:rPr>
              <w:t>Deferred</w:t>
            </w:r>
          </w:p>
        </w:tc>
        <w:tc>
          <w:tcPr>
            <w:tcW w:w="320" w:type="dxa"/>
            <w:vAlign w:val="bottom"/>
            <w:shd w:val="clear" w:color="auto" w:fill="CCEBF8"/>
          </w:tcPr>
          <w:p>
            <w:pPr>
              <w:spacing w:after="0"/>
              <w:rPr>
                <w:sz w:val="16"/>
                <w:szCs w:val="16"/>
                <w:color w:val="auto"/>
              </w:rPr>
            </w:pPr>
          </w:p>
        </w:tc>
        <w:tc>
          <w:tcPr>
            <w:tcW w:w="1260" w:type="dxa"/>
            <w:vAlign w:val="bottom"/>
            <w:shd w:val="clear" w:color="auto" w:fill="CCEBF8"/>
          </w:tcPr>
          <w:p>
            <w:pPr>
              <w:jc w:val="right"/>
              <w:ind w:right="440"/>
              <w:spacing w:after="0"/>
              <w:rPr>
                <w:sz w:val="20"/>
                <w:szCs w:val="20"/>
                <w:color w:val="auto"/>
              </w:rPr>
            </w:pPr>
            <w:r>
              <w:rPr>
                <w:rFonts w:ascii="Arial" w:cs="Arial" w:eastAsia="Arial" w:hAnsi="Arial"/>
                <w:sz w:val="16"/>
                <w:szCs w:val="16"/>
                <w:b w:val="1"/>
                <w:bCs w:val="1"/>
                <w:color w:val="009BDE"/>
              </w:rPr>
              <w:t>All Other</w:t>
            </w:r>
          </w:p>
        </w:tc>
        <w:tc>
          <w:tcPr>
            <w:tcW w:w="1240" w:type="dxa"/>
            <w:vAlign w:val="bottom"/>
            <w:shd w:val="clear" w:color="auto" w:fill="CCEBF8"/>
          </w:tcPr>
          <w:p>
            <w:pPr>
              <w:spacing w:after="0"/>
              <w:rPr>
                <w:sz w:val="16"/>
                <w:szCs w:val="16"/>
                <w:color w:val="auto"/>
              </w:rPr>
            </w:pPr>
          </w:p>
        </w:tc>
      </w:tr>
      <w:tr>
        <w:trPr>
          <w:trHeight w:val="187"/>
        </w:trPr>
        <w:tc>
          <w:tcPr>
            <w:tcW w:w="3000" w:type="dxa"/>
            <w:vAlign w:val="bottom"/>
            <w:shd w:val="clear" w:color="auto" w:fill="CCEBF8"/>
          </w:tcPr>
          <w:p>
            <w:pPr>
              <w:spacing w:after="0"/>
              <w:rPr>
                <w:sz w:val="16"/>
                <w:szCs w:val="16"/>
                <w:color w:val="auto"/>
              </w:rPr>
            </w:pPr>
          </w:p>
        </w:tc>
        <w:tc>
          <w:tcPr>
            <w:tcW w:w="1180" w:type="dxa"/>
            <w:vAlign w:val="bottom"/>
            <w:gridSpan w:val="2"/>
            <w:shd w:val="clear" w:color="auto" w:fill="CCEBF8"/>
          </w:tcPr>
          <w:p>
            <w:pPr>
              <w:ind w:left="200"/>
              <w:spacing w:after="0"/>
              <w:rPr>
                <w:sz w:val="20"/>
                <w:szCs w:val="20"/>
                <w:color w:val="auto"/>
              </w:rPr>
            </w:pPr>
            <w:r>
              <w:rPr>
                <w:rFonts w:ascii="Arial" w:cs="Arial" w:eastAsia="Arial" w:hAnsi="Arial"/>
                <w:sz w:val="16"/>
                <w:szCs w:val="16"/>
                <w:b w:val="1"/>
                <w:bCs w:val="1"/>
                <w:color w:val="009BDE"/>
              </w:rPr>
              <w:t>or Paid in</w:t>
            </w:r>
          </w:p>
        </w:tc>
        <w:tc>
          <w:tcPr>
            <w:tcW w:w="12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Awards</w:t>
            </w:r>
          </w:p>
        </w:tc>
        <w:tc>
          <w:tcPr>
            <w:tcW w:w="1160" w:type="dxa"/>
            <w:vAlign w:val="bottom"/>
            <w:gridSpan w:val="2"/>
            <w:shd w:val="clear" w:color="auto" w:fill="CCEBF8"/>
          </w:tcPr>
          <w:p>
            <w:pPr>
              <w:ind w:left="280"/>
              <w:spacing w:after="0"/>
              <w:rPr>
                <w:sz w:val="20"/>
                <w:szCs w:val="20"/>
                <w:color w:val="auto"/>
              </w:rPr>
            </w:pPr>
            <w:r>
              <w:rPr>
                <w:rFonts w:ascii="Arial" w:cs="Arial" w:eastAsia="Arial" w:hAnsi="Arial"/>
                <w:sz w:val="16"/>
                <w:szCs w:val="16"/>
                <w:b w:val="1"/>
                <w:bCs w:val="1"/>
                <w:color w:val="009BDE"/>
              </w:rPr>
              <w:t>Awards</w:t>
            </w:r>
          </w:p>
        </w:tc>
        <w:tc>
          <w:tcPr>
            <w:tcW w:w="1540" w:type="dxa"/>
            <w:vAlign w:val="bottom"/>
            <w:shd w:val="clear" w:color="auto" w:fill="CCEBF8"/>
          </w:tcPr>
          <w:p>
            <w:pPr>
              <w:jc w:val="center"/>
              <w:ind w:left="60"/>
              <w:spacing w:after="0"/>
              <w:rPr>
                <w:sz w:val="20"/>
                <w:szCs w:val="20"/>
                <w:color w:val="auto"/>
              </w:rPr>
            </w:pPr>
            <w:r>
              <w:rPr>
                <w:rFonts w:ascii="Arial" w:cs="Arial" w:eastAsia="Arial" w:hAnsi="Arial"/>
                <w:sz w:val="16"/>
                <w:szCs w:val="16"/>
                <w:b w:val="1"/>
                <w:bCs w:val="1"/>
                <w:color w:val="009BDE"/>
              </w:rPr>
              <w:t>Compensation</w:t>
            </w:r>
          </w:p>
        </w:tc>
        <w:tc>
          <w:tcPr>
            <w:tcW w:w="1580" w:type="dxa"/>
            <w:vAlign w:val="bottom"/>
            <w:gridSpan w:val="2"/>
            <w:shd w:val="clear" w:color="auto" w:fill="CCEBF8"/>
          </w:tcPr>
          <w:p>
            <w:pPr>
              <w:ind w:left="160"/>
              <w:spacing w:after="0"/>
              <w:rPr>
                <w:sz w:val="20"/>
                <w:szCs w:val="20"/>
                <w:color w:val="auto"/>
              </w:rPr>
            </w:pPr>
            <w:r>
              <w:rPr>
                <w:rFonts w:ascii="Arial" w:cs="Arial" w:eastAsia="Arial" w:hAnsi="Arial"/>
                <w:sz w:val="16"/>
                <w:szCs w:val="16"/>
                <w:b w:val="1"/>
                <w:bCs w:val="1"/>
                <w:color w:val="009BDE"/>
              </w:rPr>
              <w:t>Compensation</w:t>
            </w:r>
          </w:p>
        </w:tc>
        <w:tc>
          <w:tcPr>
            <w:tcW w:w="1240" w:type="dxa"/>
            <w:vAlign w:val="bottom"/>
            <w:shd w:val="clear" w:color="auto" w:fill="CCEBF8"/>
          </w:tcPr>
          <w:p>
            <w:pPr>
              <w:spacing w:after="0"/>
              <w:rPr>
                <w:sz w:val="16"/>
                <w:szCs w:val="16"/>
                <w:color w:val="auto"/>
              </w:rPr>
            </w:pPr>
          </w:p>
        </w:tc>
      </w:tr>
      <w:tr>
        <w:trPr>
          <w:trHeight w:val="235"/>
        </w:trPr>
        <w:tc>
          <w:tcPr>
            <w:tcW w:w="3000" w:type="dxa"/>
            <w:vAlign w:val="bottom"/>
            <w:shd w:val="clear" w:color="auto" w:fill="CCEBF8"/>
          </w:tcPr>
          <w:p>
            <w:pPr>
              <w:spacing w:after="0"/>
              <w:rPr>
                <w:sz w:val="20"/>
                <w:szCs w:val="20"/>
                <w:color w:val="auto"/>
              </w:rPr>
            </w:pPr>
            <w:r>
              <w:rPr>
                <w:rFonts w:ascii="Arial" w:cs="Arial" w:eastAsia="Arial" w:hAnsi="Arial"/>
                <w:sz w:val="16"/>
                <w:szCs w:val="16"/>
                <w:b w:val="1"/>
                <w:bCs w:val="1"/>
                <w:color w:val="009BDE"/>
              </w:rPr>
              <w:t>  Name</w:t>
            </w:r>
          </w:p>
        </w:tc>
        <w:tc>
          <w:tcPr>
            <w:tcW w:w="1180" w:type="dxa"/>
            <w:vAlign w:val="bottom"/>
            <w:gridSpan w:val="2"/>
            <w:shd w:val="clear" w:color="auto" w:fill="CCEBF8"/>
          </w:tcPr>
          <w:p>
            <w:pPr>
              <w:jc w:val="center"/>
              <w:spacing w:after="0"/>
              <w:rPr>
                <w:sz w:val="20"/>
                <w:szCs w:val="20"/>
                <w:color w:val="auto"/>
              </w:rPr>
            </w:pPr>
            <w:r>
              <w:rPr>
                <w:rFonts w:ascii="Arial" w:cs="Arial" w:eastAsia="Arial" w:hAnsi="Arial"/>
                <w:sz w:val="16"/>
                <w:szCs w:val="16"/>
                <w:b w:val="1"/>
                <w:bCs w:val="1"/>
                <w:color w:val="009BDE"/>
                <w:w w:val="98"/>
              </w:rPr>
              <w:t>Cash (a)</w:t>
            </w:r>
          </w:p>
        </w:tc>
        <w:tc>
          <w:tcPr>
            <w:tcW w:w="12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(b)(c)</w:t>
            </w:r>
          </w:p>
        </w:tc>
        <w:tc>
          <w:tcPr>
            <w:tcW w:w="360" w:type="dxa"/>
            <w:vAlign w:val="bottom"/>
            <w:shd w:val="clear" w:color="auto" w:fill="CCEBF8"/>
          </w:tcPr>
          <w:p>
            <w:pPr>
              <w:spacing w:after="0"/>
              <w:rPr>
                <w:sz w:val="20"/>
                <w:szCs w:val="20"/>
                <w:color w:val="auto"/>
              </w:rPr>
            </w:pPr>
          </w:p>
        </w:tc>
        <w:tc>
          <w:tcPr>
            <w:tcW w:w="800" w:type="dxa"/>
            <w:vAlign w:val="bottom"/>
            <w:shd w:val="clear" w:color="auto" w:fill="CCEBF8"/>
          </w:tcPr>
          <w:p>
            <w:pPr>
              <w:jc w:val="right"/>
              <w:ind w:right="300"/>
              <w:spacing w:after="0"/>
              <w:rPr>
                <w:sz w:val="20"/>
                <w:szCs w:val="20"/>
                <w:color w:val="auto"/>
              </w:rPr>
            </w:pPr>
            <w:r>
              <w:rPr>
                <w:rFonts w:ascii="Arial" w:cs="Arial" w:eastAsia="Arial" w:hAnsi="Arial"/>
                <w:sz w:val="16"/>
                <w:szCs w:val="16"/>
                <w:b w:val="1"/>
                <w:bCs w:val="1"/>
                <w:color w:val="009BDE"/>
                <w:w w:val="99"/>
              </w:rPr>
              <w:t>(b)(c)</w:t>
            </w:r>
          </w:p>
        </w:tc>
        <w:tc>
          <w:tcPr>
            <w:tcW w:w="1540" w:type="dxa"/>
            <w:vAlign w:val="bottom"/>
            <w:shd w:val="clear" w:color="auto" w:fill="CCEBF8"/>
          </w:tcPr>
          <w:p>
            <w:pPr>
              <w:jc w:val="center"/>
              <w:ind w:left="60"/>
              <w:spacing w:after="0"/>
              <w:rPr>
                <w:sz w:val="20"/>
                <w:szCs w:val="20"/>
                <w:color w:val="auto"/>
              </w:rPr>
            </w:pPr>
            <w:r>
              <w:rPr>
                <w:rFonts w:ascii="Arial" w:cs="Arial" w:eastAsia="Arial" w:hAnsi="Arial"/>
                <w:sz w:val="16"/>
                <w:szCs w:val="16"/>
                <w:b w:val="1"/>
                <w:bCs w:val="1"/>
                <w:color w:val="009BDE"/>
                <w:w w:val="99"/>
              </w:rPr>
              <w:t>Earnings</w:t>
            </w:r>
          </w:p>
        </w:tc>
        <w:tc>
          <w:tcPr>
            <w:tcW w:w="320" w:type="dxa"/>
            <w:vAlign w:val="bottom"/>
            <w:shd w:val="clear" w:color="auto" w:fill="CCEBF8"/>
          </w:tcPr>
          <w:p>
            <w:pPr>
              <w:spacing w:after="0"/>
              <w:rPr>
                <w:sz w:val="20"/>
                <w:szCs w:val="20"/>
                <w:color w:val="auto"/>
              </w:rPr>
            </w:pPr>
          </w:p>
        </w:tc>
        <w:tc>
          <w:tcPr>
            <w:tcW w:w="1260" w:type="dxa"/>
            <w:vAlign w:val="bottom"/>
            <w:shd w:val="clear" w:color="auto" w:fill="CCEBF8"/>
          </w:tcPr>
          <w:p>
            <w:pPr>
              <w:jc w:val="right"/>
              <w:ind w:right="680"/>
              <w:spacing w:after="0"/>
              <w:rPr>
                <w:sz w:val="20"/>
                <w:szCs w:val="20"/>
                <w:color w:val="auto"/>
              </w:rPr>
            </w:pPr>
            <w:r>
              <w:rPr>
                <w:rFonts w:ascii="Arial" w:cs="Arial" w:eastAsia="Arial" w:hAnsi="Arial"/>
                <w:sz w:val="16"/>
                <w:szCs w:val="16"/>
                <w:b w:val="1"/>
                <w:bCs w:val="1"/>
                <w:color w:val="009BDE"/>
              </w:rPr>
              <w:t>(d)</w:t>
            </w:r>
          </w:p>
        </w:tc>
        <w:tc>
          <w:tcPr>
            <w:tcW w:w="124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4"/>
              </w:rPr>
              <w:t>Total</w:t>
            </w:r>
          </w:p>
        </w:tc>
      </w:tr>
      <w:tr>
        <w:trPr>
          <w:trHeight w:val="114"/>
        </w:trPr>
        <w:tc>
          <w:tcPr>
            <w:tcW w:w="3000" w:type="dxa"/>
            <w:vAlign w:val="bottom"/>
            <w:tcBorders>
              <w:bottom w:val="single" w:sz="8" w:color="009BDE"/>
            </w:tcBorders>
            <w:shd w:val="clear" w:color="auto" w:fill="CCEBF8"/>
          </w:tcPr>
          <w:p>
            <w:pPr>
              <w:spacing w:after="0"/>
              <w:rPr>
                <w:sz w:val="9"/>
                <w:szCs w:val="9"/>
                <w:color w:val="auto"/>
              </w:rPr>
            </w:pPr>
          </w:p>
        </w:tc>
        <w:tc>
          <w:tcPr>
            <w:tcW w:w="300" w:type="dxa"/>
            <w:vAlign w:val="bottom"/>
            <w:tcBorders>
              <w:bottom w:val="single" w:sz="8" w:color="009BDE"/>
            </w:tcBorders>
            <w:shd w:val="clear" w:color="auto" w:fill="CCEBF8"/>
          </w:tcPr>
          <w:p>
            <w:pPr>
              <w:spacing w:after="0"/>
              <w:rPr>
                <w:sz w:val="9"/>
                <w:szCs w:val="9"/>
                <w:color w:val="auto"/>
              </w:rPr>
            </w:pPr>
          </w:p>
        </w:tc>
        <w:tc>
          <w:tcPr>
            <w:tcW w:w="880" w:type="dxa"/>
            <w:vAlign w:val="bottom"/>
            <w:tcBorders>
              <w:bottom w:val="single" w:sz="8" w:color="009BDE"/>
            </w:tcBorders>
            <w:shd w:val="clear" w:color="auto" w:fill="CCEBF8"/>
          </w:tcPr>
          <w:p>
            <w:pPr>
              <w:spacing w:after="0"/>
              <w:rPr>
                <w:sz w:val="9"/>
                <w:szCs w:val="9"/>
                <w:color w:val="auto"/>
              </w:rPr>
            </w:pPr>
          </w:p>
        </w:tc>
        <w:tc>
          <w:tcPr>
            <w:tcW w:w="1220" w:type="dxa"/>
            <w:vAlign w:val="bottom"/>
            <w:tcBorders>
              <w:bottom w:val="single" w:sz="8" w:color="009BDE"/>
            </w:tcBorders>
            <w:shd w:val="clear" w:color="auto" w:fill="CCEBF8"/>
          </w:tcPr>
          <w:p>
            <w:pPr>
              <w:spacing w:after="0"/>
              <w:rPr>
                <w:sz w:val="9"/>
                <w:szCs w:val="9"/>
                <w:color w:val="auto"/>
              </w:rPr>
            </w:pPr>
          </w:p>
        </w:tc>
        <w:tc>
          <w:tcPr>
            <w:tcW w:w="360" w:type="dxa"/>
            <w:vAlign w:val="bottom"/>
            <w:tcBorders>
              <w:bottom w:val="single" w:sz="8" w:color="009BDE"/>
            </w:tcBorders>
            <w:shd w:val="clear" w:color="auto" w:fill="CCEBF8"/>
          </w:tcPr>
          <w:p>
            <w:pPr>
              <w:spacing w:after="0"/>
              <w:rPr>
                <w:sz w:val="9"/>
                <w:szCs w:val="9"/>
                <w:color w:val="auto"/>
              </w:rPr>
            </w:pPr>
          </w:p>
        </w:tc>
        <w:tc>
          <w:tcPr>
            <w:tcW w:w="800" w:type="dxa"/>
            <w:vAlign w:val="bottom"/>
            <w:tcBorders>
              <w:bottom w:val="single" w:sz="8" w:color="009BDE"/>
            </w:tcBorders>
            <w:shd w:val="clear" w:color="auto" w:fill="CCEBF8"/>
          </w:tcPr>
          <w:p>
            <w:pPr>
              <w:spacing w:after="0"/>
              <w:rPr>
                <w:sz w:val="9"/>
                <w:szCs w:val="9"/>
                <w:color w:val="auto"/>
              </w:rPr>
            </w:pPr>
          </w:p>
        </w:tc>
        <w:tc>
          <w:tcPr>
            <w:tcW w:w="1540" w:type="dxa"/>
            <w:vAlign w:val="bottom"/>
            <w:tcBorders>
              <w:bottom w:val="single" w:sz="8" w:color="009BDE"/>
            </w:tcBorders>
            <w:shd w:val="clear" w:color="auto" w:fill="CCEBF8"/>
          </w:tcPr>
          <w:p>
            <w:pPr>
              <w:spacing w:after="0"/>
              <w:rPr>
                <w:sz w:val="9"/>
                <w:szCs w:val="9"/>
                <w:color w:val="auto"/>
              </w:rPr>
            </w:pPr>
          </w:p>
        </w:tc>
        <w:tc>
          <w:tcPr>
            <w:tcW w:w="320" w:type="dxa"/>
            <w:vAlign w:val="bottom"/>
            <w:tcBorders>
              <w:bottom w:val="single" w:sz="8" w:color="009BDE"/>
            </w:tcBorders>
            <w:shd w:val="clear" w:color="auto" w:fill="CCEBF8"/>
          </w:tcPr>
          <w:p>
            <w:pPr>
              <w:spacing w:after="0"/>
              <w:rPr>
                <w:sz w:val="9"/>
                <w:szCs w:val="9"/>
                <w:color w:val="auto"/>
              </w:rPr>
            </w:pPr>
          </w:p>
        </w:tc>
        <w:tc>
          <w:tcPr>
            <w:tcW w:w="1260" w:type="dxa"/>
            <w:vAlign w:val="bottom"/>
            <w:tcBorders>
              <w:bottom w:val="single" w:sz="8" w:color="009BDE"/>
            </w:tcBorders>
            <w:shd w:val="clear" w:color="auto" w:fill="CCEBF8"/>
          </w:tcPr>
          <w:p>
            <w:pPr>
              <w:spacing w:after="0"/>
              <w:rPr>
                <w:sz w:val="9"/>
                <w:szCs w:val="9"/>
                <w:color w:val="auto"/>
              </w:rPr>
            </w:pPr>
          </w:p>
        </w:tc>
        <w:tc>
          <w:tcPr>
            <w:tcW w:w="1240" w:type="dxa"/>
            <w:vAlign w:val="bottom"/>
            <w:tcBorders>
              <w:bottom w:val="single" w:sz="8" w:color="009BDE"/>
            </w:tcBorders>
            <w:shd w:val="clear" w:color="auto" w:fill="CCEBF8"/>
          </w:tcPr>
          <w:p>
            <w:pPr>
              <w:spacing w:after="0"/>
              <w:rPr>
                <w:sz w:val="9"/>
                <w:szCs w:val="9"/>
                <w:color w:val="auto"/>
              </w:rPr>
            </w:pPr>
          </w:p>
        </w:tc>
      </w:tr>
      <w:tr>
        <w:trPr>
          <w:trHeight w:val="284"/>
        </w:trPr>
        <w:tc>
          <w:tcPr>
            <w:tcW w:w="3000" w:type="dxa"/>
            <w:vAlign w:val="bottom"/>
          </w:tcPr>
          <w:p>
            <w:pPr>
              <w:ind w:left="80"/>
              <w:spacing w:after="0"/>
              <w:rPr>
                <w:sz w:val="20"/>
                <w:szCs w:val="20"/>
                <w:color w:val="auto"/>
              </w:rPr>
            </w:pPr>
            <w:r>
              <w:rPr>
                <w:rFonts w:ascii="Arial" w:cs="Arial" w:eastAsia="Arial" w:hAnsi="Arial"/>
                <w:sz w:val="16"/>
                <w:szCs w:val="16"/>
                <w:color w:val="auto"/>
              </w:rPr>
              <w:t>Hope F. Cochran</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152,577</w:t>
            </w:r>
          </w:p>
        </w:tc>
        <w:tc>
          <w:tcPr>
            <w:tcW w:w="1220" w:type="dxa"/>
            <w:vAlign w:val="bottom"/>
          </w:tcPr>
          <w:p>
            <w:pPr>
              <w:jc w:val="center"/>
              <w:spacing w:after="0"/>
              <w:rPr>
                <w:sz w:val="20"/>
                <w:szCs w:val="20"/>
                <w:color w:val="auto"/>
              </w:rPr>
            </w:pPr>
            <w:r>
              <w:rPr>
                <w:rFonts w:ascii="Arial" w:cs="Arial" w:eastAsia="Arial" w:hAnsi="Arial"/>
                <w:sz w:val="16"/>
                <w:szCs w:val="16"/>
                <w:color w:val="auto"/>
              </w:rPr>
              <w:t>$175,000</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540" w:type="dxa"/>
            <w:vAlign w:val="bottom"/>
          </w:tcPr>
          <w:p>
            <w:pPr>
              <w:jc w:val="center"/>
              <w:ind w:left="60"/>
              <w:spacing w:after="0"/>
              <w:rPr>
                <w:sz w:val="20"/>
                <w:szCs w:val="20"/>
                <w:color w:val="auto"/>
              </w:rPr>
            </w:pPr>
            <w:r>
              <w:rPr>
                <w:rFonts w:ascii="Arial" w:cs="Arial" w:eastAsia="Arial" w:hAnsi="Arial"/>
                <w:sz w:val="16"/>
                <w:szCs w:val="16"/>
                <w:color w:val="auto"/>
              </w:rPr>
              <w:t>N/A</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240" w:type="dxa"/>
            <w:vAlign w:val="bottom"/>
          </w:tcPr>
          <w:p>
            <w:pPr>
              <w:jc w:val="center"/>
              <w:spacing w:after="0"/>
              <w:rPr>
                <w:sz w:val="20"/>
                <w:szCs w:val="20"/>
                <w:color w:val="auto"/>
              </w:rPr>
            </w:pPr>
            <w:r>
              <w:rPr>
                <w:rFonts w:ascii="Arial" w:cs="Arial" w:eastAsia="Arial" w:hAnsi="Arial"/>
                <w:sz w:val="16"/>
                <w:szCs w:val="16"/>
                <w:color w:val="auto"/>
              </w:rPr>
              <w:t>$327,577</w:t>
            </w:r>
          </w:p>
        </w:tc>
      </w:tr>
      <w:tr>
        <w:trPr>
          <w:trHeight w:val="97"/>
        </w:trPr>
        <w:tc>
          <w:tcPr>
            <w:tcW w:w="300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54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r>
      <w:tr>
        <w:trPr>
          <w:trHeight w:val="284"/>
        </w:trPr>
        <w:tc>
          <w:tcPr>
            <w:tcW w:w="3000" w:type="dxa"/>
            <w:vAlign w:val="bottom"/>
          </w:tcPr>
          <w:p>
            <w:pPr>
              <w:ind w:left="80"/>
              <w:spacing w:after="0"/>
              <w:rPr>
                <w:sz w:val="20"/>
                <w:szCs w:val="20"/>
                <w:color w:val="auto"/>
              </w:rPr>
            </w:pPr>
            <w:r>
              <w:rPr>
                <w:rFonts w:ascii="Arial" w:cs="Arial" w:eastAsia="Arial" w:hAnsi="Arial"/>
                <w:sz w:val="16"/>
                <w:szCs w:val="16"/>
                <w:color w:val="auto"/>
              </w:rPr>
              <w:t>Lisa Gersh</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1220" w:type="dxa"/>
            <w:vAlign w:val="bottom"/>
          </w:tcPr>
          <w:p>
            <w:pPr>
              <w:jc w:val="center"/>
              <w:spacing w:after="0"/>
              <w:rPr>
                <w:sz w:val="20"/>
                <w:szCs w:val="20"/>
                <w:color w:val="auto"/>
              </w:rPr>
            </w:pPr>
            <w:r>
              <w:rPr>
                <w:rFonts w:ascii="Arial" w:cs="Arial" w:eastAsia="Arial" w:hAnsi="Arial"/>
                <w:sz w:val="16"/>
                <w:szCs w:val="16"/>
                <w:color w:val="auto"/>
              </w:rPr>
              <w:t>$316,600</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540" w:type="dxa"/>
            <w:vAlign w:val="bottom"/>
          </w:tcPr>
          <w:p>
            <w:pPr>
              <w:jc w:val="center"/>
              <w:ind w:left="60"/>
              <w:spacing w:after="0"/>
              <w:rPr>
                <w:sz w:val="20"/>
                <w:szCs w:val="20"/>
                <w:color w:val="auto"/>
              </w:rPr>
            </w:pPr>
            <w:r>
              <w:rPr>
                <w:rFonts w:ascii="Arial" w:cs="Arial" w:eastAsia="Arial" w:hAnsi="Arial"/>
                <w:sz w:val="16"/>
                <w:szCs w:val="16"/>
                <w:color w:val="auto"/>
              </w:rPr>
              <w:t>N/A</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240" w:type="dxa"/>
            <w:vAlign w:val="bottom"/>
          </w:tcPr>
          <w:p>
            <w:pPr>
              <w:jc w:val="center"/>
              <w:spacing w:after="0"/>
              <w:rPr>
                <w:sz w:val="20"/>
                <w:szCs w:val="20"/>
                <w:color w:val="auto"/>
              </w:rPr>
            </w:pPr>
            <w:r>
              <w:rPr>
                <w:rFonts w:ascii="Arial" w:cs="Arial" w:eastAsia="Arial" w:hAnsi="Arial"/>
                <w:sz w:val="16"/>
                <w:szCs w:val="16"/>
                <w:color w:val="auto"/>
              </w:rPr>
              <w:t>$316,600</w:t>
            </w:r>
          </w:p>
        </w:tc>
      </w:tr>
      <w:tr>
        <w:trPr>
          <w:trHeight w:val="97"/>
        </w:trPr>
        <w:tc>
          <w:tcPr>
            <w:tcW w:w="300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54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r>
      <w:tr>
        <w:trPr>
          <w:trHeight w:val="284"/>
        </w:trPr>
        <w:tc>
          <w:tcPr>
            <w:tcW w:w="3000" w:type="dxa"/>
            <w:vAlign w:val="bottom"/>
          </w:tcPr>
          <w:p>
            <w:pPr>
              <w:ind w:left="80"/>
              <w:spacing w:after="0"/>
              <w:rPr>
                <w:sz w:val="20"/>
                <w:szCs w:val="20"/>
                <w:color w:val="auto"/>
              </w:rPr>
            </w:pPr>
            <w:r>
              <w:rPr>
                <w:rFonts w:ascii="Arial" w:cs="Arial" w:eastAsia="Arial" w:hAnsi="Arial"/>
                <w:sz w:val="16"/>
                <w:szCs w:val="16"/>
                <w:color w:val="auto"/>
              </w:rPr>
              <w:t>Frank D. Gibeau</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136,427</w:t>
            </w:r>
          </w:p>
        </w:tc>
        <w:tc>
          <w:tcPr>
            <w:tcW w:w="1220" w:type="dxa"/>
            <w:vAlign w:val="bottom"/>
          </w:tcPr>
          <w:p>
            <w:pPr>
              <w:jc w:val="center"/>
              <w:spacing w:after="0"/>
              <w:rPr>
                <w:sz w:val="20"/>
                <w:szCs w:val="20"/>
                <w:color w:val="auto"/>
              </w:rPr>
            </w:pPr>
            <w:r>
              <w:rPr>
                <w:rFonts w:ascii="Arial" w:cs="Arial" w:eastAsia="Arial" w:hAnsi="Arial"/>
                <w:sz w:val="16"/>
                <w:szCs w:val="16"/>
                <w:color w:val="auto"/>
              </w:rPr>
              <w:t>$175,000</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540" w:type="dxa"/>
            <w:vAlign w:val="bottom"/>
          </w:tcPr>
          <w:p>
            <w:pPr>
              <w:jc w:val="center"/>
              <w:ind w:left="60"/>
              <w:spacing w:after="0"/>
              <w:rPr>
                <w:sz w:val="20"/>
                <w:szCs w:val="20"/>
                <w:color w:val="auto"/>
              </w:rPr>
            </w:pPr>
            <w:r>
              <w:rPr>
                <w:rFonts w:ascii="Arial" w:cs="Arial" w:eastAsia="Arial" w:hAnsi="Arial"/>
                <w:sz w:val="16"/>
                <w:szCs w:val="16"/>
                <w:color w:val="auto"/>
              </w:rPr>
              <w:t>N/A</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240" w:type="dxa"/>
            <w:vAlign w:val="bottom"/>
          </w:tcPr>
          <w:p>
            <w:pPr>
              <w:jc w:val="center"/>
              <w:spacing w:after="0"/>
              <w:rPr>
                <w:sz w:val="20"/>
                <w:szCs w:val="20"/>
                <w:color w:val="auto"/>
              </w:rPr>
            </w:pPr>
            <w:r>
              <w:rPr>
                <w:rFonts w:ascii="Arial" w:cs="Arial" w:eastAsia="Arial" w:hAnsi="Arial"/>
                <w:sz w:val="16"/>
                <w:szCs w:val="16"/>
                <w:color w:val="auto"/>
                <w:w w:val="95"/>
              </w:rPr>
              <w:t>$ 311,427</w:t>
            </w:r>
          </w:p>
        </w:tc>
      </w:tr>
      <w:tr>
        <w:trPr>
          <w:trHeight w:val="97"/>
        </w:trPr>
        <w:tc>
          <w:tcPr>
            <w:tcW w:w="300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54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r>
      <w:tr>
        <w:trPr>
          <w:trHeight w:val="284"/>
        </w:trPr>
        <w:tc>
          <w:tcPr>
            <w:tcW w:w="3000" w:type="dxa"/>
            <w:vAlign w:val="bottom"/>
          </w:tcPr>
          <w:p>
            <w:pPr>
              <w:ind w:left="80"/>
              <w:spacing w:after="0"/>
              <w:rPr>
                <w:sz w:val="20"/>
                <w:szCs w:val="20"/>
                <w:color w:val="auto"/>
              </w:rPr>
            </w:pPr>
            <w:r>
              <w:rPr>
                <w:rFonts w:ascii="Arial" w:cs="Arial" w:eastAsia="Arial" w:hAnsi="Arial"/>
                <w:sz w:val="16"/>
                <w:szCs w:val="16"/>
                <w:color w:val="auto"/>
              </w:rPr>
              <w:t>Elizabeth Hamren</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116,052</w:t>
            </w:r>
          </w:p>
        </w:tc>
        <w:tc>
          <w:tcPr>
            <w:tcW w:w="1220" w:type="dxa"/>
            <w:vAlign w:val="bottom"/>
          </w:tcPr>
          <w:p>
            <w:pPr>
              <w:jc w:val="center"/>
              <w:spacing w:after="0"/>
              <w:rPr>
                <w:sz w:val="20"/>
                <w:szCs w:val="20"/>
                <w:color w:val="auto"/>
              </w:rPr>
            </w:pPr>
            <w:r>
              <w:rPr>
                <w:rFonts w:ascii="Arial" w:cs="Arial" w:eastAsia="Arial" w:hAnsi="Arial"/>
                <w:sz w:val="16"/>
                <w:szCs w:val="16"/>
                <w:color w:val="auto"/>
              </w:rPr>
              <w:t>$175,000</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540" w:type="dxa"/>
            <w:vAlign w:val="bottom"/>
          </w:tcPr>
          <w:p>
            <w:pPr>
              <w:jc w:val="center"/>
              <w:ind w:left="60"/>
              <w:spacing w:after="0"/>
              <w:rPr>
                <w:sz w:val="20"/>
                <w:szCs w:val="20"/>
                <w:color w:val="auto"/>
              </w:rPr>
            </w:pPr>
            <w:r>
              <w:rPr>
                <w:rFonts w:ascii="Arial" w:cs="Arial" w:eastAsia="Arial" w:hAnsi="Arial"/>
                <w:sz w:val="16"/>
                <w:szCs w:val="16"/>
                <w:color w:val="auto"/>
              </w:rPr>
              <w:t>N/A</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240" w:type="dxa"/>
            <w:vAlign w:val="bottom"/>
          </w:tcPr>
          <w:p>
            <w:pPr>
              <w:jc w:val="center"/>
              <w:spacing w:after="0"/>
              <w:rPr>
                <w:sz w:val="20"/>
                <w:szCs w:val="20"/>
                <w:color w:val="auto"/>
              </w:rPr>
            </w:pPr>
            <w:r>
              <w:rPr>
                <w:rFonts w:ascii="Arial" w:cs="Arial" w:eastAsia="Arial" w:hAnsi="Arial"/>
                <w:sz w:val="16"/>
                <w:szCs w:val="16"/>
                <w:color w:val="auto"/>
              </w:rPr>
              <w:t>$291,052</w:t>
            </w:r>
          </w:p>
        </w:tc>
      </w:tr>
      <w:tr>
        <w:trPr>
          <w:trHeight w:val="97"/>
        </w:trPr>
        <w:tc>
          <w:tcPr>
            <w:tcW w:w="300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54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r>
      <w:tr>
        <w:trPr>
          <w:trHeight w:val="284"/>
        </w:trPr>
        <w:tc>
          <w:tcPr>
            <w:tcW w:w="3000" w:type="dxa"/>
            <w:vAlign w:val="bottom"/>
          </w:tcPr>
          <w:p>
            <w:pPr>
              <w:ind w:left="80"/>
              <w:spacing w:after="0"/>
              <w:rPr>
                <w:sz w:val="20"/>
                <w:szCs w:val="20"/>
                <w:color w:val="auto"/>
              </w:rPr>
            </w:pPr>
            <w:r>
              <w:rPr>
                <w:rFonts w:ascii="Arial" w:cs="Arial" w:eastAsia="Arial" w:hAnsi="Arial"/>
                <w:sz w:val="16"/>
                <w:szCs w:val="16"/>
                <w:color w:val="auto"/>
              </w:rPr>
              <w:t>Darin S. Harris</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142,702</w:t>
            </w:r>
          </w:p>
        </w:tc>
        <w:tc>
          <w:tcPr>
            <w:tcW w:w="1220" w:type="dxa"/>
            <w:vAlign w:val="bottom"/>
          </w:tcPr>
          <w:p>
            <w:pPr>
              <w:jc w:val="center"/>
              <w:spacing w:after="0"/>
              <w:rPr>
                <w:sz w:val="20"/>
                <w:szCs w:val="20"/>
                <w:color w:val="auto"/>
              </w:rPr>
            </w:pPr>
            <w:r>
              <w:rPr>
                <w:rFonts w:ascii="Arial" w:cs="Arial" w:eastAsia="Arial" w:hAnsi="Arial"/>
                <w:sz w:val="16"/>
                <w:szCs w:val="16"/>
                <w:color w:val="auto"/>
              </w:rPr>
              <w:t>$175,000</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540" w:type="dxa"/>
            <w:vAlign w:val="bottom"/>
          </w:tcPr>
          <w:p>
            <w:pPr>
              <w:jc w:val="center"/>
              <w:ind w:left="60"/>
              <w:spacing w:after="0"/>
              <w:rPr>
                <w:sz w:val="20"/>
                <w:szCs w:val="20"/>
                <w:color w:val="auto"/>
              </w:rPr>
            </w:pPr>
            <w:r>
              <w:rPr>
                <w:rFonts w:ascii="Arial" w:cs="Arial" w:eastAsia="Arial" w:hAnsi="Arial"/>
                <w:sz w:val="16"/>
                <w:szCs w:val="16"/>
                <w:color w:val="auto"/>
              </w:rPr>
              <w:t>N/A</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240" w:type="dxa"/>
            <w:vAlign w:val="bottom"/>
          </w:tcPr>
          <w:p>
            <w:pPr>
              <w:jc w:val="center"/>
              <w:spacing w:after="0"/>
              <w:rPr>
                <w:sz w:val="20"/>
                <w:szCs w:val="20"/>
                <w:color w:val="auto"/>
              </w:rPr>
            </w:pPr>
            <w:r>
              <w:rPr>
                <w:rFonts w:ascii="Arial" w:cs="Arial" w:eastAsia="Arial" w:hAnsi="Arial"/>
                <w:sz w:val="16"/>
                <w:szCs w:val="16"/>
                <w:color w:val="auto"/>
              </w:rPr>
              <w:t>$317,702</w:t>
            </w:r>
          </w:p>
        </w:tc>
      </w:tr>
      <w:tr>
        <w:trPr>
          <w:trHeight w:val="97"/>
        </w:trPr>
        <w:tc>
          <w:tcPr>
            <w:tcW w:w="300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54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r>
      <w:tr>
        <w:trPr>
          <w:trHeight w:val="284"/>
        </w:trPr>
        <w:tc>
          <w:tcPr>
            <w:tcW w:w="3000" w:type="dxa"/>
            <w:vAlign w:val="bottom"/>
          </w:tcPr>
          <w:p>
            <w:pPr>
              <w:ind w:left="80"/>
              <w:spacing w:after="0"/>
              <w:rPr>
                <w:sz w:val="20"/>
                <w:szCs w:val="20"/>
                <w:color w:val="auto"/>
              </w:rPr>
            </w:pPr>
            <w:r>
              <w:rPr>
                <w:rFonts w:ascii="Arial" w:cs="Arial" w:eastAsia="Arial" w:hAnsi="Arial"/>
                <w:sz w:val="16"/>
                <w:szCs w:val="16"/>
                <w:color w:val="auto"/>
              </w:rPr>
              <w:t>Owen Mahoney</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125,927</w:t>
            </w:r>
          </w:p>
        </w:tc>
        <w:tc>
          <w:tcPr>
            <w:tcW w:w="1220" w:type="dxa"/>
            <w:vAlign w:val="bottom"/>
          </w:tcPr>
          <w:p>
            <w:pPr>
              <w:jc w:val="center"/>
              <w:spacing w:after="0"/>
              <w:rPr>
                <w:sz w:val="20"/>
                <w:szCs w:val="20"/>
                <w:color w:val="auto"/>
              </w:rPr>
            </w:pPr>
            <w:r>
              <w:rPr>
                <w:rFonts w:ascii="Arial" w:cs="Arial" w:eastAsia="Arial" w:hAnsi="Arial"/>
                <w:sz w:val="16"/>
                <w:szCs w:val="16"/>
                <w:color w:val="auto"/>
              </w:rPr>
              <w:t>$175,000</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540" w:type="dxa"/>
            <w:vAlign w:val="bottom"/>
          </w:tcPr>
          <w:p>
            <w:pPr>
              <w:jc w:val="center"/>
              <w:ind w:left="60"/>
              <w:spacing w:after="0"/>
              <w:rPr>
                <w:sz w:val="20"/>
                <w:szCs w:val="20"/>
                <w:color w:val="auto"/>
              </w:rPr>
            </w:pPr>
            <w:r>
              <w:rPr>
                <w:rFonts w:ascii="Arial" w:cs="Arial" w:eastAsia="Arial" w:hAnsi="Arial"/>
                <w:sz w:val="16"/>
                <w:szCs w:val="16"/>
                <w:color w:val="auto"/>
              </w:rPr>
              <w:t>N/A</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240" w:type="dxa"/>
            <w:vAlign w:val="bottom"/>
          </w:tcPr>
          <w:p>
            <w:pPr>
              <w:jc w:val="center"/>
              <w:spacing w:after="0"/>
              <w:rPr>
                <w:sz w:val="20"/>
                <w:szCs w:val="20"/>
                <w:color w:val="auto"/>
              </w:rPr>
            </w:pPr>
            <w:r>
              <w:rPr>
                <w:rFonts w:ascii="Arial" w:cs="Arial" w:eastAsia="Arial" w:hAnsi="Arial"/>
                <w:sz w:val="16"/>
                <w:szCs w:val="16"/>
                <w:color w:val="auto"/>
              </w:rPr>
              <w:t>$300,927</w:t>
            </w:r>
          </w:p>
        </w:tc>
      </w:tr>
      <w:tr>
        <w:trPr>
          <w:trHeight w:val="97"/>
        </w:trPr>
        <w:tc>
          <w:tcPr>
            <w:tcW w:w="300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54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r>
      <w:tr>
        <w:trPr>
          <w:trHeight w:val="284"/>
        </w:trPr>
        <w:tc>
          <w:tcPr>
            <w:tcW w:w="3000" w:type="dxa"/>
            <w:vAlign w:val="bottom"/>
          </w:tcPr>
          <w:p>
            <w:pPr>
              <w:ind w:left="80"/>
              <w:spacing w:after="0"/>
              <w:rPr>
                <w:sz w:val="20"/>
                <w:szCs w:val="20"/>
                <w:color w:val="auto"/>
              </w:rPr>
            </w:pPr>
            <w:r>
              <w:rPr>
                <w:rFonts w:ascii="Arial" w:cs="Arial" w:eastAsia="Arial" w:hAnsi="Arial"/>
                <w:sz w:val="16"/>
                <w:szCs w:val="16"/>
                <w:color w:val="auto"/>
              </w:rPr>
              <w:t>Laurel J. Richie</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119,402</w:t>
            </w:r>
          </w:p>
        </w:tc>
        <w:tc>
          <w:tcPr>
            <w:tcW w:w="1220" w:type="dxa"/>
            <w:vAlign w:val="bottom"/>
          </w:tcPr>
          <w:p>
            <w:pPr>
              <w:jc w:val="center"/>
              <w:spacing w:after="0"/>
              <w:rPr>
                <w:sz w:val="20"/>
                <w:szCs w:val="20"/>
                <w:color w:val="auto"/>
              </w:rPr>
            </w:pPr>
            <w:r>
              <w:rPr>
                <w:rFonts w:ascii="Arial" w:cs="Arial" w:eastAsia="Arial" w:hAnsi="Arial"/>
                <w:sz w:val="16"/>
                <w:szCs w:val="16"/>
                <w:color w:val="auto"/>
              </w:rPr>
              <w:t>$175,000</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540" w:type="dxa"/>
            <w:vAlign w:val="bottom"/>
          </w:tcPr>
          <w:p>
            <w:pPr>
              <w:jc w:val="center"/>
              <w:ind w:left="60"/>
              <w:spacing w:after="0"/>
              <w:rPr>
                <w:sz w:val="20"/>
                <w:szCs w:val="20"/>
                <w:color w:val="auto"/>
              </w:rPr>
            </w:pPr>
            <w:r>
              <w:rPr>
                <w:rFonts w:ascii="Arial" w:cs="Arial" w:eastAsia="Arial" w:hAnsi="Arial"/>
                <w:sz w:val="16"/>
                <w:szCs w:val="16"/>
                <w:color w:val="auto"/>
              </w:rPr>
              <w:t>N/A</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240" w:type="dxa"/>
            <w:vAlign w:val="bottom"/>
          </w:tcPr>
          <w:p>
            <w:pPr>
              <w:jc w:val="center"/>
              <w:spacing w:after="0"/>
              <w:rPr>
                <w:sz w:val="20"/>
                <w:szCs w:val="20"/>
                <w:color w:val="auto"/>
              </w:rPr>
            </w:pPr>
            <w:r>
              <w:rPr>
                <w:rFonts w:ascii="Arial" w:cs="Arial" w:eastAsia="Arial" w:hAnsi="Arial"/>
                <w:sz w:val="16"/>
                <w:szCs w:val="16"/>
                <w:color w:val="auto"/>
              </w:rPr>
              <w:t>$294,402</w:t>
            </w:r>
          </w:p>
        </w:tc>
      </w:tr>
      <w:tr>
        <w:trPr>
          <w:trHeight w:val="97"/>
        </w:trPr>
        <w:tc>
          <w:tcPr>
            <w:tcW w:w="300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54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r>
      <w:tr>
        <w:trPr>
          <w:trHeight w:val="284"/>
        </w:trPr>
        <w:tc>
          <w:tcPr>
            <w:tcW w:w="3000" w:type="dxa"/>
            <w:vAlign w:val="bottom"/>
          </w:tcPr>
          <w:p>
            <w:pPr>
              <w:ind w:left="80"/>
              <w:spacing w:after="0"/>
              <w:rPr>
                <w:sz w:val="20"/>
                <w:szCs w:val="20"/>
                <w:color w:val="auto"/>
              </w:rPr>
            </w:pPr>
            <w:r>
              <w:rPr>
                <w:rFonts w:ascii="Arial" w:cs="Arial" w:eastAsia="Arial" w:hAnsi="Arial"/>
                <w:sz w:val="16"/>
                <w:szCs w:val="16"/>
                <w:color w:val="auto"/>
              </w:rPr>
              <w:t>Richard S. Stoddart</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269,402</w:t>
            </w:r>
          </w:p>
        </w:tc>
        <w:tc>
          <w:tcPr>
            <w:tcW w:w="1220" w:type="dxa"/>
            <w:vAlign w:val="bottom"/>
          </w:tcPr>
          <w:p>
            <w:pPr>
              <w:jc w:val="center"/>
              <w:spacing w:after="0"/>
              <w:rPr>
                <w:sz w:val="20"/>
                <w:szCs w:val="20"/>
                <w:color w:val="auto"/>
              </w:rPr>
            </w:pPr>
            <w:r>
              <w:rPr>
                <w:rFonts w:ascii="Arial" w:cs="Arial" w:eastAsia="Arial" w:hAnsi="Arial"/>
                <w:sz w:val="16"/>
                <w:szCs w:val="16"/>
                <w:color w:val="auto"/>
              </w:rPr>
              <w:t>$175,000</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540" w:type="dxa"/>
            <w:vAlign w:val="bottom"/>
          </w:tcPr>
          <w:p>
            <w:pPr>
              <w:jc w:val="center"/>
              <w:ind w:left="60"/>
              <w:spacing w:after="0"/>
              <w:rPr>
                <w:sz w:val="20"/>
                <w:szCs w:val="20"/>
                <w:color w:val="auto"/>
              </w:rPr>
            </w:pPr>
            <w:r>
              <w:rPr>
                <w:rFonts w:ascii="Arial" w:cs="Arial" w:eastAsia="Arial" w:hAnsi="Arial"/>
                <w:sz w:val="16"/>
                <w:szCs w:val="16"/>
                <w:color w:val="auto"/>
              </w:rPr>
              <w:t>N/A</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0"/>
              <w:spacing w:after="0"/>
              <w:rPr>
                <w:sz w:val="20"/>
                <w:szCs w:val="20"/>
                <w:color w:val="auto"/>
              </w:rPr>
            </w:pPr>
            <w:r>
              <w:rPr>
                <w:rFonts w:ascii="Arial" w:cs="Arial" w:eastAsia="Arial" w:hAnsi="Arial"/>
                <w:sz w:val="16"/>
                <w:szCs w:val="16"/>
                <w:color w:val="auto"/>
              </w:rPr>
              <w:t>5,000</w:t>
            </w:r>
          </w:p>
        </w:tc>
        <w:tc>
          <w:tcPr>
            <w:tcW w:w="1240" w:type="dxa"/>
            <w:vAlign w:val="bottom"/>
          </w:tcPr>
          <w:p>
            <w:pPr>
              <w:jc w:val="center"/>
              <w:spacing w:after="0"/>
              <w:rPr>
                <w:sz w:val="20"/>
                <w:szCs w:val="20"/>
                <w:color w:val="auto"/>
              </w:rPr>
            </w:pPr>
            <w:r>
              <w:rPr>
                <w:rFonts w:ascii="Arial" w:cs="Arial" w:eastAsia="Arial" w:hAnsi="Arial"/>
                <w:sz w:val="16"/>
                <w:szCs w:val="16"/>
                <w:color w:val="auto"/>
              </w:rPr>
              <w:t>$449,402</w:t>
            </w:r>
          </w:p>
        </w:tc>
      </w:tr>
      <w:tr>
        <w:trPr>
          <w:trHeight w:val="97"/>
        </w:trPr>
        <w:tc>
          <w:tcPr>
            <w:tcW w:w="300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54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r>
      <w:tr>
        <w:trPr>
          <w:trHeight w:val="284"/>
        </w:trPr>
        <w:tc>
          <w:tcPr>
            <w:tcW w:w="3000" w:type="dxa"/>
            <w:vAlign w:val="bottom"/>
          </w:tcPr>
          <w:p>
            <w:pPr>
              <w:ind w:left="80"/>
              <w:spacing w:after="0"/>
              <w:rPr>
                <w:sz w:val="20"/>
                <w:szCs w:val="20"/>
                <w:color w:val="auto"/>
              </w:rPr>
            </w:pPr>
            <w:r>
              <w:rPr>
                <w:rFonts w:ascii="Arial" w:cs="Arial" w:eastAsia="Arial" w:hAnsi="Arial"/>
                <w:sz w:val="16"/>
                <w:szCs w:val="16"/>
                <w:color w:val="auto"/>
              </w:rPr>
              <w:t>Mary Beth West</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60"/>
              <w:spacing w:after="0"/>
              <w:rPr>
                <w:sz w:val="20"/>
                <w:szCs w:val="20"/>
                <w:color w:val="auto"/>
              </w:rPr>
            </w:pPr>
            <w:r>
              <w:rPr>
                <w:rFonts w:ascii="Arial" w:cs="Arial" w:eastAsia="Arial" w:hAnsi="Arial"/>
                <w:sz w:val="16"/>
                <w:szCs w:val="16"/>
                <w:color w:val="auto"/>
              </w:rPr>
              <w:t>125,927</w:t>
            </w:r>
          </w:p>
        </w:tc>
        <w:tc>
          <w:tcPr>
            <w:tcW w:w="1220" w:type="dxa"/>
            <w:vAlign w:val="bottom"/>
          </w:tcPr>
          <w:p>
            <w:pPr>
              <w:jc w:val="center"/>
              <w:spacing w:after="0"/>
              <w:rPr>
                <w:sz w:val="20"/>
                <w:szCs w:val="20"/>
                <w:color w:val="auto"/>
              </w:rPr>
            </w:pPr>
            <w:r>
              <w:rPr>
                <w:rFonts w:ascii="Arial" w:cs="Arial" w:eastAsia="Arial" w:hAnsi="Arial"/>
                <w:sz w:val="16"/>
                <w:szCs w:val="16"/>
                <w:color w:val="auto"/>
              </w:rPr>
              <w:t>$175,000</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540" w:type="dxa"/>
            <w:vAlign w:val="bottom"/>
          </w:tcPr>
          <w:p>
            <w:pPr>
              <w:jc w:val="center"/>
              <w:ind w:left="60"/>
              <w:spacing w:after="0"/>
              <w:rPr>
                <w:sz w:val="20"/>
                <w:szCs w:val="20"/>
                <w:color w:val="auto"/>
              </w:rPr>
            </w:pPr>
            <w:r>
              <w:rPr>
                <w:rFonts w:ascii="Arial" w:cs="Arial" w:eastAsia="Arial" w:hAnsi="Arial"/>
                <w:sz w:val="16"/>
                <w:szCs w:val="16"/>
                <w:color w:val="auto"/>
              </w:rPr>
              <w:t>N/A</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0"/>
              <w:spacing w:after="0"/>
              <w:rPr>
                <w:sz w:val="20"/>
                <w:szCs w:val="20"/>
                <w:color w:val="auto"/>
              </w:rPr>
            </w:pPr>
            <w:r>
              <w:rPr>
                <w:rFonts w:ascii="Arial" w:cs="Arial" w:eastAsia="Arial" w:hAnsi="Arial"/>
                <w:sz w:val="16"/>
                <w:szCs w:val="16"/>
                <w:color w:val="auto"/>
              </w:rPr>
              <w:t>0</w:t>
            </w:r>
          </w:p>
        </w:tc>
        <w:tc>
          <w:tcPr>
            <w:tcW w:w="1240" w:type="dxa"/>
            <w:vAlign w:val="bottom"/>
          </w:tcPr>
          <w:p>
            <w:pPr>
              <w:jc w:val="center"/>
              <w:spacing w:after="0"/>
              <w:rPr>
                <w:sz w:val="20"/>
                <w:szCs w:val="20"/>
                <w:color w:val="auto"/>
              </w:rPr>
            </w:pPr>
            <w:r>
              <w:rPr>
                <w:rFonts w:ascii="Arial" w:cs="Arial" w:eastAsia="Arial" w:hAnsi="Arial"/>
                <w:sz w:val="16"/>
                <w:szCs w:val="16"/>
                <w:color w:val="auto"/>
              </w:rPr>
              <w:t>$300,927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61595</wp:posOffset>
            </wp:positionV>
            <wp:extent cx="69297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jc w:val="both"/>
        <w:ind w:left="600" w:right="260" w:hanging="433"/>
        <w:spacing w:after="0" w:line="260" w:lineRule="auto"/>
        <w:tabs>
          <w:tab w:leader="none" w:pos="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amounts which are deferred by directors into the interest account under the Deferred Compensation Plan for Non-Employee Directors, as well as interest earned by directors on existing balances in the interest account. Does not include the amount of cash retainer payments deferred by the director into the stock unit account under the Deferred Compensation Plan for Non-Employee Directors, which amounts are reflected in the Stock Awards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225425</wp:posOffset>
            </wp:positionV>
            <wp:extent cx="6964045" cy="39052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  12</w:t>
      </w:r>
    </w:p>
    <w:p>
      <w:pPr>
        <w:sectPr>
          <w:pgSz w:w="11900" w:h="16838" w:orient="portrait"/>
          <w:cols w:equalWidth="0" w:num="1">
            <w:col w:w="11080"/>
          </w:cols>
          <w:pgMar w:left="320" w:top="478"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600" w:right="560" w:hanging="433"/>
        <w:spacing w:after="0" w:line="281" w:lineRule="auto"/>
        <w:tabs>
          <w:tab w:leader="none" w:pos="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Please see note 16 to the financial statements included in the Company’s Annual Report on Form 10-K, for the year ended December 28, 2025, for a detailed discussion of the assumptions used in valuing stock awards.</w:t>
      </w:r>
    </w:p>
    <w:p>
      <w:pPr>
        <w:spacing w:after="0" w:line="24" w:lineRule="exact"/>
        <w:rPr>
          <w:sz w:val="20"/>
          <w:szCs w:val="20"/>
          <w:color w:val="auto"/>
        </w:rPr>
      </w:pPr>
    </w:p>
    <w:p>
      <w:pPr>
        <w:ind w:left="600" w:right="20" w:hanging="433"/>
        <w:spacing w:after="0" w:line="249" w:lineRule="auto"/>
        <w:tabs>
          <w:tab w:leader="none" w:pos="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addition to reflecting the grant date fair value for stock awards made to the directors (this expense for the director stock award in 2025 was $175,000 per director continuing service on the Board), the stock awards column also includes, to the extent applicable, the (i) amount of cash retainer payments deferred by the director into the stock unit account under the Deferred Compensation Plan for Non-Employee Directors and (ii) a 10% matching contribution which the Company makes to a director’s account under the Deferred Compensation Plan for Non-Employee Directors on all amounts deferred by such director into the Company’s stock unit account under that plan.</w:t>
      </w:r>
    </w:p>
    <w:p>
      <w:pPr>
        <w:spacing w:after="0" w:line="47" w:lineRule="exact"/>
        <w:rPr>
          <w:rFonts w:ascii="Arial" w:cs="Arial" w:eastAsia="Arial" w:hAnsi="Arial"/>
          <w:sz w:val="14"/>
          <w:szCs w:val="14"/>
          <w:color w:val="auto"/>
        </w:rPr>
      </w:pPr>
    </w:p>
    <w:p>
      <w:pPr>
        <w:ind w:left="600" w:hanging="433"/>
        <w:spacing w:after="0"/>
        <w:tabs>
          <w:tab w:leader="none" w:pos="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No stock options were granted to any of the non-employee directors in 2025.</w:t>
      </w:r>
    </w:p>
    <w:p>
      <w:pPr>
        <w:spacing w:after="0" w:line="80" w:lineRule="exact"/>
        <w:rPr>
          <w:sz w:val="20"/>
          <w:szCs w:val="20"/>
          <w:color w:val="auto"/>
        </w:rPr>
      </w:pPr>
    </w:p>
    <w:p>
      <w:pPr>
        <w:ind w:left="600" w:right="160" w:hanging="433"/>
        <w:spacing w:after="0" w:line="281" w:lineRule="auto"/>
        <w:tabs>
          <w:tab w:leader="none" w:pos="6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non-employee directors who were serving on the Board at that time held the following outstanding stock awards and stock units outstanding under the Deferred Plan as of December 28, 2025.</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7440" w:type="dxa"/>
            <w:vAlign w:val="bottom"/>
            <w:shd w:val="clear" w:color="auto" w:fill="CCEBF8"/>
          </w:tcPr>
          <w:p>
            <w:pPr>
              <w:spacing w:after="0"/>
              <w:rPr>
                <w:sz w:val="20"/>
                <w:szCs w:val="20"/>
                <w:color w:val="auto"/>
              </w:rPr>
            </w:pPr>
          </w:p>
        </w:tc>
        <w:tc>
          <w:tcPr>
            <w:tcW w:w="2000" w:type="dxa"/>
            <w:vAlign w:val="bottom"/>
            <w:shd w:val="clear" w:color="auto" w:fill="CCEBF8"/>
          </w:tcPr>
          <w:p>
            <w:pPr>
              <w:jc w:val="right"/>
              <w:ind w:right="200"/>
              <w:spacing w:after="0"/>
              <w:rPr>
                <w:sz w:val="20"/>
                <w:szCs w:val="20"/>
                <w:color w:val="auto"/>
              </w:rPr>
            </w:pPr>
            <w:r>
              <w:rPr>
                <w:rFonts w:ascii="Arial" w:cs="Arial" w:eastAsia="Arial" w:hAnsi="Arial"/>
                <w:sz w:val="16"/>
                <w:szCs w:val="16"/>
                <w:b w:val="1"/>
                <w:bCs w:val="1"/>
                <w:color w:val="009BDE"/>
              </w:rPr>
              <w:t>Outstanding</w:t>
            </w:r>
          </w:p>
        </w:tc>
        <w:tc>
          <w:tcPr>
            <w:tcW w:w="1480" w:type="dxa"/>
            <w:vAlign w:val="bottom"/>
            <w:shd w:val="clear" w:color="auto" w:fill="CCEBF8"/>
          </w:tcPr>
          <w:p>
            <w:pPr>
              <w:jc w:val="right"/>
              <w:ind w:right="220"/>
              <w:spacing w:after="0"/>
              <w:rPr>
                <w:sz w:val="20"/>
                <w:szCs w:val="20"/>
                <w:color w:val="auto"/>
              </w:rPr>
            </w:pPr>
            <w:r>
              <w:rPr>
                <w:rFonts w:ascii="Arial" w:cs="Arial" w:eastAsia="Arial" w:hAnsi="Arial"/>
                <w:sz w:val="16"/>
                <w:szCs w:val="16"/>
                <w:b w:val="1"/>
                <w:bCs w:val="1"/>
                <w:color w:val="009BDE"/>
              </w:rPr>
              <w:t>Outstanding</w:t>
            </w:r>
          </w:p>
        </w:tc>
      </w:tr>
      <w:tr>
        <w:trPr>
          <w:trHeight w:val="235"/>
        </w:trPr>
        <w:tc>
          <w:tcPr>
            <w:tcW w:w="7440" w:type="dxa"/>
            <w:vAlign w:val="bottom"/>
            <w:shd w:val="clear" w:color="auto" w:fill="CCEBF8"/>
          </w:tcPr>
          <w:p>
            <w:pPr>
              <w:spacing w:after="0"/>
              <w:rPr>
                <w:sz w:val="20"/>
                <w:szCs w:val="20"/>
                <w:color w:val="auto"/>
              </w:rPr>
            </w:pPr>
            <w:r>
              <w:rPr>
                <w:rFonts w:ascii="Arial" w:cs="Arial" w:eastAsia="Arial" w:hAnsi="Arial"/>
                <w:sz w:val="16"/>
                <w:szCs w:val="16"/>
                <w:b w:val="1"/>
                <w:bCs w:val="1"/>
                <w:color w:val="009BDE"/>
              </w:rPr>
              <w:t>  Name</w:t>
            </w:r>
          </w:p>
        </w:tc>
        <w:tc>
          <w:tcPr>
            <w:tcW w:w="2000" w:type="dxa"/>
            <w:vAlign w:val="bottom"/>
            <w:shd w:val="clear" w:color="auto" w:fill="CCEBF8"/>
          </w:tcPr>
          <w:p>
            <w:pPr>
              <w:jc w:val="right"/>
              <w:ind w:right="160"/>
              <w:spacing w:after="0"/>
              <w:rPr>
                <w:sz w:val="20"/>
                <w:szCs w:val="20"/>
                <w:color w:val="auto"/>
              </w:rPr>
            </w:pPr>
            <w:r>
              <w:rPr>
                <w:rFonts w:ascii="Arial" w:cs="Arial" w:eastAsia="Arial" w:hAnsi="Arial"/>
                <w:sz w:val="16"/>
                <w:szCs w:val="16"/>
                <w:b w:val="1"/>
                <w:bCs w:val="1"/>
                <w:color w:val="009BDE"/>
              </w:rPr>
              <w:t>Stock Awards</w:t>
            </w:r>
          </w:p>
        </w:tc>
        <w:tc>
          <w:tcPr>
            <w:tcW w:w="1480" w:type="dxa"/>
            <w:vAlign w:val="bottom"/>
            <w:shd w:val="clear" w:color="auto" w:fill="CCEBF8"/>
          </w:tcPr>
          <w:p>
            <w:pPr>
              <w:jc w:val="right"/>
              <w:ind w:right="260"/>
              <w:spacing w:after="0"/>
              <w:rPr>
                <w:sz w:val="20"/>
                <w:szCs w:val="20"/>
                <w:color w:val="auto"/>
              </w:rPr>
            </w:pPr>
            <w:r>
              <w:rPr>
                <w:rFonts w:ascii="Arial" w:cs="Arial" w:eastAsia="Arial" w:hAnsi="Arial"/>
                <w:sz w:val="16"/>
                <w:szCs w:val="16"/>
                <w:b w:val="1"/>
                <w:bCs w:val="1"/>
                <w:color w:val="009BDE"/>
              </w:rPr>
              <w:t>Stock Units</w:t>
            </w:r>
          </w:p>
        </w:tc>
      </w:tr>
      <w:tr>
        <w:trPr>
          <w:trHeight w:val="114"/>
        </w:trPr>
        <w:tc>
          <w:tcPr>
            <w:tcW w:w="7440" w:type="dxa"/>
            <w:vAlign w:val="bottom"/>
            <w:tcBorders>
              <w:bottom w:val="single" w:sz="8" w:color="009BDE"/>
            </w:tcBorders>
            <w:shd w:val="clear" w:color="auto" w:fill="CCEBF8"/>
          </w:tcPr>
          <w:p>
            <w:pPr>
              <w:spacing w:after="0"/>
              <w:rPr>
                <w:sz w:val="9"/>
                <w:szCs w:val="9"/>
                <w:color w:val="auto"/>
              </w:rPr>
            </w:pPr>
          </w:p>
        </w:tc>
        <w:tc>
          <w:tcPr>
            <w:tcW w:w="2000" w:type="dxa"/>
            <w:vAlign w:val="bottom"/>
            <w:tcBorders>
              <w:bottom w:val="single" w:sz="8" w:color="009BDE"/>
            </w:tcBorders>
            <w:shd w:val="clear" w:color="auto" w:fill="CCEBF8"/>
          </w:tcPr>
          <w:p>
            <w:pPr>
              <w:spacing w:after="0"/>
              <w:rPr>
                <w:sz w:val="9"/>
                <w:szCs w:val="9"/>
                <w:color w:val="auto"/>
              </w:rPr>
            </w:pPr>
          </w:p>
        </w:tc>
        <w:tc>
          <w:tcPr>
            <w:tcW w:w="1480" w:type="dxa"/>
            <w:vAlign w:val="bottom"/>
            <w:tcBorders>
              <w:bottom w:val="single" w:sz="8" w:color="009BDE"/>
            </w:tcBorders>
            <w:shd w:val="clear" w:color="auto" w:fill="CCEBF8"/>
          </w:tcPr>
          <w:p>
            <w:pPr>
              <w:spacing w:after="0"/>
              <w:rPr>
                <w:sz w:val="9"/>
                <w:szCs w:val="9"/>
                <w:color w:val="auto"/>
              </w:rPr>
            </w:pPr>
          </w:p>
        </w:tc>
      </w:tr>
      <w:tr>
        <w:trPr>
          <w:trHeight w:val="284"/>
        </w:trPr>
        <w:tc>
          <w:tcPr>
            <w:tcW w:w="7440" w:type="dxa"/>
            <w:vAlign w:val="bottom"/>
          </w:tcPr>
          <w:p>
            <w:pPr>
              <w:ind w:left="80"/>
              <w:spacing w:after="0"/>
              <w:rPr>
                <w:sz w:val="20"/>
                <w:szCs w:val="20"/>
                <w:color w:val="auto"/>
              </w:rPr>
            </w:pPr>
            <w:r>
              <w:rPr>
                <w:rFonts w:ascii="Arial" w:cs="Arial" w:eastAsia="Arial" w:hAnsi="Arial"/>
                <w:sz w:val="16"/>
                <w:szCs w:val="16"/>
                <w:color w:val="auto"/>
              </w:rPr>
              <w:t>Hope F. Cochran</w:t>
            </w:r>
          </w:p>
        </w:tc>
        <w:tc>
          <w:tcPr>
            <w:tcW w:w="200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1480" w:type="dxa"/>
            <w:vAlign w:val="bottom"/>
          </w:tcPr>
          <w:p>
            <w:pPr>
              <w:jc w:val="right"/>
              <w:ind w:right="220"/>
              <w:spacing w:after="0"/>
              <w:rPr>
                <w:sz w:val="20"/>
                <w:szCs w:val="20"/>
                <w:color w:val="auto"/>
              </w:rPr>
            </w:pPr>
            <w:r>
              <w:rPr>
                <w:rFonts w:ascii="Arial" w:cs="Arial" w:eastAsia="Arial" w:hAnsi="Arial"/>
                <w:sz w:val="16"/>
                <w:szCs w:val="16"/>
                <w:color w:val="auto"/>
              </w:rPr>
              <w:t>0</w:t>
            </w:r>
          </w:p>
        </w:tc>
      </w:tr>
      <w:tr>
        <w:trPr>
          <w:trHeight w:val="97"/>
        </w:trPr>
        <w:tc>
          <w:tcPr>
            <w:tcW w:w="7440" w:type="dxa"/>
            <w:vAlign w:val="bottom"/>
            <w:tcBorders>
              <w:bottom w:val="single" w:sz="8" w:color="009BDE"/>
            </w:tcBorders>
          </w:tcPr>
          <w:p>
            <w:pPr>
              <w:spacing w:after="0"/>
              <w:rPr>
                <w:sz w:val="8"/>
                <w:szCs w:val="8"/>
                <w:color w:val="auto"/>
              </w:rPr>
            </w:pPr>
          </w:p>
        </w:tc>
        <w:tc>
          <w:tcPr>
            <w:tcW w:w="2000" w:type="dxa"/>
            <w:vAlign w:val="bottom"/>
            <w:tcBorders>
              <w:bottom w:val="single" w:sz="8" w:color="009BDE"/>
            </w:tcBorders>
          </w:tcPr>
          <w:p>
            <w:pPr>
              <w:spacing w:after="0"/>
              <w:rPr>
                <w:sz w:val="8"/>
                <w:szCs w:val="8"/>
                <w:color w:val="auto"/>
              </w:rPr>
            </w:pPr>
          </w:p>
        </w:tc>
        <w:tc>
          <w:tcPr>
            <w:tcW w:w="1480" w:type="dxa"/>
            <w:vAlign w:val="bottom"/>
            <w:tcBorders>
              <w:bottom w:val="single" w:sz="8" w:color="009BDE"/>
            </w:tcBorders>
          </w:tcPr>
          <w:p>
            <w:pPr>
              <w:spacing w:after="0"/>
              <w:rPr>
                <w:sz w:val="8"/>
                <w:szCs w:val="8"/>
                <w:color w:val="auto"/>
              </w:rPr>
            </w:pPr>
          </w:p>
        </w:tc>
      </w:tr>
      <w:tr>
        <w:trPr>
          <w:trHeight w:val="284"/>
        </w:trPr>
        <w:tc>
          <w:tcPr>
            <w:tcW w:w="7440" w:type="dxa"/>
            <w:vAlign w:val="bottom"/>
          </w:tcPr>
          <w:p>
            <w:pPr>
              <w:ind w:left="80"/>
              <w:spacing w:after="0"/>
              <w:rPr>
                <w:sz w:val="20"/>
                <w:szCs w:val="20"/>
                <w:color w:val="auto"/>
              </w:rPr>
            </w:pPr>
            <w:r>
              <w:rPr>
                <w:rFonts w:ascii="Arial" w:cs="Arial" w:eastAsia="Arial" w:hAnsi="Arial"/>
                <w:sz w:val="16"/>
                <w:szCs w:val="16"/>
                <w:color w:val="auto"/>
              </w:rPr>
              <w:t>Lisa Gersh</w:t>
            </w:r>
          </w:p>
        </w:tc>
        <w:tc>
          <w:tcPr>
            <w:tcW w:w="2000" w:type="dxa"/>
            <w:vAlign w:val="bottom"/>
          </w:tcPr>
          <w:p>
            <w:pPr>
              <w:jc w:val="right"/>
              <w:ind w:right="160"/>
              <w:spacing w:after="0"/>
              <w:rPr>
                <w:sz w:val="20"/>
                <w:szCs w:val="20"/>
                <w:color w:val="auto"/>
              </w:rPr>
            </w:pPr>
            <w:r>
              <w:rPr>
                <w:rFonts w:ascii="Arial" w:cs="Arial" w:eastAsia="Arial" w:hAnsi="Arial"/>
                <w:sz w:val="16"/>
                <w:szCs w:val="16"/>
                <w:color w:val="auto"/>
              </w:rPr>
              <w:t>35,304</w:t>
            </w:r>
          </w:p>
        </w:tc>
        <w:tc>
          <w:tcPr>
            <w:tcW w:w="1480" w:type="dxa"/>
            <w:vAlign w:val="bottom"/>
          </w:tcPr>
          <w:p>
            <w:pPr>
              <w:jc w:val="right"/>
              <w:ind w:right="220"/>
              <w:spacing w:after="0"/>
              <w:rPr>
                <w:sz w:val="20"/>
                <w:szCs w:val="20"/>
                <w:color w:val="auto"/>
              </w:rPr>
            </w:pPr>
            <w:r>
              <w:rPr>
                <w:rFonts w:ascii="Arial" w:cs="Arial" w:eastAsia="Arial" w:hAnsi="Arial"/>
                <w:sz w:val="16"/>
                <w:szCs w:val="16"/>
                <w:color w:val="auto"/>
              </w:rPr>
              <w:t>44,562</w:t>
            </w:r>
          </w:p>
        </w:tc>
      </w:tr>
      <w:tr>
        <w:trPr>
          <w:trHeight w:val="97"/>
        </w:trPr>
        <w:tc>
          <w:tcPr>
            <w:tcW w:w="7440" w:type="dxa"/>
            <w:vAlign w:val="bottom"/>
            <w:tcBorders>
              <w:bottom w:val="single" w:sz="8" w:color="009BDE"/>
            </w:tcBorders>
          </w:tcPr>
          <w:p>
            <w:pPr>
              <w:spacing w:after="0"/>
              <w:rPr>
                <w:sz w:val="8"/>
                <w:szCs w:val="8"/>
                <w:color w:val="auto"/>
              </w:rPr>
            </w:pPr>
          </w:p>
        </w:tc>
        <w:tc>
          <w:tcPr>
            <w:tcW w:w="2000" w:type="dxa"/>
            <w:vAlign w:val="bottom"/>
            <w:tcBorders>
              <w:bottom w:val="single" w:sz="8" w:color="009BDE"/>
            </w:tcBorders>
          </w:tcPr>
          <w:p>
            <w:pPr>
              <w:spacing w:after="0"/>
              <w:rPr>
                <w:sz w:val="8"/>
                <w:szCs w:val="8"/>
                <w:color w:val="auto"/>
              </w:rPr>
            </w:pPr>
          </w:p>
        </w:tc>
        <w:tc>
          <w:tcPr>
            <w:tcW w:w="1480" w:type="dxa"/>
            <w:vAlign w:val="bottom"/>
            <w:tcBorders>
              <w:bottom w:val="single" w:sz="8" w:color="009BDE"/>
            </w:tcBorders>
          </w:tcPr>
          <w:p>
            <w:pPr>
              <w:spacing w:after="0"/>
              <w:rPr>
                <w:sz w:val="8"/>
                <w:szCs w:val="8"/>
                <w:color w:val="auto"/>
              </w:rPr>
            </w:pPr>
          </w:p>
        </w:tc>
      </w:tr>
      <w:tr>
        <w:trPr>
          <w:trHeight w:val="284"/>
        </w:trPr>
        <w:tc>
          <w:tcPr>
            <w:tcW w:w="7440" w:type="dxa"/>
            <w:vAlign w:val="bottom"/>
          </w:tcPr>
          <w:p>
            <w:pPr>
              <w:ind w:left="80"/>
              <w:spacing w:after="0"/>
              <w:rPr>
                <w:sz w:val="20"/>
                <w:szCs w:val="20"/>
                <w:color w:val="auto"/>
              </w:rPr>
            </w:pPr>
            <w:r>
              <w:rPr>
                <w:rFonts w:ascii="Arial" w:cs="Arial" w:eastAsia="Arial" w:hAnsi="Arial"/>
                <w:sz w:val="16"/>
                <w:szCs w:val="16"/>
                <w:color w:val="auto"/>
              </w:rPr>
              <w:t>Frank D. Gibeau</w:t>
            </w:r>
          </w:p>
        </w:tc>
        <w:tc>
          <w:tcPr>
            <w:tcW w:w="200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1480" w:type="dxa"/>
            <w:vAlign w:val="bottom"/>
          </w:tcPr>
          <w:p>
            <w:pPr>
              <w:jc w:val="right"/>
              <w:ind w:right="220"/>
              <w:spacing w:after="0"/>
              <w:rPr>
                <w:sz w:val="20"/>
                <w:szCs w:val="20"/>
                <w:color w:val="auto"/>
              </w:rPr>
            </w:pPr>
            <w:r>
              <w:rPr>
                <w:rFonts w:ascii="Arial" w:cs="Arial" w:eastAsia="Arial" w:hAnsi="Arial"/>
                <w:sz w:val="16"/>
                <w:szCs w:val="16"/>
                <w:color w:val="auto"/>
              </w:rPr>
              <w:t>0</w:t>
            </w:r>
          </w:p>
        </w:tc>
      </w:tr>
      <w:tr>
        <w:trPr>
          <w:trHeight w:val="97"/>
        </w:trPr>
        <w:tc>
          <w:tcPr>
            <w:tcW w:w="7440" w:type="dxa"/>
            <w:vAlign w:val="bottom"/>
            <w:tcBorders>
              <w:bottom w:val="single" w:sz="8" w:color="009BDE"/>
            </w:tcBorders>
          </w:tcPr>
          <w:p>
            <w:pPr>
              <w:spacing w:after="0"/>
              <w:rPr>
                <w:sz w:val="8"/>
                <w:szCs w:val="8"/>
                <w:color w:val="auto"/>
              </w:rPr>
            </w:pPr>
          </w:p>
        </w:tc>
        <w:tc>
          <w:tcPr>
            <w:tcW w:w="2000" w:type="dxa"/>
            <w:vAlign w:val="bottom"/>
            <w:tcBorders>
              <w:bottom w:val="single" w:sz="8" w:color="009BDE"/>
            </w:tcBorders>
          </w:tcPr>
          <w:p>
            <w:pPr>
              <w:spacing w:after="0"/>
              <w:rPr>
                <w:sz w:val="8"/>
                <w:szCs w:val="8"/>
                <w:color w:val="auto"/>
              </w:rPr>
            </w:pPr>
          </w:p>
        </w:tc>
        <w:tc>
          <w:tcPr>
            <w:tcW w:w="1480" w:type="dxa"/>
            <w:vAlign w:val="bottom"/>
            <w:tcBorders>
              <w:bottom w:val="single" w:sz="8" w:color="009BDE"/>
            </w:tcBorders>
          </w:tcPr>
          <w:p>
            <w:pPr>
              <w:spacing w:after="0"/>
              <w:rPr>
                <w:sz w:val="8"/>
                <w:szCs w:val="8"/>
                <w:color w:val="auto"/>
              </w:rPr>
            </w:pPr>
          </w:p>
        </w:tc>
      </w:tr>
      <w:tr>
        <w:trPr>
          <w:trHeight w:val="284"/>
        </w:trPr>
        <w:tc>
          <w:tcPr>
            <w:tcW w:w="7440" w:type="dxa"/>
            <w:vAlign w:val="bottom"/>
          </w:tcPr>
          <w:p>
            <w:pPr>
              <w:ind w:left="80"/>
              <w:spacing w:after="0"/>
              <w:rPr>
                <w:sz w:val="20"/>
                <w:szCs w:val="20"/>
                <w:color w:val="auto"/>
              </w:rPr>
            </w:pPr>
            <w:r>
              <w:rPr>
                <w:rFonts w:ascii="Arial" w:cs="Arial" w:eastAsia="Arial" w:hAnsi="Arial"/>
                <w:sz w:val="16"/>
                <w:szCs w:val="16"/>
                <w:color w:val="auto"/>
              </w:rPr>
              <w:t>Elizabeth Hamren</w:t>
            </w:r>
          </w:p>
        </w:tc>
        <w:tc>
          <w:tcPr>
            <w:tcW w:w="200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1480" w:type="dxa"/>
            <w:vAlign w:val="bottom"/>
          </w:tcPr>
          <w:p>
            <w:pPr>
              <w:jc w:val="right"/>
              <w:ind w:right="220"/>
              <w:spacing w:after="0"/>
              <w:rPr>
                <w:sz w:val="20"/>
                <w:szCs w:val="20"/>
                <w:color w:val="auto"/>
              </w:rPr>
            </w:pPr>
            <w:r>
              <w:rPr>
                <w:rFonts w:ascii="Arial" w:cs="Arial" w:eastAsia="Arial" w:hAnsi="Arial"/>
                <w:sz w:val="16"/>
                <w:szCs w:val="16"/>
                <w:color w:val="auto"/>
              </w:rPr>
              <w:t>0</w:t>
            </w:r>
          </w:p>
        </w:tc>
      </w:tr>
      <w:tr>
        <w:trPr>
          <w:trHeight w:val="97"/>
        </w:trPr>
        <w:tc>
          <w:tcPr>
            <w:tcW w:w="7440" w:type="dxa"/>
            <w:vAlign w:val="bottom"/>
            <w:tcBorders>
              <w:bottom w:val="single" w:sz="8" w:color="009BDE"/>
            </w:tcBorders>
          </w:tcPr>
          <w:p>
            <w:pPr>
              <w:spacing w:after="0"/>
              <w:rPr>
                <w:sz w:val="8"/>
                <w:szCs w:val="8"/>
                <w:color w:val="auto"/>
              </w:rPr>
            </w:pPr>
          </w:p>
        </w:tc>
        <w:tc>
          <w:tcPr>
            <w:tcW w:w="2000" w:type="dxa"/>
            <w:vAlign w:val="bottom"/>
            <w:tcBorders>
              <w:bottom w:val="single" w:sz="8" w:color="009BDE"/>
            </w:tcBorders>
          </w:tcPr>
          <w:p>
            <w:pPr>
              <w:spacing w:after="0"/>
              <w:rPr>
                <w:sz w:val="8"/>
                <w:szCs w:val="8"/>
                <w:color w:val="auto"/>
              </w:rPr>
            </w:pPr>
          </w:p>
        </w:tc>
        <w:tc>
          <w:tcPr>
            <w:tcW w:w="1480" w:type="dxa"/>
            <w:vAlign w:val="bottom"/>
            <w:tcBorders>
              <w:bottom w:val="single" w:sz="8" w:color="009BDE"/>
            </w:tcBorders>
          </w:tcPr>
          <w:p>
            <w:pPr>
              <w:spacing w:after="0"/>
              <w:rPr>
                <w:sz w:val="8"/>
                <w:szCs w:val="8"/>
                <w:color w:val="auto"/>
              </w:rPr>
            </w:pPr>
          </w:p>
        </w:tc>
      </w:tr>
      <w:tr>
        <w:trPr>
          <w:trHeight w:val="284"/>
        </w:trPr>
        <w:tc>
          <w:tcPr>
            <w:tcW w:w="7440" w:type="dxa"/>
            <w:vAlign w:val="bottom"/>
          </w:tcPr>
          <w:p>
            <w:pPr>
              <w:ind w:left="80"/>
              <w:spacing w:after="0"/>
              <w:rPr>
                <w:sz w:val="20"/>
                <w:szCs w:val="20"/>
                <w:color w:val="auto"/>
              </w:rPr>
            </w:pPr>
            <w:r>
              <w:rPr>
                <w:rFonts w:ascii="Arial" w:cs="Arial" w:eastAsia="Arial" w:hAnsi="Arial"/>
                <w:sz w:val="16"/>
                <w:szCs w:val="16"/>
                <w:color w:val="auto"/>
              </w:rPr>
              <w:t>Darin S. Harris</w:t>
            </w:r>
          </w:p>
        </w:tc>
        <w:tc>
          <w:tcPr>
            <w:tcW w:w="200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1480" w:type="dxa"/>
            <w:vAlign w:val="bottom"/>
          </w:tcPr>
          <w:p>
            <w:pPr>
              <w:jc w:val="right"/>
              <w:ind w:right="220"/>
              <w:spacing w:after="0"/>
              <w:rPr>
                <w:sz w:val="20"/>
                <w:szCs w:val="20"/>
                <w:color w:val="auto"/>
              </w:rPr>
            </w:pPr>
            <w:r>
              <w:rPr>
                <w:rFonts w:ascii="Arial" w:cs="Arial" w:eastAsia="Arial" w:hAnsi="Arial"/>
                <w:sz w:val="16"/>
                <w:szCs w:val="16"/>
                <w:color w:val="auto"/>
              </w:rPr>
              <w:t>0</w:t>
            </w:r>
          </w:p>
        </w:tc>
      </w:tr>
      <w:tr>
        <w:trPr>
          <w:trHeight w:val="97"/>
        </w:trPr>
        <w:tc>
          <w:tcPr>
            <w:tcW w:w="7440" w:type="dxa"/>
            <w:vAlign w:val="bottom"/>
            <w:tcBorders>
              <w:bottom w:val="single" w:sz="8" w:color="009BDE"/>
            </w:tcBorders>
          </w:tcPr>
          <w:p>
            <w:pPr>
              <w:spacing w:after="0"/>
              <w:rPr>
                <w:sz w:val="8"/>
                <w:szCs w:val="8"/>
                <w:color w:val="auto"/>
              </w:rPr>
            </w:pPr>
          </w:p>
        </w:tc>
        <w:tc>
          <w:tcPr>
            <w:tcW w:w="2000" w:type="dxa"/>
            <w:vAlign w:val="bottom"/>
            <w:tcBorders>
              <w:bottom w:val="single" w:sz="8" w:color="009BDE"/>
            </w:tcBorders>
          </w:tcPr>
          <w:p>
            <w:pPr>
              <w:spacing w:after="0"/>
              <w:rPr>
                <w:sz w:val="8"/>
                <w:szCs w:val="8"/>
                <w:color w:val="auto"/>
              </w:rPr>
            </w:pPr>
          </w:p>
        </w:tc>
        <w:tc>
          <w:tcPr>
            <w:tcW w:w="1480" w:type="dxa"/>
            <w:vAlign w:val="bottom"/>
            <w:tcBorders>
              <w:bottom w:val="single" w:sz="8" w:color="009BDE"/>
            </w:tcBorders>
          </w:tcPr>
          <w:p>
            <w:pPr>
              <w:spacing w:after="0"/>
              <w:rPr>
                <w:sz w:val="8"/>
                <w:szCs w:val="8"/>
                <w:color w:val="auto"/>
              </w:rPr>
            </w:pPr>
          </w:p>
        </w:tc>
      </w:tr>
      <w:tr>
        <w:trPr>
          <w:trHeight w:val="284"/>
        </w:trPr>
        <w:tc>
          <w:tcPr>
            <w:tcW w:w="7440" w:type="dxa"/>
            <w:vAlign w:val="bottom"/>
          </w:tcPr>
          <w:p>
            <w:pPr>
              <w:ind w:left="80"/>
              <w:spacing w:after="0"/>
              <w:rPr>
                <w:sz w:val="20"/>
                <w:szCs w:val="20"/>
                <w:color w:val="auto"/>
              </w:rPr>
            </w:pPr>
            <w:r>
              <w:rPr>
                <w:rFonts w:ascii="Arial" w:cs="Arial" w:eastAsia="Arial" w:hAnsi="Arial"/>
                <w:sz w:val="16"/>
                <w:szCs w:val="16"/>
                <w:color w:val="auto"/>
              </w:rPr>
              <w:t>Owen Mahoney</w:t>
            </w:r>
          </w:p>
        </w:tc>
        <w:tc>
          <w:tcPr>
            <w:tcW w:w="2000" w:type="dxa"/>
            <w:vAlign w:val="bottom"/>
          </w:tcPr>
          <w:p>
            <w:pPr>
              <w:jc w:val="right"/>
              <w:ind w:right="160"/>
              <w:spacing w:after="0"/>
              <w:rPr>
                <w:sz w:val="20"/>
                <w:szCs w:val="20"/>
                <w:color w:val="auto"/>
              </w:rPr>
            </w:pPr>
            <w:r>
              <w:rPr>
                <w:rFonts w:ascii="Arial" w:cs="Arial" w:eastAsia="Arial" w:hAnsi="Arial"/>
                <w:sz w:val="16"/>
                <w:szCs w:val="16"/>
                <w:color w:val="auto"/>
              </w:rPr>
              <w:t>0</w:t>
            </w:r>
          </w:p>
        </w:tc>
        <w:tc>
          <w:tcPr>
            <w:tcW w:w="1480" w:type="dxa"/>
            <w:vAlign w:val="bottom"/>
          </w:tcPr>
          <w:p>
            <w:pPr>
              <w:jc w:val="right"/>
              <w:ind w:right="220"/>
              <w:spacing w:after="0"/>
              <w:rPr>
                <w:sz w:val="20"/>
                <w:szCs w:val="20"/>
                <w:color w:val="auto"/>
              </w:rPr>
            </w:pPr>
            <w:r>
              <w:rPr>
                <w:rFonts w:ascii="Arial" w:cs="Arial" w:eastAsia="Arial" w:hAnsi="Arial"/>
                <w:sz w:val="16"/>
                <w:szCs w:val="16"/>
                <w:color w:val="auto"/>
              </w:rPr>
              <w:t>0</w:t>
            </w:r>
          </w:p>
        </w:tc>
      </w:tr>
      <w:tr>
        <w:trPr>
          <w:trHeight w:val="97"/>
        </w:trPr>
        <w:tc>
          <w:tcPr>
            <w:tcW w:w="7440" w:type="dxa"/>
            <w:vAlign w:val="bottom"/>
            <w:tcBorders>
              <w:bottom w:val="single" w:sz="8" w:color="009BDE"/>
            </w:tcBorders>
          </w:tcPr>
          <w:p>
            <w:pPr>
              <w:spacing w:after="0"/>
              <w:rPr>
                <w:sz w:val="8"/>
                <w:szCs w:val="8"/>
                <w:color w:val="auto"/>
              </w:rPr>
            </w:pPr>
          </w:p>
        </w:tc>
        <w:tc>
          <w:tcPr>
            <w:tcW w:w="2000" w:type="dxa"/>
            <w:vAlign w:val="bottom"/>
            <w:tcBorders>
              <w:bottom w:val="single" w:sz="8" w:color="009BDE"/>
            </w:tcBorders>
          </w:tcPr>
          <w:p>
            <w:pPr>
              <w:spacing w:after="0"/>
              <w:rPr>
                <w:sz w:val="8"/>
                <w:szCs w:val="8"/>
                <w:color w:val="auto"/>
              </w:rPr>
            </w:pPr>
          </w:p>
        </w:tc>
        <w:tc>
          <w:tcPr>
            <w:tcW w:w="1480" w:type="dxa"/>
            <w:vAlign w:val="bottom"/>
            <w:tcBorders>
              <w:bottom w:val="single" w:sz="8" w:color="009BDE"/>
            </w:tcBorders>
          </w:tcPr>
          <w:p>
            <w:pPr>
              <w:spacing w:after="0"/>
              <w:rPr>
                <w:sz w:val="8"/>
                <w:szCs w:val="8"/>
                <w:color w:val="auto"/>
              </w:rPr>
            </w:pPr>
          </w:p>
        </w:tc>
      </w:tr>
      <w:tr>
        <w:trPr>
          <w:trHeight w:val="284"/>
        </w:trPr>
        <w:tc>
          <w:tcPr>
            <w:tcW w:w="7440" w:type="dxa"/>
            <w:vAlign w:val="bottom"/>
          </w:tcPr>
          <w:p>
            <w:pPr>
              <w:ind w:left="80"/>
              <w:spacing w:after="0"/>
              <w:rPr>
                <w:sz w:val="20"/>
                <w:szCs w:val="20"/>
                <w:color w:val="auto"/>
              </w:rPr>
            </w:pPr>
            <w:r>
              <w:rPr>
                <w:rFonts w:ascii="Arial" w:cs="Arial" w:eastAsia="Arial" w:hAnsi="Arial"/>
                <w:sz w:val="16"/>
                <w:szCs w:val="16"/>
                <w:color w:val="auto"/>
              </w:rPr>
              <w:t>Laurel J. Richie</w:t>
            </w:r>
          </w:p>
        </w:tc>
        <w:tc>
          <w:tcPr>
            <w:tcW w:w="2000" w:type="dxa"/>
            <w:vAlign w:val="bottom"/>
          </w:tcPr>
          <w:p>
            <w:pPr>
              <w:jc w:val="right"/>
              <w:ind w:right="160"/>
              <w:spacing w:after="0"/>
              <w:rPr>
                <w:sz w:val="20"/>
                <w:szCs w:val="20"/>
                <w:color w:val="auto"/>
              </w:rPr>
            </w:pPr>
            <w:r>
              <w:rPr>
                <w:rFonts w:ascii="Arial" w:cs="Arial" w:eastAsia="Arial" w:hAnsi="Arial"/>
                <w:sz w:val="16"/>
                <w:szCs w:val="16"/>
                <w:color w:val="auto"/>
              </w:rPr>
              <w:t>13,087</w:t>
            </w:r>
          </w:p>
        </w:tc>
        <w:tc>
          <w:tcPr>
            <w:tcW w:w="1480" w:type="dxa"/>
            <w:vAlign w:val="bottom"/>
          </w:tcPr>
          <w:p>
            <w:pPr>
              <w:jc w:val="right"/>
              <w:ind w:right="220"/>
              <w:spacing w:after="0"/>
              <w:rPr>
                <w:sz w:val="20"/>
                <w:szCs w:val="20"/>
                <w:color w:val="auto"/>
              </w:rPr>
            </w:pPr>
            <w:r>
              <w:rPr>
                <w:rFonts w:ascii="Arial" w:cs="Arial" w:eastAsia="Arial" w:hAnsi="Arial"/>
                <w:sz w:val="16"/>
                <w:szCs w:val="16"/>
                <w:color w:val="auto"/>
              </w:rPr>
              <w:t>0</w:t>
            </w:r>
          </w:p>
        </w:tc>
      </w:tr>
      <w:tr>
        <w:trPr>
          <w:trHeight w:val="97"/>
        </w:trPr>
        <w:tc>
          <w:tcPr>
            <w:tcW w:w="7440" w:type="dxa"/>
            <w:vAlign w:val="bottom"/>
            <w:tcBorders>
              <w:bottom w:val="single" w:sz="8" w:color="009BDE"/>
            </w:tcBorders>
          </w:tcPr>
          <w:p>
            <w:pPr>
              <w:spacing w:after="0"/>
              <w:rPr>
                <w:sz w:val="8"/>
                <w:szCs w:val="8"/>
                <w:color w:val="auto"/>
              </w:rPr>
            </w:pPr>
          </w:p>
        </w:tc>
        <w:tc>
          <w:tcPr>
            <w:tcW w:w="2000" w:type="dxa"/>
            <w:vAlign w:val="bottom"/>
            <w:tcBorders>
              <w:bottom w:val="single" w:sz="8" w:color="009BDE"/>
            </w:tcBorders>
          </w:tcPr>
          <w:p>
            <w:pPr>
              <w:spacing w:after="0"/>
              <w:rPr>
                <w:sz w:val="8"/>
                <w:szCs w:val="8"/>
                <w:color w:val="auto"/>
              </w:rPr>
            </w:pPr>
          </w:p>
        </w:tc>
        <w:tc>
          <w:tcPr>
            <w:tcW w:w="1480" w:type="dxa"/>
            <w:vAlign w:val="bottom"/>
            <w:tcBorders>
              <w:bottom w:val="single" w:sz="8" w:color="009BDE"/>
            </w:tcBorders>
          </w:tcPr>
          <w:p>
            <w:pPr>
              <w:spacing w:after="0"/>
              <w:rPr>
                <w:sz w:val="8"/>
                <w:szCs w:val="8"/>
                <w:color w:val="auto"/>
              </w:rPr>
            </w:pPr>
          </w:p>
        </w:tc>
      </w:tr>
      <w:tr>
        <w:trPr>
          <w:trHeight w:val="284"/>
        </w:trPr>
        <w:tc>
          <w:tcPr>
            <w:tcW w:w="7440" w:type="dxa"/>
            <w:vAlign w:val="bottom"/>
          </w:tcPr>
          <w:p>
            <w:pPr>
              <w:ind w:left="80"/>
              <w:spacing w:after="0"/>
              <w:rPr>
                <w:sz w:val="20"/>
                <w:szCs w:val="20"/>
                <w:color w:val="auto"/>
              </w:rPr>
            </w:pPr>
            <w:r>
              <w:rPr>
                <w:rFonts w:ascii="Arial" w:cs="Arial" w:eastAsia="Arial" w:hAnsi="Arial"/>
                <w:sz w:val="16"/>
                <w:szCs w:val="16"/>
                <w:color w:val="auto"/>
              </w:rPr>
              <w:t>Richard S. Stoddart</w:t>
            </w:r>
          </w:p>
        </w:tc>
        <w:tc>
          <w:tcPr>
            <w:tcW w:w="2000" w:type="dxa"/>
            <w:vAlign w:val="bottom"/>
          </w:tcPr>
          <w:p>
            <w:pPr>
              <w:jc w:val="right"/>
              <w:ind w:right="160"/>
              <w:spacing w:after="0"/>
              <w:rPr>
                <w:sz w:val="20"/>
                <w:szCs w:val="20"/>
                <w:color w:val="auto"/>
              </w:rPr>
            </w:pPr>
            <w:r>
              <w:rPr>
                <w:rFonts w:ascii="Arial" w:cs="Arial" w:eastAsia="Arial" w:hAnsi="Arial"/>
                <w:sz w:val="16"/>
                <w:szCs w:val="16"/>
                <w:color w:val="auto"/>
              </w:rPr>
              <w:t>23,034</w:t>
            </w:r>
          </w:p>
        </w:tc>
        <w:tc>
          <w:tcPr>
            <w:tcW w:w="1480" w:type="dxa"/>
            <w:vAlign w:val="bottom"/>
          </w:tcPr>
          <w:p>
            <w:pPr>
              <w:jc w:val="right"/>
              <w:ind w:right="220"/>
              <w:spacing w:after="0"/>
              <w:rPr>
                <w:sz w:val="20"/>
                <w:szCs w:val="20"/>
                <w:color w:val="auto"/>
              </w:rPr>
            </w:pPr>
            <w:r>
              <w:rPr>
                <w:rFonts w:ascii="Arial" w:cs="Arial" w:eastAsia="Arial" w:hAnsi="Arial"/>
                <w:sz w:val="16"/>
                <w:szCs w:val="16"/>
                <w:color w:val="auto"/>
              </w:rPr>
              <w:t>16,780</w:t>
            </w:r>
          </w:p>
        </w:tc>
      </w:tr>
      <w:tr>
        <w:trPr>
          <w:trHeight w:val="97"/>
        </w:trPr>
        <w:tc>
          <w:tcPr>
            <w:tcW w:w="7440" w:type="dxa"/>
            <w:vAlign w:val="bottom"/>
            <w:tcBorders>
              <w:bottom w:val="single" w:sz="8" w:color="009BDE"/>
            </w:tcBorders>
          </w:tcPr>
          <w:p>
            <w:pPr>
              <w:spacing w:after="0"/>
              <w:rPr>
                <w:sz w:val="8"/>
                <w:szCs w:val="8"/>
                <w:color w:val="auto"/>
              </w:rPr>
            </w:pPr>
          </w:p>
        </w:tc>
        <w:tc>
          <w:tcPr>
            <w:tcW w:w="2000" w:type="dxa"/>
            <w:vAlign w:val="bottom"/>
            <w:tcBorders>
              <w:bottom w:val="single" w:sz="8" w:color="009BDE"/>
            </w:tcBorders>
          </w:tcPr>
          <w:p>
            <w:pPr>
              <w:spacing w:after="0"/>
              <w:rPr>
                <w:sz w:val="8"/>
                <w:szCs w:val="8"/>
                <w:color w:val="auto"/>
              </w:rPr>
            </w:pPr>
          </w:p>
        </w:tc>
        <w:tc>
          <w:tcPr>
            <w:tcW w:w="1480" w:type="dxa"/>
            <w:vAlign w:val="bottom"/>
            <w:tcBorders>
              <w:bottom w:val="single" w:sz="8" w:color="009BDE"/>
            </w:tcBorders>
          </w:tcPr>
          <w:p>
            <w:pPr>
              <w:spacing w:after="0"/>
              <w:rPr>
                <w:sz w:val="8"/>
                <w:szCs w:val="8"/>
                <w:color w:val="auto"/>
              </w:rPr>
            </w:pPr>
          </w:p>
        </w:tc>
      </w:tr>
      <w:tr>
        <w:trPr>
          <w:trHeight w:val="284"/>
        </w:trPr>
        <w:tc>
          <w:tcPr>
            <w:tcW w:w="7440" w:type="dxa"/>
            <w:vAlign w:val="bottom"/>
          </w:tcPr>
          <w:p>
            <w:pPr>
              <w:ind w:left="80"/>
              <w:spacing w:after="0"/>
              <w:rPr>
                <w:sz w:val="20"/>
                <w:szCs w:val="20"/>
                <w:color w:val="auto"/>
              </w:rPr>
            </w:pPr>
            <w:r>
              <w:rPr>
                <w:rFonts w:ascii="Arial" w:cs="Arial" w:eastAsia="Arial" w:hAnsi="Arial"/>
                <w:sz w:val="16"/>
                <w:szCs w:val="16"/>
                <w:color w:val="auto"/>
              </w:rPr>
              <w:t>Mary Beth West</w:t>
            </w:r>
          </w:p>
        </w:tc>
        <w:tc>
          <w:tcPr>
            <w:tcW w:w="2000" w:type="dxa"/>
            <w:vAlign w:val="bottom"/>
          </w:tcPr>
          <w:p>
            <w:pPr>
              <w:jc w:val="right"/>
              <w:ind w:right="160"/>
              <w:spacing w:after="0"/>
              <w:rPr>
                <w:sz w:val="20"/>
                <w:szCs w:val="20"/>
                <w:color w:val="auto"/>
              </w:rPr>
            </w:pPr>
            <w:r>
              <w:rPr>
                <w:rFonts w:ascii="Arial" w:cs="Arial" w:eastAsia="Arial" w:hAnsi="Arial"/>
                <w:sz w:val="16"/>
                <w:szCs w:val="16"/>
                <w:color w:val="auto"/>
              </w:rPr>
              <w:t>16,242</w:t>
            </w:r>
          </w:p>
        </w:tc>
        <w:tc>
          <w:tcPr>
            <w:tcW w:w="1480" w:type="dxa"/>
            <w:vAlign w:val="bottom"/>
          </w:tcPr>
          <w:p>
            <w:pPr>
              <w:jc w:val="right"/>
              <w:ind w:right="220"/>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61595</wp:posOffset>
            </wp:positionV>
            <wp:extent cx="692975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2" w:lineRule="exact"/>
        <w:rPr>
          <w:sz w:val="20"/>
          <w:szCs w:val="20"/>
          <w:color w:val="auto"/>
        </w:rPr>
      </w:pPr>
    </w:p>
    <w:p>
      <w:pPr>
        <w:ind w:left="600" w:right="40" w:hanging="433"/>
        <w:spacing w:after="0" w:line="253" w:lineRule="auto"/>
        <w:tabs>
          <w:tab w:leader="none" w:pos="6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outstanding stock awards consist of the aggregate number of non-employee director stock grants that the director elected to defer the receipt of any such shares until his or her retirement from the Board. To the extent a director did not defer the stock award, it is not included in the table and the shares have already been issued to the director. Each director was given the option, prior to the beginning of the year of grant, to receive the shares subject to the upcoming annual grant either at the time of grant, or to defer receipt of the shares until the person retires from the Board.</w:t>
      </w:r>
    </w:p>
    <w:p>
      <w:pPr>
        <w:spacing w:after="0" w:line="83" w:lineRule="exact"/>
        <w:rPr>
          <w:sz w:val="20"/>
          <w:szCs w:val="20"/>
          <w:color w:val="auto"/>
        </w:rPr>
      </w:pPr>
    </w:p>
    <w:p>
      <w:pPr>
        <w:ind w:left="600" w:right="160" w:hanging="433"/>
        <w:spacing w:after="0" w:line="281" w:lineRule="auto"/>
        <w:tabs>
          <w:tab w:leader="none" w:pos="6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 Other Compensation reflects the Company’s matching charitable contribution of up to $5,000 per director per fiscal year. An aggregate of $5,000 was paid by the Company in fiscal 2025 for director matching contributions.</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Current Director Compensation Arrangements</w:t>
      </w:r>
    </w:p>
    <w:p>
      <w:pPr>
        <w:spacing w:after="0" w:line="108"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In structuring the Company’s director compensation, the Nominating, Governance and Social Responsibility Committee seeks to attract and retain talented directors who will contribute significantly to the Company, fairly compensate directors for their work on behalf of the Company and align the interests of directors with those of our shareholders. As part of its review of director compensation, the Nominating, Governance and Social Responsibility Committee reviews external director compensation market studies to assure that director compensation is set at reasonable levels which are commensurate with those prevailing at other similar companies and that the structure of the Company’s non-employee director compensation programs is effective in attracting and retaining highly qualified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6964045" cy="39052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  13</w:t>
      </w:r>
    </w:p>
    <w:p>
      <w:pPr>
        <w:sectPr>
          <w:pgSz w:w="11900" w:h="16838" w:orient="portrait"/>
          <w:cols w:equalWidth="0" w:num="1">
            <w:col w:w="11080"/>
          </w:cols>
          <w:pgMar w:left="320" w:top="478"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color w:val="auto"/>
        </w:rPr>
        <w:t>All members of the Board who are not otherwise employed by the Company (“non-employee directors”) receive annual cash retainers for service on the Board and its committees. Below is a summary of the cash retainers for service in 2025.</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8940" w:type="dxa"/>
            <w:vAlign w:val="bottom"/>
            <w:shd w:val="clear" w:color="auto" w:fill="CCEBF8"/>
          </w:tcPr>
          <w:p>
            <w:pPr>
              <w:spacing w:after="0"/>
              <w:rPr>
                <w:sz w:val="20"/>
                <w:szCs w:val="20"/>
                <w:color w:val="auto"/>
              </w:rPr>
            </w:pPr>
          </w:p>
        </w:tc>
        <w:tc>
          <w:tcPr>
            <w:tcW w:w="800" w:type="dxa"/>
            <w:vAlign w:val="bottom"/>
            <w:shd w:val="clear" w:color="auto" w:fill="CCEBF8"/>
          </w:tcPr>
          <w:p>
            <w:pPr>
              <w:spacing w:after="0"/>
              <w:rPr>
                <w:sz w:val="20"/>
                <w:szCs w:val="20"/>
                <w:color w:val="auto"/>
              </w:rPr>
            </w:pPr>
          </w:p>
        </w:tc>
        <w:tc>
          <w:tcPr>
            <w:tcW w:w="1180" w:type="dxa"/>
            <w:vAlign w:val="bottom"/>
            <w:shd w:val="clear" w:color="auto" w:fill="CCEBF8"/>
          </w:tcPr>
          <w:p>
            <w:pPr>
              <w:jc w:val="right"/>
              <w:ind w:right="900"/>
              <w:spacing w:after="0"/>
              <w:rPr>
                <w:sz w:val="20"/>
                <w:szCs w:val="20"/>
                <w:color w:val="auto"/>
              </w:rPr>
            </w:pPr>
            <w:r>
              <w:rPr>
                <w:rFonts w:ascii="Arial" w:cs="Arial" w:eastAsia="Arial" w:hAnsi="Arial"/>
                <w:sz w:val="16"/>
                <w:szCs w:val="16"/>
                <w:b w:val="1"/>
                <w:bCs w:val="1"/>
                <w:color w:val="009BDE"/>
              </w:rPr>
              <w:t> </w:t>
            </w:r>
          </w:p>
        </w:tc>
      </w:tr>
      <w:tr>
        <w:trPr>
          <w:trHeight w:val="221"/>
        </w:trPr>
        <w:tc>
          <w:tcPr>
            <w:tcW w:w="8940" w:type="dxa"/>
            <w:vAlign w:val="bottom"/>
            <w:shd w:val="clear" w:color="auto" w:fill="CCEBF8"/>
          </w:tcPr>
          <w:p>
            <w:pPr>
              <w:spacing w:after="0"/>
              <w:rPr>
                <w:sz w:val="20"/>
                <w:szCs w:val="20"/>
                <w:color w:val="auto"/>
              </w:rPr>
            </w:pPr>
            <w:r>
              <w:rPr>
                <w:rFonts w:ascii="Arial" w:cs="Arial" w:eastAsia="Arial" w:hAnsi="Arial"/>
                <w:sz w:val="16"/>
                <w:szCs w:val="16"/>
                <w:b w:val="1"/>
                <w:bCs w:val="1"/>
                <w:color w:val="009BDE"/>
              </w:rPr>
              <w:t>  Annual Retainers</w:t>
            </w:r>
          </w:p>
        </w:tc>
        <w:tc>
          <w:tcPr>
            <w:tcW w:w="1980" w:type="dxa"/>
            <w:vAlign w:val="bottom"/>
            <w:gridSpan w:val="2"/>
            <w:shd w:val="clear" w:color="auto" w:fill="CCEBF8"/>
          </w:tcPr>
          <w:p>
            <w:pPr>
              <w:ind w:left="540"/>
              <w:spacing w:after="0"/>
              <w:rPr>
                <w:sz w:val="20"/>
                <w:szCs w:val="20"/>
                <w:color w:val="auto"/>
              </w:rPr>
            </w:pPr>
            <w:r>
              <w:rPr>
                <w:rFonts w:ascii="Arial" w:cs="Arial" w:eastAsia="Arial" w:hAnsi="Arial"/>
                <w:sz w:val="16"/>
                <w:szCs w:val="16"/>
                <w:b w:val="1"/>
                <w:bCs w:val="1"/>
                <w:color w:val="009BDE"/>
              </w:rPr>
              <w:t xml:space="preserve">Amount ($) </w:t>
            </w:r>
          </w:p>
        </w:tc>
      </w:tr>
      <w:tr>
        <w:trPr>
          <w:trHeight w:val="114"/>
        </w:trPr>
        <w:tc>
          <w:tcPr>
            <w:tcW w:w="8940" w:type="dxa"/>
            <w:vAlign w:val="bottom"/>
            <w:tcBorders>
              <w:bottom w:val="single" w:sz="8" w:color="009BDE"/>
            </w:tcBorders>
            <w:shd w:val="clear" w:color="auto" w:fill="CCEBF8"/>
          </w:tcPr>
          <w:p>
            <w:pPr>
              <w:spacing w:after="0"/>
              <w:rPr>
                <w:sz w:val="9"/>
                <w:szCs w:val="9"/>
                <w:color w:val="auto"/>
              </w:rPr>
            </w:pPr>
          </w:p>
        </w:tc>
        <w:tc>
          <w:tcPr>
            <w:tcW w:w="800" w:type="dxa"/>
            <w:vAlign w:val="bottom"/>
            <w:tcBorders>
              <w:bottom w:val="single" w:sz="8" w:color="009BDE"/>
            </w:tcBorders>
            <w:shd w:val="clear" w:color="auto" w:fill="CCEBF8"/>
          </w:tcPr>
          <w:p>
            <w:pPr>
              <w:spacing w:after="0"/>
              <w:rPr>
                <w:sz w:val="9"/>
                <w:szCs w:val="9"/>
                <w:color w:val="auto"/>
              </w:rPr>
            </w:pPr>
          </w:p>
        </w:tc>
        <w:tc>
          <w:tcPr>
            <w:tcW w:w="1180" w:type="dxa"/>
            <w:vAlign w:val="bottom"/>
            <w:tcBorders>
              <w:bottom w:val="single" w:sz="8" w:color="009BDE"/>
            </w:tcBorders>
            <w:shd w:val="clear" w:color="auto" w:fill="CCEBF8"/>
          </w:tcPr>
          <w:p>
            <w:pPr>
              <w:spacing w:after="0"/>
              <w:rPr>
                <w:sz w:val="9"/>
                <w:szCs w:val="9"/>
                <w:color w:val="auto"/>
              </w:rPr>
            </w:pPr>
          </w:p>
        </w:tc>
      </w:tr>
      <w:tr>
        <w:trPr>
          <w:trHeight w:val="381"/>
        </w:trPr>
        <w:tc>
          <w:tcPr>
            <w:tcW w:w="8940" w:type="dxa"/>
            <w:vAlign w:val="bottom"/>
            <w:tcBorders>
              <w:bottom w:val="single" w:sz="8" w:color="009BDE"/>
            </w:tcBorders>
          </w:tcPr>
          <w:p>
            <w:pPr>
              <w:ind w:left="80"/>
              <w:spacing w:after="0"/>
              <w:rPr>
                <w:sz w:val="20"/>
                <w:szCs w:val="20"/>
                <w:color w:val="auto"/>
              </w:rPr>
            </w:pPr>
            <w:r>
              <w:rPr>
                <w:rFonts w:ascii="Arial" w:cs="Arial" w:eastAsia="Arial" w:hAnsi="Arial"/>
                <w:sz w:val="16"/>
                <w:szCs w:val="16"/>
                <w:color w:val="auto"/>
              </w:rPr>
              <w:t>Annual Base Board Retainer</w:t>
            </w:r>
            <w:r>
              <w:rPr>
                <w:rFonts w:ascii="Arial" w:cs="Arial" w:eastAsia="Arial" w:hAnsi="Arial"/>
                <w:sz w:val="24"/>
                <w:szCs w:val="24"/>
                <w:color w:val="auto"/>
                <w:vertAlign w:val="superscript"/>
              </w:rPr>
              <w:t>(1)</w:t>
            </w:r>
          </w:p>
        </w:tc>
        <w:tc>
          <w:tcPr>
            <w:tcW w:w="800" w:type="dxa"/>
            <w:vAlign w:val="bottom"/>
            <w:tcBorders>
              <w:bottom w:val="single" w:sz="8" w:color="009BDE"/>
            </w:tcBorders>
          </w:tcPr>
          <w:p>
            <w:pPr>
              <w:ind w:left="5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09BDE"/>
            </w:tcBorders>
          </w:tcPr>
          <w:p>
            <w:pPr>
              <w:jc w:val="right"/>
              <w:ind w:right="340"/>
              <w:spacing w:after="0"/>
              <w:rPr>
                <w:sz w:val="20"/>
                <w:szCs w:val="20"/>
                <w:color w:val="auto"/>
              </w:rPr>
            </w:pPr>
            <w:r>
              <w:rPr>
                <w:rFonts w:ascii="Arial" w:cs="Arial" w:eastAsia="Arial" w:hAnsi="Arial"/>
                <w:sz w:val="16"/>
                <w:szCs w:val="16"/>
                <w:color w:val="auto"/>
              </w:rPr>
              <w:t>105,000</w:t>
            </w:r>
          </w:p>
        </w:tc>
      </w:tr>
      <w:tr>
        <w:trPr>
          <w:trHeight w:val="284"/>
        </w:trPr>
        <w:tc>
          <w:tcPr>
            <w:tcW w:w="8940" w:type="dxa"/>
            <w:vAlign w:val="bottom"/>
          </w:tcPr>
          <w:p>
            <w:pPr>
              <w:ind w:left="80"/>
              <w:spacing w:after="0"/>
              <w:rPr>
                <w:sz w:val="20"/>
                <w:szCs w:val="20"/>
                <w:color w:val="auto"/>
              </w:rPr>
            </w:pPr>
            <w:r>
              <w:rPr>
                <w:rFonts w:ascii="Arial" w:cs="Arial" w:eastAsia="Arial" w:hAnsi="Arial"/>
                <w:sz w:val="16"/>
                <w:szCs w:val="16"/>
                <w:color w:val="auto"/>
              </w:rPr>
              <w:t>Annual Retainers (in addition to Annual Base Board Retainer)</w:t>
            </w: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97"/>
        </w:trPr>
        <w:tc>
          <w:tcPr>
            <w:tcW w:w="89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r>
      <w:tr>
        <w:trPr>
          <w:trHeight w:val="284"/>
        </w:trPr>
        <w:tc>
          <w:tcPr>
            <w:tcW w:w="8940" w:type="dxa"/>
            <w:vAlign w:val="bottom"/>
          </w:tcPr>
          <w:p>
            <w:pPr>
              <w:ind w:left="160"/>
              <w:spacing w:after="0"/>
              <w:rPr>
                <w:sz w:val="20"/>
                <w:szCs w:val="20"/>
                <w:color w:val="auto"/>
              </w:rPr>
            </w:pPr>
            <w:r>
              <w:rPr>
                <w:rFonts w:ascii="Arial" w:cs="Arial" w:eastAsia="Arial" w:hAnsi="Arial"/>
                <w:sz w:val="16"/>
                <w:szCs w:val="16"/>
                <w:color w:val="auto"/>
              </w:rPr>
              <w:t>• Chair of Board</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150,000</w:t>
            </w:r>
          </w:p>
        </w:tc>
      </w:tr>
      <w:tr>
        <w:trPr>
          <w:trHeight w:val="97"/>
        </w:trPr>
        <w:tc>
          <w:tcPr>
            <w:tcW w:w="89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r>
      <w:tr>
        <w:trPr>
          <w:trHeight w:val="284"/>
        </w:trPr>
        <w:tc>
          <w:tcPr>
            <w:tcW w:w="8940" w:type="dxa"/>
            <w:vAlign w:val="bottom"/>
          </w:tcPr>
          <w:p>
            <w:pPr>
              <w:ind w:left="160"/>
              <w:spacing w:after="0"/>
              <w:rPr>
                <w:sz w:val="20"/>
                <w:szCs w:val="20"/>
                <w:color w:val="auto"/>
              </w:rPr>
            </w:pPr>
            <w:r>
              <w:rPr>
                <w:rFonts w:ascii="Arial" w:cs="Arial" w:eastAsia="Arial" w:hAnsi="Arial"/>
                <w:sz w:val="16"/>
                <w:szCs w:val="16"/>
                <w:color w:val="auto"/>
              </w:rPr>
              <w:t>• Chair of Audit Committee</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40,000</w:t>
            </w:r>
          </w:p>
        </w:tc>
      </w:tr>
      <w:tr>
        <w:trPr>
          <w:trHeight w:val="97"/>
        </w:trPr>
        <w:tc>
          <w:tcPr>
            <w:tcW w:w="89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r>
      <w:tr>
        <w:trPr>
          <w:trHeight w:val="284"/>
        </w:trPr>
        <w:tc>
          <w:tcPr>
            <w:tcW w:w="8940" w:type="dxa"/>
            <w:vAlign w:val="bottom"/>
          </w:tcPr>
          <w:p>
            <w:pPr>
              <w:ind w:left="160"/>
              <w:spacing w:after="0"/>
              <w:rPr>
                <w:sz w:val="20"/>
                <w:szCs w:val="20"/>
                <w:color w:val="auto"/>
              </w:rPr>
            </w:pPr>
            <w:r>
              <w:rPr>
                <w:rFonts w:ascii="Arial" w:cs="Arial" w:eastAsia="Arial" w:hAnsi="Arial"/>
                <w:sz w:val="16"/>
                <w:szCs w:val="16"/>
                <w:color w:val="auto"/>
              </w:rPr>
              <w:t>• Chair of Compensation and Talent Committee</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35,000</w:t>
            </w:r>
          </w:p>
        </w:tc>
      </w:tr>
      <w:tr>
        <w:trPr>
          <w:trHeight w:val="97"/>
        </w:trPr>
        <w:tc>
          <w:tcPr>
            <w:tcW w:w="89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r>
      <w:tr>
        <w:trPr>
          <w:trHeight w:val="284"/>
        </w:trPr>
        <w:tc>
          <w:tcPr>
            <w:tcW w:w="8940" w:type="dxa"/>
            <w:vAlign w:val="bottom"/>
          </w:tcPr>
          <w:p>
            <w:pPr>
              <w:ind w:left="160"/>
              <w:spacing w:after="0"/>
              <w:rPr>
                <w:sz w:val="20"/>
                <w:szCs w:val="20"/>
                <w:color w:val="auto"/>
              </w:rPr>
            </w:pPr>
            <w:r>
              <w:rPr>
                <w:rFonts w:ascii="Arial" w:cs="Arial" w:eastAsia="Arial" w:hAnsi="Arial"/>
                <w:sz w:val="16"/>
                <w:szCs w:val="16"/>
                <w:color w:val="auto"/>
              </w:rPr>
              <w:t>• Chair of Finance and Capital Allocation Committee</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30,000</w:t>
            </w:r>
          </w:p>
        </w:tc>
      </w:tr>
      <w:tr>
        <w:trPr>
          <w:trHeight w:val="97"/>
        </w:trPr>
        <w:tc>
          <w:tcPr>
            <w:tcW w:w="89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r>
      <w:tr>
        <w:trPr>
          <w:trHeight w:val="284"/>
        </w:trPr>
        <w:tc>
          <w:tcPr>
            <w:tcW w:w="8940" w:type="dxa"/>
            <w:vAlign w:val="bottom"/>
          </w:tcPr>
          <w:p>
            <w:pPr>
              <w:ind w:left="160"/>
              <w:spacing w:after="0"/>
              <w:rPr>
                <w:sz w:val="20"/>
                <w:szCs w:val="20"/>
                <w:color w:val="auto"/>
              </w:rPr>
            </w:pPr>
            <w:r>
              <w:rPr>
                <w:rFonts w:ascii="Arial" w:cs="Arial" w:eastAsia="Arial" w:hAnsi="Arial"/>
                <w:sz w:val="16"/>
                <w:szCs w:val="16"/>
                <w:color w:val="auto"/>
              </w:rPr>
              <w:t>• Chair of Nominating, Governance and Social Responsibility Committee</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20,000</w:t>
            </w:r>
          </w:p>
        </w:tc>
      </w:tr>
      <w:tr>
        <w:trPr>
          <w:trHeight w:val="97"/>
        </w:trPr>
        <w:tc>
          <w:tcPr>
            <w:tcW w:w="89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r>
      <w:tr>
        <w:trPr>
          <w:trHeight w:val="284"/>
        </w:trPr>
        <w:tc>
          <w:tcPr>
            <w:tcW w:w="8940" w:type="dxa"/>
            <w:vAlign w:val="bottom"/>
          </w:tcPr>
          <w:p>
            <w:pPr>
              <w:ind w:left="160"/>
              <w:spacing w:after="0"/>
              <w:rPr>
                <w:sz w:val="20"/>
                <w:szCs w:val="20"/>
                <w:color w:val="auto"/>
              </w:rPr>
            </w:pPr>
            <w:r>
              <w:rPr>
                <w:rFonts w:ascii="Arial" w:cs="Arial" w:eastAsia="Arial" w:hAnsi="Arial"/>
                <w:sz w:val="16"/>
                <w:szCs w:val="16"/>
                <w:color w:val="auto"/>
              </w:rPr>
              <w:t>• Audit Committee Member (other than Chair)</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20,000</w:t>
            </w:r>
          </w:p>
        </w:tc>
      </w:tr>
      <w:tr>
        <w:trPr>
          <w:trHeight w:val="97"/>
        </w:trPr>
        <w:tc>
          <w:tcPr>
            <w:tcW w:w="89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r>
      <w:tr>
        <w:trPr>
          <w:trHeight w:val="284"/>
        </w:trPr>
        <w:tc>
          <w:tcPr>
            <w:tcW w:w="8940" w:type="dxa"/>
            <w:vAlign w:val="bottom"/>
          </w:tcPr>
          <w:p>
            <w:pPr>
              <w:ind w:left="160"/>
              <w:spacing w:after="0"/>
              <w:rPr>
                <w:sz w:val="20"/>
                <w:szCs w:val="20"/>
                <w:color w:val="auto"/>
              </w:rPr>
            </w:pPr>
            <w:r>
              <w:rPr>
                <w:rFonts w:ascii="Arial" w:cs="Arial" w:eastAsia="Arial" w:hAnsi="Arial"/>
                <w:sz w:val="16"/>
                <w:szCs w:val="16"/>
                <w:color w:val="auto"/>
              </w:rPr>
              <w:t>• Compensation and Talent Committee Member (other than Chair)</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15,000</w:t>
            </w:r>
          </w:p>
        </w:tc>
      </w:tr>
      <w:tr>
        <w:trPr>
          <w:trHeight w:val="97"/>
        </w:trPr>
        <w:tc>
          <w:tcPr>
            <w:tcW w:w="89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r>
      <w:tr>
        <w:trPr>
          <w:trHeight w:val="284"/>
        </w:trPr>
        <w:tc>
          <w:tcPr>
            <w:tcW w:w="8940" w:type="dxa"/>
            <w:vAlign w:val="bottom"/>
          </w:tcPr>
          <w:p>
            <w:pPr>
              <w:ind w:left="160"/>
              <w:spacing w:after="0"/>
              <w:rPr>
                <w:sz w:val="20"/>
                <w:szCs w:val="20"/>
                <w:color w:val="auto"/>
              </w:rPr>
            </w:pPr>
            <w:r>
              <w:rPr>
                <w:rFonts w:ascii="Arial" w:cs="Arial" w:eastAsia="Arial" w:hAnsi="Arial"/>
                <w:sz w:val="16"/>
                <w:szCs w:val="16"/>
                <w:color w:val="auto"/>
              </w:rPr>
              <w:t>• Finance and Capital Allocation Committee Member (other than Chair)</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12,500</w:t>
            </w:r>
          </w:p>
        </w:tc>
      </w:tr>
      <w:tr>
        <w:trPr>
          <w:trHeight w:val="97"/>
        </w:trPr>
        <w:tc>
          <w:tcPr>
            <w:tcW w:w="89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r>
      <w:tr>
        <w:trPr>
          <w:trHeight w:val="284"/>
        </w:trPr>
        <w:tc>
          <w:tcPr>
            <w:tcW w:w="8940" w:type="dxa"/>
            <w:vAlign w:val="bottom"/>
          </w:tcPr>
          <w:p>
            <w:pPr>
              <w:ind w:left="160"/>
              <w:spacing w:after="0"/>
              <w:rPr>
                <w:sz w:val="20"/>
                <w:szCs w:val="20"/>
                <w:color w:val="auto"/>
              </w:rPr>
            </w:pPr>
            <w:r>
              <w:rPr>
                <w:rFonts w:ascii="Arial" w:cs="Arial" w:eastAsia="Arial" w:hAnsi="Arial"/>
                <w:sz w:val="16"/>
                <w:szCs w:val="16"/>
                <w:color w:val="auto"/>
              </w:rPr>
              <w:t>• Nominating, Governance and Social Responsibility Committee Member (other than Chair)</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61595</wp:posOffset>
            </wp:positionV>
            <wp:extent cx="692975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2" w:lineRule="exact"/>
        <w:rPr>
          <w:sz w:val="20"/>
          <w:szCs w:val="20"/>
          <w:color w:val="auto"/>
        </w:rPr>
      </w:pPr>
    </w:p>
    <w:p>
      <w:pPr>
        <w:ind w:left="600" w:hanging="433"/>
        <w:spacing w:after="0"/>
        <w:tabs>
          <w:tab w:leader="none" w:pos="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Annual Base Board Retainer increased from $95,000 to $105,000 effective July 30, 2025.</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 meeting fees were paid for attendance at meetings of the full Board or committees.</w:t>
      </w:r>
    </w:p>
    <w:p>
      <w:pPr>
        <w:spacing w:after="0" w:line="150" w:lineRule="exact"/>
        <w:rPr>
          <w:sz w:val="20"/>
          <w:szCs w:val="20"/>
          <w:color w:val="auto"/>
        </w:rPr>
      </w:pPr>
    </w:p>
    <w:p>
      <w:pPr>
        <w:ind w:left="160" w:right="160"/>
        <w:spacing w:after="0" w:line="248" w:lineRule="auto"/>
        <w:rPr>
          <w:sz w:val="20"/>
          <w:szCs w:val="20"/>
          <w:color w:val="auto"/>
        </w:rPr>
      </w:pPr>
      <w:r>
        <w:rPr>
          <w:rFonts w:ascii="Arial" w:cs="Arial" w:eastAsia="Arial" w:hAnsi="Arial"/>
          <w:sz w:val="16"/>
          <w:szCs w:val="16"/>
          <w:color w:val="auto"/>
        </w:rPr>
        <w:t>Annually, the Company anticipates issuing to each non-employee director that number of shares of Common Stock which have a set fair market value (based on the fair market value of the Common Stock on the date of grant). In fiscal 2025, the director stock grants had grant date fair market values of $175,000. The value of this stock award was increased to $185,000 for fiscal 2026. These shares are immediately vested, but the Board has adopted stock ownership guidelines which mandate that Board members may not sell any shares of the Company’s Common Stock that they hold, including shares obtained as part of this yearly stock grant, until they own shares of Common Stock with an aggregate market value equal to at five times the annual Board retainer. Board members are permitted to sell shares of Common Stock they hold with a value in excess of this amount. Board members may defer receipt of these shares under the Restated 2003 Stock Incentive Performance Plan, as amended, until their separation of service. An amount equal to the dividends paid on the number of shares of Common Stock deferred is credited to each non-employee director’s stock unit account as of the end of the quarter in which the dividend was paid, and such amount is paid after separation of service.</w:t>
      </w:r>
    </w:p>
    <w:p>
      <w:pPr>
        <w:spacing w:after="0" w:line="121" w:lineRule="exact"/>
        <w:rPr>
          <w:sz w:val="20"/>
          <w:szCs w:val="20"/>
          <w:color w:val="auto"/>
        </w:rPr>
      </w:pPr>
    </w:p>
    <w:p>
      <w:pPr>
        <w:ind w:left="160" w:right="200"/>
        <w:spacing w:after="0" w:line="249" w:lineRule="auto"/>
        <w:rPr>
          <w:sz w:val="20"/>
          <w:szCs w:val="20"/>
          <w:color w:val="auto"/>
        </w:rPr>
      </w:pPr>
      <w:r>
        <w:rPr>
          <w:rFonts w:ascii="Arial" w:cs="Arial" w:eastAsia="Arial" w:hAnsi="Arial"/>
          <w:sz w:val="16"/>
          <w:szCs w:val="16"/>
          <w:color w:val="auto"/>
        </w:rPr>
        <w:t>Pursuant to the Deferred Compensation Plan for non-employee directors (the “Deferred Plan”), which is unfunded, non-employee directors may defer some or all of the annual Board and committee retainer and meeting fees into a stock unit account, the value of each unit initially being equal to the fair market value of one share of Common Stock as of the end of the quarter in which the compensation being deferred would otherwise be payable. Stock units increase or decrease in value based on the fair market value of the Common Stock. In addition, an amount equal to the dividends paid on an equivalent number of shares of Common Stock is credited to each non-employee director’s stock unit account as of the end of the quarter in which the dividend was paid. The Company offers this program as a means for our directors to increase their economic exposure to the value of our stock without having to buy shares in the public market, which may not always be practicable as a result of blackout periods and other restrictions on trading in our securities.</w:t>
      </w:r>
    </w:p>
    <w:p>
      <w:pPr>
        <w:spacing w:after="0" w:line="105"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auto"/>
        </w:rPr>
        <w:t>Non-employee directors may also defer any portion of their retainer and/or meeting fees into an interest account under the Deferred Plan, which bears interest at the five-year treasury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221615</wp:posOffset>
            </wp:positionV>
            <wp:extent cx="6964045" cy="39052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  14</w:t>
      </w:r>
    </w:p>
    <w:p>
      <w:pPr>
        <w:sectPr>
          <w:pgSz w:w="11900" w:h="16838" w:orient="portrait"/>
          <w:cols w:equalWidth="0" w:num="1">
            <w:col w:w="11080"/>
          </w:cols>
          <w:pgMar w:left="320" w:top="478"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60"/>
        <w:spacing w:after="0" w:line="199" w:lineRule="auto"/>
        <w:rPr>
          <w:sz w:val="20"/>
          <w:szCs w:val="20"/>
          <w:color w:val="auto"/>
        </w:rPr>
      </w:pPr>
      <w:r>
        <w:rPr>
          <w:rFonts w:ascii="Arial" w:cs="Arial" w:eastAsia="Arial" w:hAnsi="Arial"/>
          <w:sz w:val="16"/>
          <w:szCs w:val="16"/>
          <w:color w:val="auto"/>
        </w:rPr>
        <w:t>The Company makes a deemed matching contribution to a director’s stock unit account under the Deferred Plan equal to 10% of the amount deferred by the director into the stock unit account, with one-half of such Company contribution vesting on December 31</w:t>
      </w:r>
      <w:r>
        <w:rPr>
          <w:rFonts w:ascii="Arial" w:cs="Arial" w:eastAsia="Arial" w:hAnsi="Arial"/>
          <w:sz w:val="24"/>
          <w:szCs w:val="24"/>
          <w:color w:val="auto"/>
          <w:vertAlign w:val="superscript"/>
        </w:rPr>
        <w:t>st</w:t>
      </w:r>
      <w:r>
        <w:rPr>
          <w:rFonts w:ascii="Arial" w:cs="Arial" w:eastAsia="Arial" w:hAnsi="Arial"/>
          <w:sz w:val="16"/>
          <w:szCs w:val="16"/>
          <w:color w:val="auto"/>
        </w:rPr>
        <w:t xml:space="preserve"> of the calendar year in which the deferred compensation otherwise would have been paid and one-half on the next December 31</w:t>
      </w:r>
      <w:r>
        <w:rPr>
          <w:rFonts w:ascii="Arial" w:cs="Arial" w:eastAsia="Arial" w:hAnsi="Arial"/>
          <w:sz w:val="24"/>
          <w:szCs w:val="24"/>
          <w:color w:val="auto"/>
          <w:vertAlign w:val="superscript"/>
        </w:rPr>
        <w:t>st</w:t>
      </w:r>
      <w:r>
        <w:rPr>
          <w:rFonts w:ascii="Arial" w:cs="Arial" w:eastAsia="Arial" w:hAnsi="Arial"/>
          <w:sz w:val="16"/>
          <w:szCs w:val="16"/>
          <w:color w:val="auto"/>
        </w:rPr>
        <w:t>, provided that the participant remains a director on such vesting date. Unvested Company contributions will automatically vest on death, total disability or retirement by the director at or after age seventy-five.</w:t>
      </w:r>
    </w:p>
    <w:p>
      <w:pPr>
        <w:spacing w:after="0" w:line="2" w:lineRule="exact"/>
        <w:rPr>
          <w:sz w:val="20"/>
          <w:szCs w:val="20"/>
          <w:color w:val="auto"/>
        </w:rPr>
      </w:pPr>
    </w:p>
    <w:p>
      <w:pPr>
        <w:jc w:val="both"/>
        <w:ind w:left="160" w:right="60"/>
        <w:spacing w:after="0" w:line="249" w:lineRule="auto"/>
        <w:rPr>
          <w:sz w:val="20"/>
          <w:szCs w:val="20"/>
          <w:color w:val="auto"/>
        </w:rPr>
      </w:pPr>
      <w:r>
        <w:rPr>
          <w:rFonts w:ascii="Arial" w:cs="Arial" w:eastAsia="Arial" w:hAnsi="Arial"/>
          <w:sz w:val="16"/>
          <w:szCs w:val="16"/>
          <w:color w:val="auto"/>
        </w:rPr>
        <w:t>Compensation deferred under the Deferred Plan in the interest account will be paid out in cash after termination of service as a director. Compensation deferred in the stock unit account will be paid out in shares of Common Stock after termination of service as a director. Directors may elect that deferred compensation be paid out in a lump sum or in up to ten annual installments, commencing either in the quarter following, or in the January following, the quarter in which service as a director terminates.</w:t>
      </w:r>
    </w:p>
    <w:p>
      <w:pPr>
        <w:spacing w:after="0" w:line="103" w:lineRule="exact"/>
        <w:rPr>
          <w:sz w:val="20"/>
          <w:szCs w:val="20"/>
          <w:color w:val="auto"/>
        </w:rPr>
      </w:pPr>
    </w:p>
    <w:p>
      <w:pPr>
        <w:ind w:left="160" w:right="340"/>
        <w:spacing w:after="0" w:line="279" w:lineRule="auto"/>
        <w:rPr>
          <w:sz w:val="20"/>
          <w:szCs w:val="20"/>
          <w:color w:val="auto"/>
        </w:rPr>
      </w:pPr>
      <w:r>
        <w:rPr>
          <w:rFonts w:ascii="Arial" w:cs="Arial" w:eastAsia="Arial" w:hAnsi="Arial"/>
          <w:sz w:val="16"/>
          <w:szCs w:val="16"/>
          <w:color w:val="auto"/>
        </w:rPr>
        <w:t>The Company also offers a matching gift program for its Board members pursuant to which the Company will match charitable contributions, up to a maximum yearly Company match of $5,000, made by Board members to qualifying non-profit organizations and academic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221615</wp:posOffset>
            </wp:positionV>
            <wp:extent cx="6964045" cy="39052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  15</w:t>
      </w:r>
    </w:p>
    <w:p>
      <w:pPr>
        <w:sectPr>
          <w:pgSz w:w="11900" w:h="16838" w:orient="portrait"/>
          <w:cols w:equalWidth="0" w:num="1">
            <w:col w:w="10980"/>
          </w:cols>
          <w:pgMar w:left="320" w:top="478" w:right="5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Governance of the Company</w:t>
      </w:r>
    </w:p>
    <w:p>
      <w:pPr>
        <w:spacing w:after="0" w:line="154"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Hasbro is committed to strong corporate governance, ethical conduct, sustainability and the accountability of the Board and Hasbro’s senior management team to the Company’s shareholders. We review our corporate governance principles and practices on a regular basis. Set forth below is a summary of our key governance principles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212090</wp:posOffset>
            </wp:positionV>
            <wp:extent cx="6929755" cy="35687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Code of Conduct</w:t>
      </w:r>
    </w:p>
    <w:p>
      <w:pPr>
        <w:spacing w:after="0" w:line="321"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auto"/>
        </w:rPr>
        <w:t>Hasbro has a Code of Conduct which is applicable to all of the Company’s officers, employees and directors, including the Company’s Chief Executive Officer, Chief Financial Officer and Controller. The Code of Conduct addresses issues such as conflicts of interest, protection of confidential Company information, financial integrity, compliance with laws, rules and regulations, insider trading and proper public disclosure. Compliance with the Code of Conduct is mandatory for all Company officers, employees and directors. Any violation of the Code of Conduct can subject the person at issue to a range of sanctions, including dismissal.</w:t>
      </w:r>
    </w:p>
    <w:p>
      <w:pPr>
        <w:spacing w:after="0" w:line="114"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The Code of Conduct is available on Hasbro’s website at https://hasbro.gcs-web.com/corporate-governance. Although the Company generally does not intend to provide waivers of, or amendments to, the Code of Conduct for its Chief Executive Officer, Chief Financial Officer, Controller, or any other officers, directors or employees, information concerning any waiver of, or amendment to, the Code of Conduct for the Chief Executive Officer, Chief Financial Officer, Controller, or any other executive officer or director of the Company, will be promptly disclosed on the Company’s website in the location where the Code of Conduct is posted.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217170</wp:posOffset>
            </wp:positionV>
            <wp:extent cx="6929755" cy="35687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96"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Corporate Governance Principles</w:t>
      </w:r>
    </w:p>
    <w:p>
      <w:pPr>
        <w:spacing w:after="0" w:line="308" w:lineRule="exact"/>
        <w:rPr>
          <w:sz w:val="20"/>
          <w:szCs w:val="20"/>
          <w:color w:val="auto"/>
        </w:rPr>
      </w:pPr>
    </w:p>
    <w:p>
      <w:pPr>
        <w:ind w:left="160" w:right="160"/>
        <w:spacing w:after="0" w:line="262" w:lineRule="auto"/>
        <w:rPr>
          <w:sz w:val="20"/>
          <w:szCs w:val="20"/>
          <w:color w:val="auto"/>
        </w:rPr>
      </w:pPr>
      <w:r>
        <w:rPr>
          <w:rFonts w:ascii="Arial" w:cs="Arial" w:eastAsia="Arial" w:hAnsi="Arial"/>
          <w:sz w:val="16"/>
          <w:szCs w:val="16"/>
          <w:color w:val="auto"/>
        </w:rPr>
        <w:t>Hasbro has adopted a set of Corporate Governance Principles which address qualifications for members of the Board of Directors, director responsibilities, director access to management and independent advisors, director compensation and many other matters related to the governance of the Company. The Corporate Governance Principles are available on Hasbro’s website at https://hasbro.gcs-web.com/corporate-governance.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212090</wp:posOffset>
            </wp:positionV>
            <wp:extent cx="6929755" cy="35687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Director Independence</w:t>
      </w:r>
    </w:p>
    <w:p>
      <w:pPr>
        <w:spacing w:after="0" w:line="321" w:lineRule="exact"/>
        <w:rPr>
          <w:sz w:val="20"/>
          <w:szCs w:val="20"/>
          <w:color w:val="auto"/>
        </w:rPr>
      </w:pPr>
    </w:p>
    <w:p>
      <w:pPr>
        <w:ind w:left="160" w:right="120"/>
        <w:spacing w:after="0" w:line="251" w:lineRule="auto"/>
        <w:rPr>
          <w:sz w:val="20"/>
          <w:szCs w:val="20"/>
          <w:color w:val="auto"/>
        </w:rPr>
      </w:pPr>
      <w:r>
        <w:rPr>
          <w:rFonts w:ascii="Arial" w:cs="Arial" w:eastAsia="Arial" w:hAnsi="Arial"/>
          <w:sz w:val="16"/>
          <w:szCs w:val="16"/>
          <w:color w:val="auto"/>
        </w:rPr>
        <w:t>Hasbro’s Board has adopted Independence Standards in accordance with Nasdaq’s corporate governance listing standards. The Independence Standards specify criteria used by the Board in making determinations with respect to the independence of its members and include strict guidelines for directors and their immediate family members with respect to past employment or affiliation with the Company or its independent auditor. The Independence Standards restrict commercial relationships between directors and the Company and include the consideration of other relationships with the Company, including charitable relationships, in making independence determinations. The Independence Standards are available on Hasbro’s website at https://hasbro.gcs-web.com/corporate-governance.</w:t>
      </w:r>
    </w:p>
    <w:p>
      <w:pPr>
        <w:spacing w:after="0" w:line="103"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color w:val="auto"/>
        </w:rPr>
        <w:t>The Board has determined in accordance with our Independence Standards, that all of our non-employee directors are independent and have no relationships which impact an independence determination under the Company’s Independence Standards. The only member of the Company’s Board who was determined not to be independent was Chris Cocks, the Company’s Chief Executive Officer. Of the eleven (11) Board nominees for director at the Annual Meeting, ten (10) are independent, with Mr. Cocks being the only non-independent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6964045" cy="39052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  16</w:t>
      </w:r>
    </w:p>
    <w:p>
      <w:pPr>
        <w:sectPr>
          <w:pgSz w:w="11900" w:h="16838" w:orient="portrait"/>
          <w:cols w:equalWidth="0" w:num="1">
            <w:col w:w="11040"/>
          </w:cols>
          <w:pgMar w:left="320" w:top="478" w:right="5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35687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Board Leadership Structure</w:t>
      </w:r>
    </w:p>
    <w:p>
      <w:pPr>
        <w:spacing w:after="0" w:line="308" w:lineRule="exact"/>
        <w:rPr>
          <w:sz w:val="20"/>
          <w:szCs w:val="20"/>
          <w:color w:val="auto"/>
        </w:rPr>
      </w:pPr>
    </w:p>
    <w:p>
      <w:pPr>
        <w:ind w:left="160" w:right="160"/>
        <w:spacing w:after="0" w:line="262" w:lineRule="auto"/>
        <w:rPr>
          <w:sz w:val="20"/>
          <w:szCs w:val="20"/>
          <w:color w:val="auto"/>
        </w:rPr>
      </w:pPr>
      <w:r>
        <w:rPr>
          <w:rFonts w:ascii="Arial" w:cs="Arial" w:eastAsia="Arial" w:hAnsi="Arial"/>
          <w:sz w:val="16"/>
          <w:szCs w:val="16"/>
          <w:color w:val="auto"/>
        </w:rPr>
        <w:t>We currently separate the roles of Chair of the Board and CEO. The Chair of the Board is elected by the Board on an annual basis. The Chairperson presides at all meetings of shareholders and chairs all meetings of the Board of Directors. In addition, the Chairperson performs all duties which may be required by law and such other duties as specified by the Board. The Chairperson’s duties typically include:</w:t>
      </w:r>
    </w:p>
    <w:p>
      <w:pPr>
        <w:spacing w:after="0" w:line="80" w:lineRule="exact"/>
        <w:rPr>
          <w:sz w:val="20"/>
          <w:szCs w:val="20"/>
          <w:color w:val="auto"/>
        </w:rPr>
      </w:pPr>
    </w:p>
    <w:p>
      <w:pPr>
        <w:ind w:left="380" w:right="460" w:hanging="213"/>
        <w:spacing w:after="0" w:line="279" w:lineRule="auto"/>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working with the members of the Board and management to develop agendas and meeting schedules for Board and Committee meetings and to structure Board discussions around key strategic and other matters;</w:t>
      </w:r>
    </w:p>
    <w:p>
      <w:pPr>
        <w:spacing w:after="0" w:line="67" w:lineRule="exact"/>
        <w:rPr>
          <w:rFonts w:ascii="Arial" w:cs="Arial" w:eastAsia="Arial" w:hAnsi="Arial"/>
          <w:sz w:val="16"/>
          <w:szCs w:val="16"/>
          <w:color w:val="auto"/>
        </w:rPr>
      </w:pPr>
    </w:p>
    <w:p>
      <w:pPr>
        <w:ind w:left="380" w:hanging="213"/>
        <w:spacing w:after="0"/>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assuring there is sufficient time for Board discussion and that perspectives of all Board members are heard and considered;</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reviewing and approving information and materials to be sent to the Board;</w:t>
      </w:r>
    </w:p>
    <w:p>
      <w:pPr>
        <w:spacing w:after="0" w:line="123" w:lineRule="exact"/>
        <w:rPr>
          <w:rFonts w:ascii="Arial" w:cs="Arial" w:eastAsia="Arial" w:hAnsi="Arial"/>
          <w:sz w:val="16"/>
          <w:szCs w:val="16"/>
          <w:color w:val="auto"/>
        </w:rPr>
      </w:pPr>
    </w:p>
    <w:p>
      <w:pPr>
        <w:ind w:left="380" w:right="540" w:hanging="213"/>
        <w:spacing w:after="0" w:line="279" w:lineRule="auto"/>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meeting and consulting with major shareholders when requested as part of the Company’s shareholder outreach programs and when otherwise requested by such shareholders;</w:t>
      </w:r>
    </w:p>
    <w:p>
      <w:pPr>
        <w:spacing w:after="0" w:line="67" w:lineRule="exact"/>
        <w:rPr>
          <w:rFonts w:ascii="Arial" w:cs="Arial" w:eastAsia="Arial" w:hAnsi="Arial"/>
          <w:sz w:val="16"/>
          <w:szCs w:val="16"/>
          <w:color w:val="auto"/>
        </w:rPr>
      </w:pPr>
    </w:p>
    <w:p>
      <w:pPr>
        <w:ind w:left="380" w:right="520" w:hanging="213"/>
        <w:spacing w:after="0" w:line="279" w:lineRule="auto"/>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regularly consulting with the Chair of the Nominating, Governance and Social Responsibility Committee and other Committee Chairs on matters related to corporate governance, Board performance and Board responsibilities; and</w:t>
      </w:r>
    </w:p>
    <w:p>
      <w:pPr>
        <w:spacing w:after="0" w:line="67" w:lineRule="exact"/>
        <w:rPr>
          <w:rFonts w:ascii="Arial" w:cs="Arial" w:eastAsia="Arial" w:hAnsi="Arial"/>
          <w:sz w:val="16"/>
          <w:szCs w:val="16"/>
          <w:color w:val="auto"/>
        </w:rPr>
      </w:pPr>
    </w:p>
    <w:p>
      <w:pPr>
        <w:ind w:left="380" w:hanging="213"/>
        <w:spacing w:after="0"/>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facilitating the retention of outside advisors for the Board as needed.</w:t>
      </w:r>
    </w:p>
    <w:p>
      <w:pPr>
        <w:spacing w:after="0" w:line="110"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color w:val="auto"/>
        </w:rPr>
        <w:t>If the Chairperson is not an independent director, the Board will appoint a Lead Independent Director with such duties as may be prescribed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204470</wp:posOffset>
            </wp:positionV>
            <wp:extent cx="6929755" cy="35687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76"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Voting Standard for Director Elections</w:t>
      </w:r>
    </w:p>
    <w:p>
      <w:pPr>
        <w:spacing w:after="0" w:line="321" w:lineRule="exact"/>
        <w:rPr>
          <w:sz w:val="20"/>
          <w:szCs w:val="20"/>
          <w:color w:val="auto"/>
        </w:rPr>
      </w:pPr>
    </w:p>
    <w:p>
      <w:pPr>
        <w:ind w:left="160" w:right="360"/>
        <w:spacing w:after="0" w:line="279" w:lineRule="auto"/>
        <w:rPr>
          <w:sz w:val="20"/>
          <w:szCs w:val="20"/>
          <w:color w:val="auto"/>
        </w:rPr>
      </w:pPr>
      <w:r>
        <w:rPr>
          <w:rFonts w:ascii="Arial" w:cs="Arial" w:eastAsia="Arial" w:hAnsi="Arial"/>
          <w:sz w:val="16"/>
          <w:szCs w:val="16"/>
          <w:color w:val="auto"/>
        </w:rPr>
        <w:t>The Company has a majority vote standard for the election of directors in uncontested director elections, coupled with a director resignation policy for those directors who do not receive a majority vote. A plurality vote standard applies to contested director elections.</w:t>
      </w:r>
    </w:p>
    <w:p>
      <w:pPr>
        <w:spacing w:after="0" w:line="94" w:lineRule="exact"/>
        <w:rPr>
          <w:sz w:val="20"/>
          <w:szCs w:val="20"/>
          <w:color w:val="auto"/>
        </w:rPr>
      </w:pPr>
    </w:p>
    <w:p>
      <w:pPr>
        <w:ind w:left="160" w:right="100"/>
        <w:spacing w:after="0" w:line="253" w:lineRule="auto"/>
        <w:rPr>
          <w:sz w:val="20"/>
          <w:szCs w:val="20"/>
          <w:color w:val="auto"/>
        </w:rPr>
      </w:pPr>
      <w:r>
        <w:rPr>
          <w:rFonts w:ascii="Arial" w:cs="Arial" w:eastAsia="Arial" w:hAnsi="Arial"/>
          <w:sz w:val="16"/>
          <w:szCs w:val="16"/>
          <w:color w:val="auto"/>
        </w:rPr>
        <w:t>In an election of directors that is not a contested election (as defined below), when a quorum of shareholders entitled to vote is present, each nominee to be elected by shareholders will be elected if the votes cast “FOR” such nominee exceed the votes cast “AGAINST” such nominee. In cases where as of the tenth (10th) day preceding the date on which the Company first mails its notice of meeting, for the meeting at which directors are being elected, the number of nominees for director exceeds the number of directors to be elected (referred to as a “contested election”), when a quorum of shareholders entitled to vote is present, each nominee to be elected by shareholders shall be elected by a plurality of the votes cast.</w:t>
      </w:r>
    </w:p>
    <w:p>
      <w:pPr>
        <w:spacing w:after="0" w:line="100" w:lineRule="exact"/>
        <w:rPr>
          <w:sz w:val="20"/>
          <w:szCs w:val="20"/>
          <w:color w:val="auto"/>
        </w:rPr>
      </w:pPr>
    </w:p>
    <w:p>
      <w:pPr>
        <w:ind w:left="160" w:right="180"/>
        <w:spacing w:after="0" w:line="251" w:lineRule="auto"/>
        <w:rPr>
          <w:sz w:val="20"/>
          <w:szCs w:val="20"/>
          <w:color w:val="auto"/>
        </w:rPr>
      </w:pPr>
      <w:r>
        <w:rPr>
          <w:rFonts w:ascii="Arial" w:cs="Arial" w:eastAsia="Arial" w:hAnsi="Arial"/>
          <w:sz w:val="16"/>
          <w:szCs w:val="16"/>
          <w:color w:val="auto"/>
        </w:rPr>
        <w:t>In an election that is not a contested election, in order for an incumbent director to become a nominee for re-election to the Board, such person must submit an irrevocable resignation, contingent on both that person not receiving a “FOR” vote that exceeds the “AGAINST” vote cast and acceptance of that resignation by the Board in accordance with the policies and procedures of the Board adopted for such purpose. In the event an incumbent director fails to receive a “FOR” vote that exceeds the “AGAINST” vote in an election that is not a contested election, the Company’s Nominating, Governance and Social Responsibility Committee shall make a recommendation to the Board as to whether to accept or reject the resignation of such incumbent director.</w:t>
      </w:r>
    </w:p>
    <w:p>
      <w:pPr>
        <w:spacing w:after="0" w:line="116"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The Board shall act on the resignation, taking into account the recommendation of the Nominating, Governance and Social Responsibility Committee, and publicly disclose (by filing an appropriate disclosure with the SEC) its decision regarding the resignation and, if such resignation is rejected, the rationale for that decision, within sixty (60) days following the final certification of the vote at which the election was held. The Nominating, Governance and Social Responsibility Committee in making its recommendation, and the Board in making its decision, may each consider all factors and information that they consider relevant and appropriate. Both the Nominating, Governance and Social Responsibility Committee, in making its recommendation, and the Board in making its decision, with respect to any given nominee who has not received the requisite vote in an election that is not a contested election, will act without the participation of the nominee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5902325" cy="32258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5902325" cy="32258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  17</w:t>
      </w:r>
    </w:p>
    <w:p>
      <w:pPr>
        <w:sectPr>
          <w:pgSz w:w="11900" w:h="16838" w:orient="portrait"/>
          <w:cols w:equalWidth="0" w:num="1">
            <w:col w:w="11080"/>
          </w:cols>
          <w:pgMar w:left="320" w:top="478"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35687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Director Outside Board Service</w:t>
      </w:r>
    </w:p>
    <w:p>
      <w:pPr>
        <w:spacing w:after="0" w:line="308"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auto"/>
        </w:rPr>
        <w:t>The Company has a policy providing that Board members may not serve on the boards of directors of more than a total of four public companies (including the Company’s Board) and/or registered investment fund families. If the director is also a sitting chief executive officer of a public company, the director may not serve on more than one other public company board or registered investment fund family board, in addition to the Company’s Board. And, if the director is an executive chair of a public company, the director may not serve on the board of more than two other public companies and/or registered investment fund families. Any director whose service on boards exceeds the limits as a result of a private company becoming public is given up to twelve (12) months to comply with this policy.</w:t>
      </w:r>
    </w:p>
    <w:p>
      <w:pPr>
        <w:spacing w:after="0" w:line="116" w:lineRule="exact"/>
        <w:rPr>
          <w:sz w:val="20"/>
          <w:szCs w:val="20"/>
          <w:color w:val="auto"/>
        </w:rPr>
      </w:pPr>
    </w:p>
    <w:p>
      <w:pPr>
        <w:ind w:left="160" w:right="180"/>
        <w:spacing w:after="0" w:line="262" w:lineRule="auto"/>
        <w:rPr>
          <w:sz w:val="20"/>
          <w:szCs w:val="20"/>
          <w:color w:val="auto"/>
        </w:rPr>
      </w:pPr>
      <w:r>
        <w:rPr>
          <w:rFonts w:ascii="Arial" w:cs="Arial" w:eastAsia="Arial" w:hAnsi="Arial"/>
          <w:sz w:val="16"/>
          <w:szCs w:val="16"/>
          <w:color w:val="auto"/>
        </w:rPr>
        <w:t>The Board does not have a policy setting rigid limits on the number of audit committees on which a member of the Company’s Audit Committee can serve. Instead, in cases where an Audit Committee member serves on more than three public company audit committees, the Board evaluates whether such simultaneous service would impair the service of such member on the Company’s Audit Committee.</w:t>
      </w:r>
    </w:p>
    <w:p>
      <w:pPr>
        <w:spacing w:after="0" w:line="106"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Before accepting a seat on the board of another public company, the director is required to notify the Chair of Nominating, Governance and Social Responsibility Committee to avoid potential conflicts of interest, as well as to assist in the determination of whether the aggregate number of directorships and attendant responsibilities held by a director would interfere with such director’s ability to properly discharge his or her duties to the Company. The Chair and committee review the request and determine compliance with the Company’s over-boarding policy. Additionally, as part of the nomination process for board members, the Nominating, Governance and Social Responsibility Committee reviews the director’s annual questionnaire, including independence, and outside board responsibilities and time commitments. Each of the Company’s Board nominees is in compliance with the outside board service limitations.</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Each director is in compliance with the Company’s over-boarding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240030</wp:posOffset>
            </wp:positionV>
            <wp:extent cx="6929755" cy="35687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Director Orientation and Continuing Education</w:t>
      </w:r>
    </w:p>
    <w:p>
      <w:pPr>
        <w:spacing w:after="0" w:line="321"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New directors receive an orientation to assist them in their roles as Board and committee members. Orientation includes subjects such as board governance and operation, Company history, strategic plans, business operations, financial position and legal and regulatory environment. Management also provides information on an ongoing basis to ensure that Board members are aware of the business, legal and other developments necessary to fulfill their role. We make available outside educational opportunities as the Board deems relevant and appropriate and bring in speakers from time to time to address timely topics and trends affecting the Company. New directors are assigned a mentor on the Board to facilitate the director’s on-boarding and have meetings with each of the members of the executive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218440</wp:posOffset>
            </wp:positionV>
            <wp:extent cx="6929755" cy="35687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99"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Annual Evaluation for the Board and Board Committees</w:t>
      </w:r>
    </w:p>
    <w:p>
      <w:pPr>
        <w:spacing w:after="0" w:line="308" w:lineRule="exact"/>
        <w:rPr>
          <w:sz w:val="20"/>
          <w:szCs w:val="20"/>
          <w:color w:val="auto"/>
        </w:rPr>
      </w:pPr>
    </w:p>
    <w:p>
      <w:pPr>
        <w:ind w:left="160" w:right="140"/>
        <w:spacing w:after="0" w:line="253" w:lineRule="auto"/>
        <w:rPr>
          <w:sz w:val="20"/>
          <w:szCs w:val="20"/>
          <w:color w:val="auto"/>
        </w:rPr>
      </w:pPr>
      <w:r>
        <w:rPr>
          <w:rFonts w:ascii="Arial" w:cs="Arial" w:eastAsia="Arial" w:hAnsi="Arial"/>
          <w:sz w:val="16"/>
          <w:szCs w:val="16"/>
          <w:color w:val="auto"/>
        </w:rPr>
        <w:t>Every year the entire Board, as well as each of the committees of the Board, conduct a self-evaluation process. This process includes each director and each committee member submitting confidential feedback on the performance of the Board, their own self-assessment as a Board member, and the performance of each committee on which they serve. The feedback is then collected and reviewed and discussed by the applicable committees, as well as the entire Board of Directors. This feedback informs changes the Board and the committees consider making to their processes and areas of review for the next year.</w:t>
      </w:r>
    </w:p>
    <w:p>
      <w:pPr>
        <w:spacing w:after="0" w:line="114"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In addition to the self-evaluation process, periodically the Board engages an independent third-party to perform an external review. Most recently, in 2024, the Board engaged a third-party to conduct a comprehensive board evaluation, which included surveying and interviewing all members of the Board and certain members of management, observing board meetings, assessing board composition, reviewing key documents and running workshops focused on Board culture and behaviors. The third party identified key strengths of the Board and made recommendations for potential enhancements to the Board’s operation and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233680</wp:posOffset>
            </wp:positionV>
            <wp:extent cx="6964045" cy="39052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  18</w:t>
      </w:r>
    </w:p>
    <w:p>
      <w:pPr>
        <w:sectPr>
          <w:pgSz w:w="11900" w:h="16838" w:orient="portrait"/>
          <w:cols w:equalWidth="0" w:num="1">
            <w:col w:w="11060"/>
          </w:cols>
          <w:pgMar w:left="320" w:top="478"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35687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Board Tenure</w:t>
      </w:r>
    </w:p>
    <w:p>
      <w:pPr>
        <w:spacing w:after="0" w:line="308" w:lineRule="exact"/>
        <w:rPr>
          <w:sz w:val="20"/>
          <w:szCs w:val="20"/>
          <w:color w:val="auto"/>
        </w:rPr>
      </w:pPr>
    </w:p>
    <w:p>
      <w:pPr>
        <w:ind w:left="160" w:right="100"/>
        <w:spacing w:after="0" w:line="250" w:lineRule="auto"/>
        <w:rPr>
          <w:sz w:val="20"/>
          <w:szCs w:val="20"/>
          <w:color w:val="auto"/>
        </w:rPr>
      </w:pPr>
      <w:r>
        <w:rPr>
          <w:rFonts w:ascii="Arial" w:cs="Arial" w:eastAsia="Arial" w:hAnsi="Arial"/>
          <w:sz w:val="16"/>
          <w:szCs w:val="16"/>
          <w:color w:val="auto"/>
        </w:rPr>
        <w:t>Although the Company does not have a formal policy with respect to Board tenure, the Board does seek to keep a balance of tenures to provide continuity of understanding of the business, long-term succession planning, corporate governance best practices and meaningful onboarding of new directors, including educating new directors with respect to the Company’s business, while also providing for new perspectives brought to bear by new Board members. The Board generally targets a mix of tenures in which roughly one-third of the Board members have been on the Board for a relatively short period of time, one-third for a medium period of time, and one-third for a longer period of time. Although that is a general target, the composition of Board tenures may vary over time for many factors, including the availability of appropriate director candidates, the skill-sets needed by the Board or the importance of continuity during leadership transitions, such as the appointment of a new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218440</wp:posOffset>
            </wp:positionV>
            <wp:extent cx="6929755" cy="35687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99"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Proxy Access</w:t>
      </w:r>
    </w:p>
    <w:p>
      <w:pPr>
        <w:spacing w:after="0" w:line="321"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auto"/>
        </w:rPr>
        <w:t>We have adopted a “proxy access” procedure in our By-Laws. Our proxy access bylaw allows a shareholder or a group of up to 20 shareholders that has maintained continuous ownership of at least 3% of the voting power of the Company’s outstanding voting stock for at least 3 years, to include nominees for election to the Board of Directors in the Company’s proxy statement. Subject to compliance with the requirements of the proxy access By-Law provisions, the shareholder or group of shareholders may include director nominees for up to the greater of (i) 20% of the Board, rounded down to the nearest whole number, or (ii) 2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217170</wp:posOffset>
            </wp:positionV>
            <wp:extent cx="6929755" cy="35687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96"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Share Retention Requirements</w:t>
      </w:r>
    </w:p>
    <w:p>
      <w:pPr>
        <w:spacing w:after="0" w:line="321"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color w:val="auto"/>
        </w:rPr>
        <w:t>The Company has share ownership guidelines which apply to all officers and certain employees at or above the most Senior Vice President level and establish target share ownership levels which executives are expected to achieve over a five-year period and then maintain, absent extenuating circumstances. The Company also requires employees at those levels to retain a portion of any net shares realized from stock vesting or option exercises during the five-year period an executive has to achieve their stock ownership requirement until the executive’s ownership requirement level is satisfied. Until the applicable ownership level is achieved, the executive is required to retain an amount equal to at least 50% of the net shares received as a result of the exercise, vesting or payment of any equity awards granted to the executive following such executive becoming subject to the policy. Once the required stock ownership level is achieved, the executive is required to maintain the stock ownership level for as long as the executive is employed by the Company and is subject to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219710</wp:posOffset>
            </wp:positionV>
            <wp:extent cx="6929755" cy="35687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Equity Awards Subject to Double Trigger Following a Change in Control</w:t>
      </w:r>
    </w:p>
    <w:p>
      <w:pPr>
        <w:spacing w:after="0" w:line="308" w:lineRule="exact"/>
        <w:rPr>
          <w:sz w:val="20"/>
          <w:szCs w:val="20"/>
          <w:color w:val="auto"/>
        </w:rPr>
      </w:pPr>
    </w:p>
    <w:p>
      <w:pPr>
        <w:ind w:left="160" w:right="200"/>
        <w:spacing w:after="0" w:line="262" w:lineRule="auto"/>
        <w:rPr>
          <w:sz w:val="20"/>
          <w:szCs w:val="20"/>
          <w:color w:val="auto"/>
        </w:rPr>
      </w:pPr>
      <w:r>
        <w:rPr>
          <w:rFonts w:ascii="Arial" w:cs="Arial" w:eastAsia="Arial" w:hAnsi="Arial"/>
          <w:sz w:val="16"/>
          <w:szCs w:val="16"/>
          <w:color w:val="auto"/>
        </w:rPr>
        <w:t>Under the Company’s Restated 2003 Stock Incentive Performance Plan, as amended, all awards are subject to a double trigger change in control provision. This means that rather than vesting automatically upon a change in control of the Company, such awards will only vest following a change in control if the award recipient’s employment with the Company is terminated under specified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212090</wp:posOffset>
            </wp:positionV>
            <wp:extent cx="6929755" cy="35687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Clawback Policy</w:t>
      </w:r>
    </w:p>
    <w:p>
      <w:pPr>
        <w:spacing w:after="0" w:line="321"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auto"/>
        </w:rPr>
        <w:t>Under the Board-approved Clawback Policy, all equity and non-equity incentive plan compensation granted by the Company is subject to this Clawback Policy. The policy, which complies with Nasdaq listing standards, provides that if an accounting restatement is required due to the Company’s material non-compliance with any accounting requirements, then the Company will recover from all of the Company’s executive officers, regardless of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6964045" cy="39052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  19</w:t>
      </w:r>
    </w:p>
    <w:p>
      <w:pPr>
        <w:sectPr>
          <w:pgSz w:w="11900" w:h="16838" w:orient="portrait"/>
          <w:cols w:equalWidth="0" w:num="1">
            <w:col w:w="11040"/>
          </w:cols>
          <w:pgMar w:left="320" w:top="478" w:right="5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they were at fault or not in the circumstances leading to the restatement, any excess in the incentive compensation they earned over the prior three years over what they would have earned if there had not been a material non-compliance in the financial statements. In the event the officer’s misconduct, violation of Company policy or fraud contributed to the need for a restatement, then the Company will use reasonable efforts to recover up to 100% of the affected incentive compensation. In addition to the foregoing, the Company has adopted further clawback provisions than required under the Dodd-Frank Act. Specifically, the Company will use reasonable efforts in the event of a restatement to recover from any other current or former employee who is not an executive officer who received incentive compensation during the impacted period due to the person’s negligence, misconduct, wrongdoing or a violation of any of the Company’s rules or of any applicable legal or regulatory requirements in the course of the such employee’s employment by, or otherwise in connection with, the Company; or a breach of a fiduciary duty to the Company or its shareholders by such employee. There were no restatements triggering clawbacks in 2025. The Company’s Clawback Policy is filed as an exhibit to the Company’s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221615</wp:posOffset>
            </wp:positionV>
            <wp:extent cx="6929755" cy="35687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Policy Prohibiting the Pledging or Hedging of Company Stock</w:t>
      </w:r>
    </w:p>
    <w:p>
      <w:pPr>
        <w:spacing w:after="0" w:line="308"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Under the Company’s Board approved Global Insider Trading Policy, pledges or hedges of Company stock by directors, officers or other employees on a prospective basis is prohibited. The Board believes this policy furthers the interest of shareholders by ensuring that directors, officers and employees have the same economic incentives as shareholders and that equity held by directors, officers and employees will not be sold in situations beyond the control of the director, officer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215265</wp:posOffset>
            </wp:positionV>
            <wp:extent cx="6929755" cy="35687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94"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Board Meetings and Director Attendance at the Annual Meeting</w:t>
      </w:r>
    </w:p>
    <w:p>
      <w:pPr>
        <w:spacing w:after="0" w:line="321"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During 2025, the Board held twelve (12) meetings. All directors attended at least 75% of the aggregate of (i) the Board meetings held during their tenure as directors during 2025 and (ii) the meetings of any committees held during their tenure as members of such committees during 2025. Although the Company does not have a formal policy requiring attendance of directors at the annual meeting of shareholders, the expectation of the Company and the Board is that all directors will attend the annual meeting of shareholders in person or virtually unless conflicts prevent them from attending. All members of the Board who were serving as Board members at the time attended the 2025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217170</wp:posOffset>
            </wp:positionV>
            <wp:extent cx="6929755" cy="35687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96"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Director Retirement Age</w:t>
      </w:r>
    </w:p>
    <w:p>
      <w:pPr>
        <w:spacing w:after="0" w:line="321"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auto"/>
        </w:rPr>
        <w:t>The Board has established a target retirement age of 75. Normally, a director who has reached this age will serve out his or her current term and not stand for re-election at the end of that term. However, the Board recognizes that from time to time there may be unusual circumstances where exceptions need to be made to this general rule to retain needed continuity and expertise, or for other business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212090</wp:posOffset>
            </wp:positionV>
            <wp:extent cx="6929755" cy="35687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Succession Planning</w:t>
      </w:r>
    </w:p>
    <w:p>
      <w:pPr>
        <w:spacing w:after="0" w:line="308" w:lineRule="exact"/>
        <w:rPr>
          <w:sz w:val="20"/>
          <w:szCs w:val="20"/>
          <w:color w:val="auto"/>
        </w:rPr>
      </w:pPr>
    </w:p>
    <w:p>
      <w:pPr>
        <w:ind w:left="160" w:right="100"/>
        <w:spacing w:after="0" w:line="250" w:lineRule="auto"/>
        <w:rPr>
          <w:sz w:val="20"/>
          <w:szCs w:val="20"/>
          <w:color w:val="auto"/>
        </w:rPr>
      </w:pPr>
      <w:r>
        <w:rPr>
          <w:rFonts w:ascii="Arial" w:cs="Arial" w:eastAsia="Arial" w:hAnsi="Arial"/>
          <w:sz w:val="16"/>
          <w:szCs w:val="16"/>
          <w:color w:val="auto"/>
        </w:rPr>
        <w:t>The Board devotes significant time establishing, reviewing and discussing the succession plans for the CEO and each of his direct reports as well as the talent pipeline leading to those positions, part of building a diverse and inclusive workforce. The Board, the Compensation and Talent Committee and the Nominating, Governance and Social Responsibility Committee are involved in succession planning, as well as our Chief Executive Officer and other members of management. The Board drives the succession planning for the position of CEO. The Board, working with the CEO, members of management and outside advisors, oversees succession planning for certain other senior management positions. To assist the Board, senior management reports to the Board on management development and succession planning for the CEO and other members of senior management. In identifying successors, the Company has historically considered both internal and external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6964045" cy="39052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  20</w:t>
      </w:r>
    </w:p>
    <w:p>
      <w:pPr>
        <w:sectPr>
          <w:pgSz w:w="11900" w:h="16838" w:orient="portrait"/>
          <w:cols w:equalWidth="0" w:num="1">
            <w:col w:w="11080"/>
          </w:cols>
          <w:pgMar w:left="320" w:top="478"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Succession planning is among the Board’s top priorities and is included in the annual goals for executive management. Mr. Cocks, as CEO, is responsible for providing a regular talent update to the Board and Compensation and Talent Committee. Further, the Board and the Nominating, Governance and Social Responsibility Committee continue to regularly review in-depth succession plans, considering long-term, medium-term and short-term options. The Board also has exposure to internal succession candidates through their periodic participation in Board meetings and/or engagement outside of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140335</wp:posOffset>
            </wp:positionV>
            <wp:extent cx="6929755" cy="35687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Insider Trading Policy</w:t>
      </w:r>
    </w:p>
    <w:p>
      <w:pPr>
        <w:spacing w:after="0" w:line="308"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auto"/>
        </w:rPr>
        <w:t>We have a Board-approved Global Insider Trading Policy governing the transactions in our securities by our directors, officers and employees, and other related persons and entities, that are designed to promote compliance with insider trading laws, rules, and regulations. More specifically, it is the policy of the Company that no director, officer or other employee of the Company who is aware of material nonpublic information relating to the Company may, directly or through family members or other persons or entities, (a) engage in transactions in securities of the Company (other than pursuant to a pre-approved trading plan that is adopted and operated in compliance with SEC Rule 10b5-1), or engage in any other action to take personal advantage of that information, or (b) pass that information, or make a recommendation to engage in transactions in the Company’s securities that is influenced by material nonpublic information, on to others outside the Company, including family and friends. It is also the Company’s policy to comply with all applicable securities and state laws (including appropriate approvals by the Board of Directors or appropriate committee, if required) when engaging in transactions in Company securities.</w:t>
      </w:r>
    </w:p>
    <w:p>
      <w:pPr>
        <w:spacing w:after="0" w:line="121"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It is the policy of the Company that no director, officer or other employee of the Company who, in the course of working for the Company, learns of material nonpublic information about another company or another entity, including, without limitation, a company with which the Company does business, including a customer or supplier of the Company, may (a) engage in transactions in that company’s securities until the information becomes public or is no longer material, or (b) pass that information on to others outside the Company, including family and friends, or make a recommendation to engage in transactions in the other company’s or entities’ securities that is influenced by material nonpublic information.</w:t>
      </w:r>
    </w:p>
    <w:p>
      <w:pPr>
        <w:spacing w:after="0" w:line="114"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We have a pre-clearance policy that applies to executive officers, and members of the Board of the Company and other designated employees of the Company who, although not executive officers, regularly become aware of earnings information or other potentially material nonpublic information about the Company. Under this policy, directors and executive officers of the Company, and any other employees designated as being subject to the Company’s pre-clearance procedures, together with any of their family members who live in their household or whose transactions in Company securities are under their influence or control, and any trusts or other entities controlled by any such persons, may not engage in any transaction in the Company’s securities without first obtaining pre-clearance of the transaction from the Legal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218440</wp:posOffset>
            </wp:positionV>
            <wp:extent cx="6929755" cy="35687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399"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Additional Availability of Corporate Governance Materials</w:t>
      </w:r>
    </w:p>
    <w:p>
      <w:pPr>
        <w:spacing w:after="0" w:line="308"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In addition to being accessible on the Company’s website, https://investor.hasbro.com/corporate-governance, copies of the Company’s Code of Conduct, Corporate Governance Principles and the charters of the four committees of the Board of Directors are all available free of charge to any shareholder upon request to the Company’s Chief Legal Officer and Corporate Secretary, c/o Hasbro, Inc., 1027 Newport Avenue, P.O. Box 1059, Pawtucket, Rhode Island 02861.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6964045" cy="39052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  21</w:t>
      </w:r>
    </w:p>
    <w:p>
      <w:pPr>
        <w:sectPr>
          <w:pgSz w:w="11900" w:h="16838" w:orient="portrait"/>
          <w:cols w:equalWidth="0" w:num="1">
            <w:col w:w="11080"/>
          </w:cols>
          <w:pgMar w:left="320" w:top="478"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Compensation and Talent Committee Report</w:t>
      </w:r>
    </w:p>
    <w:p>
      <w:pPr>
        <w:spacing w:after="0" w:line="154" w:lineRule="exact"/>
        <w:rPr>
          <w:sz w:val="20"/>
          <w:szCs w:val="20"/>
          <w:color w:val="auto"/>
        </w:rPr>
      </w:pPr>
    </w:p>
    <w:p>
      <w:pPr>
        <w:ind w:left="160" w:right="100"/>
        <w:spacing w:after="0" w:line="253" w:lineRule="auto"/>
        <w:rPr>
          <w:sz w:val="20"/>
          <w:szCs w:val="20"/>
          <w:color w:val="auto"/>
        </w:rPr>
      </w:pPr>
      <w:r>
        <w:rPr>
          <w:rFonts w:ascii="Arial" w:cs="Arial" w:eastAsia="Arial" w:hAnsi="Arial"/>
          <w:sz w:val="16"/>
          <w:szCs w:val="16"/>
          <w:color w:val="auto"/>
        </w:rPr>
        <w:t>The following section of this Proxy Statement, entitled “Compensation Discussion and Analysis,” contains a discussion regarding the objectives of the Company’s executive compensation programs, how those programs drive Company performance and a review of the processes and program elements used by the Compensation and Talent Committee to attract and retain executive talent, align the interests of the executive team with those of the Company’s shareholders, create a strong pay-for-performance alignment, maximize the business results of the Company and enhance shareholder value.</w:t>
      </w:r>
    </w:p>
    <w:p>
      <w:pPr>
        <w:spacing w:after="0" w:line="114"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The Compensation and Talent Committee has reviewed and discussed with management the Compensation Discussion and Analysis that follows this report. Based on its review and discussions with management, the Compensation and Talent Committee recommended to the Company’s full Board, and the full Board has approved, the inclusion of the Compensation Discussion and Analysis in this Proxy Statement for the Meeting and, by incorporation by reference, in the Company’s Annual Report on Form 10-K for the year ended December 28, 2025.</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Report issued by the members of the Compensation and Talent Committee as of the Company’s 2025 fiscal year end.</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Darin Harris (Chair)</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Lisa Gersh</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Elizabeth Hamren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247015</wp:posOffset>
            </wp:positionV>
            <wp:extent cx="6964045" cy="39052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  22</w:t>
      </w:r>
    </w:p>
    <w:p>
      <w:pPr>
        <w:sectPr>
          <w:pgSz w:w="11900" w:h="16838" w:orient="portrait"/>
          <w:cols w:equalWidth="0" w:num="1">
            <w:col w:w="11000"/>
          </w:cols>
          <w:pgMar w:left="320" w:top="478" w:right="5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35687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Executive Summary</w:t>
      </w:r>
    </w:p>
    <w:p>
      <w:pPr>
        <w:spacing w:after="0" w:line="308" w:lineRule="exact"/>
        <w:rPr>
          <w:sz w:val="20"/>
          <w:szCs w:val="20"/>
          <w:color w:val="auto"/>
        </w:rPr>
      </w:pPr>
    </w:p>
    <w:p>
      <w:pPr>
        <w:ind w:left="160" w:right="820"/>
        <w:spacing w:after="0" w:line="279" w:lineRule="auto"/>
        <w:rPr>
          <w:sz w:val="20"/>
          <w:szCs w:val="20"/>
          <w:color w:val="auto"/>
        </w:rPr>
      </w:pPr>
      <w:r>
        <w:rPr>
          <w:rFonts w:ascii="Arial" w:cs="Arial" w:eastAsia="Arial" w:hAnsi="Arial"/>
          <w:sz w:val="16"/>
          <w:szCs w:val="16"/>
          <w:color w:val="auto"/>
        </w:rPr>
        <w:t>In the following Compensation Discussion and Analysis (“CD&amp;A”), we describe our approach to the executive compensation programs and our compensation decisions for 2025 for the following Named Executive Officers (“NEOs”).</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326"/>
        </w:trPr>
        <w:tc>
          <w:tcPr>
            <w:tcW w:w="5580" w:type="dxa"/>
            <w:vAlign w:val="bottom"/>
            <w:tcBorders>
              <w:bottom w:val="single" w:sz="8" w:color="CCEBF8"/>
            </w:tcBorders>
            <w:shd w:val="clear" w:color="auto" w:fill="CCEBF8"/>
          </w:tcPr>
          <w:p>
            <w:pPr>
              <w:spacing w:after="0"/>
              <w:rPr>
                <w:sz w:val="20"/>
                <w:szCs w:val="20"/>
                <w:color w:val="auto"/>
              </w:rPr>
            </w:pPr>
            <w:r>
              <w:rPr>
                <w:rFonts w:ascii="Arial" w:cs="Arial" w:eastAsia="Arial" w:hAnsi="Arial"/>
                <w:sz w:val="16"/>
                <w:szCs w:val="16"/>
                <w:b w:val="1"/>
                <w:bCs w:val="1"/>
                <w:color w:val="009BDE"/>
              </w:rPr>
              <w:t>  Name</w:t>
            </w:r>
          </w:p>
        </w:tc>
        <w:tc>
          <w:tcPr>
            <w:tcW w:w="5340" w:type="dxa"/>
            <w:vAlign w:val="bottom"/>
            <w:tcBorders>
              <w:bottom w:val="single" w:sz="8" w:color="CCEBF8"/>
            </w:tcBorders>
            <w:shd w:val="clear" w:color="auto" w:fill="CCEBF8"/>
          </w:tcPr>
          <w:p>
            <w:pPr>
              <w:ind w:left="120"/>
              <w:spacing w:after="0"/>
              <w:rPr>
                <w:sz w:val="20"/>
                <w:szCs w:val="20"/>
                <w:color w:val="auto"/>
              </w:rPr>
            </w:pPr>
            <w:r>
              <w:rPr>
                <w:rFonts w:ascii="Arial" w:cs="Arial" w:eastAsia="Arial" w:hAnsi="Arial"/>
                <w:sz w:val="16"/>
                <w:szCs w:val="16"/>
                <w:b w:val="1"/>
                <w:bCs w:val="1"/>
                <w:color w:val="009BDE"/>
              </w:rPr>
              <w:t>Title</w:t>
            </w:r>
          </w:p>
        </w:tc>
      </w:tr>
      <w:tr>
        <w:trPr>
          <w:trHeight w:val="284"/>
        </w:trPr>
        <w:tc>
          <w:tcPr>
            <w:tcW w:w="5580" w:type="dxa"/>
            <w:vAlign w:val="bottom"/>
            <w:tcBorders>
              <w:top w:val="single" w:sz="8" w:color="009BDE"/>
            </w:tcBorders>
          </w:tcPr>
          <w:p>
            <w:pPr>
              <w:ind w:left="80"/>
              <w:spacing w:after="0"/>
              <w:rPr>
                <w:sz w:val="20"/>
                <w:szCs w:val="20"/>
                <w:color w:val="auto"/>
              </w:rPr>
            </w:pPr>
            <w:r>
              <w:rPr>
                <w:rFonts w:ascii="Arial" w:cs="Arial" w:eastAsia="Arial" w:hAnsi="Arial"/>
                <w:sz w:val="16"/>
                <w:szCs w:val="16"/>
                <w:color w:val="auto"/>
              </w:rPr>
              <w:t>Chris Cocks</w:t>
            </w:r>
          </w:p>
        </w:tc>
        <w:tc>
          <w:tcPr>
            <w:tcW w:w="5340" w:type="dxa"/>
            <w:vAlign w:val="bottom"/>
            <w:tcBorders>
              <w:top w:val="single" w:sz="8" w:color="009BDE"/>
            </w:tcBorders>
          </w:tcPr>
          <w:p>
            <w:pPr>
              <w:ind w:left="120"/>
              <w:spacing w:after="0"/>
              <w:rPr>
                <w:sz w:val="20"/>
                <w:szCs w:val="20"/>
                <w:color w:val="auto"/>
              </w:rPr>
            </w:pPr>
            <w:r>
              <w:rPr>
                <w:rFonts w:ascii="Arial" w:cs="Arial" w:eastAsia="Arial" w:hAnsi="Arial"/>
                <w:sz w:val="16"/>
                <w:szCs w:val="16"/>
                <w:color w:val="auto"/>
              </w:rPr>
              <w:t>Chief Executive Officer</w:t>
            </w:r>
          </w:p>
        </w:tc>
      </w:tr>
      <w:tr>
        <w:trPr>
          <w:trHeight w:val="97"/>
        </w:trPr>
        <w:tc>
          <w:tcPr>
            <w:tcW w:w="5580" w:type="dxa"/>
            <w:vAlign w:val="bottom"/>
            <w:tcBorders>
              <w:bottom w:val="single" w:sz="8" w:color="009BDE"/>
            </w:tcBorders>
          </w:tcPr>
          <w:p>
            <w:pPr>
              <w:spacing w:after="0"/>
              <w:rPr>
                <w:sz w:val="8"/>
                <w:szCs w:val="8"/>
                <w:color w:val="auto"/>
              </w:rPr>
            </w:pPr>
          </w:p>
        </w:tc>
        <w:tc>
          <w:tcPr>
            <w:tcW w:w="5340" w:type="dxa"/>
            <w:vAlign w:val="bottom"/>
            <w:tcBorders>
              <w:bottom w:val="single" w:sz="8" w:color="009BDE"/>
            </w:tcBorders>
          </w:tcPr>
          <w:p>
            <w:pPr>
              <w:spacing w:after="0"/>
              <w:rPr>
                <w:sz w:val="8"/>
                <w:szCs w:val="8"/>
                <w:color w:val="auto"/>
              </w:rPr>
            </w:pPr>
          </w:p>
        </w:tc>
      </w:tr>
      <w:tr>
        <w:trPr>
          <w:trHeight w:val="284"/>
        </w:trPr>
        <w:tc>
          <w:tcPr>
            <w:tcW w:w="5580" w:type="dxa"/>
            <w:vAlign w:val="bottom"/>
          </w:tcPr>
          <w:p>
            <w:pPr>
              <w:ind w:left="80"/>
              <w:spacing w:after="0"/>
              <w:rPr>
                <w:sz w:val="20"/>
                <w:szCs w:val="20"/>
                <w:color w:val="auto"/>
              </w:rPr>
            </w:pPr>
            <w:r>
              <w:rPr>
                <w:rFonts w:ascii="Arial" w:cs="Arial" w:eastAsia="Arial" w:hAnsi="Arial"/>
                <w:sz w:val="16"/>
                <w:szCs w:val="16"/>
                <w:color w:val="auto"/>
              </w:rPr>
              <w:t>Gina Goetter</w:t>
            </w:r>
          </w:p>
        </w:tc>
        <w:tc>
          <w:tcPr>
            <w:tcW w:w="5340" w:type="dxa"/>
            <w:vAlign w:val="bottom"/>
          </w:tcPr>
          <w:p>
            <w:pPr>
              <w:ind w:left="120"/>
              <w:spacing w:after="0"/>
              <w:rPr>
                <w:sz w:val="20"/>
                <w:szCs w:val="20"/>
                <w:color w:val="auto"/>
              </w:rPr>
            </w:pPr>
            <w:r>
              <w:rPr>
                <w:rFonts w:ascii="Arial" w:cs="Arial" w:eastAsia="Arial" w:hAnsi="Arial"/>
                <w:sz w:val="16"/>
                <w:szCs w:val="16"/>
                <w:color w:val="auto"/>
              </w:rPr>
              <w:t>Chief Financial Officer and Chief Operating Officer</w:t>
            </w:r>
          </w:p>
        </w:tc>
      </w:tr>
      <w:tr>
        <w:trPr>
          <w:trHeight w:val="97"/>
        </w:trPr>
        <w:tc>
          <w:tcPr>
            <w:tcW w:w="5580" w:type="dxa"/>
            <w:vAlign w:val="bottom"/>
            <w:tcBorders>
              <w:bottom w:val="single" w:sz="8" w:color="009BDE"/>
            </w:tcBorders>
          </w:tcPr>
          <w:p>
            <w:pPr>
              <w:spacing w:after="0"/>
              <w:rPr>
                <w:sz w:val="8"/>
                <w:szCs w:val="8"/>
                <w:color w:val="auto"/>
              </w:rPr>
            </w:pPr>
          </w:p>
        </w:tc>
        <w:tc>
          <w:tcPr>
            <w:tcW w:w="5340" w:type="dxa"/>
            <w:vAlign w:val="bottom"/>
            <w:tcBorders>
              <w:bottom w:val="single" w:sz="8" w:color="009BDE"/>
            </w:tcBorders>
          </w:tcPr>
          <w:p>
            <w:pPr>
              <w:spacing w:after="0"/>
              <w:rPr>
                <w:sz w:val="8"/>
                <w:szCs w:val="8"/>
                <w:color w:val="auto"/>
              </w:rPr>
            </w:pPr>
          </w:p>
        </w:tc>
      </w:tr>
      <w:tr>
        <w:trPr>
          <w:trHeight w:val="284"/>
        </w:trPr>
        <w:tc>
          <w:tcPr>
            <w:tcW w:w="5580" w:type="dxa"/>
            <w:vAlign w:val="bottom"/>
          </w:tcPr>
          <w:p>
            <w:pPr>
              <w:ind w:left="80"/>
              <w:spacing w:after="0"/>
              <w:rPr>
                <w:sz w:val="20"/>
                <w:szCs w:val="20"/>
                <w:color w:val="auto"/>
              </w:rPr>
            </w:pPr>
            <w:r>
              <w:rPr>
                <w:rFonts w:ascii="Arial" w:cs="Arial" w:eastAsia="Arial" w:hAnsi="Arial"/>
                <w:sz w:val="16"/>
                <w:szCs w:val="16"/>
                <w:color w:val="auto"/>
              </w:rPr>
              <w:t>John Hight</w:t>
            </w:r>
          </w:p>
        </w:tc>
        <w:tc>
          <w:tcPr>
            <w:tcW w:w="5340" w:type="dxa"/>
            <w:vAlign w:val="bottom"/>
          </w:tcPr>
          <w:p>
            <w:pPr>
              <w:ind w:left="120"/>
              <w:spacing w:after="0"/>
              <w:rPr>
                <w:sz w:val="20"/>
                <w:szCs w:val="20"/>
                <w:color w:val="auto"/>
              </w:rPr>
            </w:pPr>
            <w:r>
              <w:rPr>
                <w:rFonts w:ascii="Arial" w:cs="Arial" w:eastAsia="Arial" w:hAnsi="Arial"/>
                <w:sz w:val="16"/>
                <w:szCs w:val="16"/>
                <w:color w:val="auto"/>
              </w:rPr>
              <w:t>President, Wizards of the Coast and Digital Gaming</w:t>
            </w:r>
          </w:p>
        </w:tc>
      </w:tr>
      <w:tr>
        <w:trPr>
          <w:trHeight w:val="97"/>
        </w:trPr>
        <w:tc>
          <w:tcPr>
            <w:tcW w:w="5580" w:type="dxa"/>
            <w:vAlign w:val="bottom"/>
            <w:tcBorders>
              <w:bottom w:val="single" w:sz="8" w:color="009BDE"/>
            </w:tcBorders>
          </w:tcPr>
          <w:p>
            <w:pPr>
              <w:spacing w:after="0"/>
              <w:rPr>
                <w:sz w:val="8"/>
                <w:szCs w:val="8"/>
                <w:color w:val="auto"/>
              </w:rPr>
            </w:pPr>
          </w:p>
        </w:tc>
        <w:tc>
          <w:tcPr>
            <w:tcW w:w="5340" w:type="dxa"/>
            <w:vAlign w:val="bottom"/>
            <w:tcBorders>
              <w:bottom w:val="single" w:sz="8" w:color="009BDE"/>
            </w:tcBorders>
          </w:tcPr>
          <w:p>
            <w:pPr>
              <w:spacing w:after="0"/>
              <w:rPr>
                <w:sz w:val="8"/>
                <w:szCs w:val="8"/>
                <w:color w:val="auto"/>
              </w:rPr>
            </w:pPr>
          </w:p>
        </w:tc>
      </w:tr>
      <w:tr>
        <w:trPr>
          <w:trHeight w:val="284"/>
        </w:trPr>
        <w:tc>
          <w:tcPr>
            <w:tcW w:w="5580" w:type="dxa"/>
            <w:vAlign w:val="bottom"/>
          </w:tcPr>
          <w:p>
            <w:pPr>
              <w:ind w:left="80"/>
              <w:spacing w:after="0"/>
              <w:rPr>
                <w:sz w:val="20"/>
                <w:szCs w:val="20"/>
                <w:color w:val="auto"/>
              </w:rPr>
            </w:pPr>
            <w:r>
              <w:rPr>
                <w:rFonts w:ascii="Arial" w:cs="Arial" w:eastAsia="Arial" w:hAnsi="Arial"/>
                <w:sz w:val="16"/>
                <w:szCs w:val="16"/>
                <w:color w:val="auto"/>
              </w:rPr>
              <w:t>Tim Kilpin</w:t>
            </w:r>
          </w:p>
        </w:tc>
        <w:tc>
          <w:tcPr>
            <w:tcW w:w="5340" w:type="dxa"/>
            <w:vAlign w:val="bottom"/>
          </w:tcPr>
          <w:p>
            <w:pPr>
              <w:ind w:left="120"/>
              <w:spacing w:after="0"/>
              <w:rPr>
                <w:sz w:val="20"/>
                <w:szCs w:val="20"/>
                <w:color w:val="auto"/>
              </w:rPr>
            </w:pPr>
            <w:r>
              <w:rPr>
                <w:rFonts w:ascii="Arial" w:cs="Arial" w:eastAsia="Arial" w:hAnsi="Arial"/>
                <w:sz w:val="16"/>
                <w:szCs w:val="16"/>
                <w:color w:val="auto"/>
              </w:rPr>
              <w:t>President, Toys, Board Games, Licensing and Entertainment</w:t>
            </w:r>
          </w:p>
        </w:tc>
      </w:tr>
      <w:tr>
        <w:trPr>
          <w:trHeight w:val="97"/>
        </w:trPr>
        <w:tc>
          <w:tcPr>
            <w:tcW w:w="5580" w:type="dxa"/>
            <w:vAlign w:val="bottom"/>
            <w:tcBorders>
              <w:bottom w:val="single" w:sz="8" w:color="009BDE"/>
            </w:tcBorders>
          </w:tcPr>
          <w:p>
            <w:pPr>
              <w:spacing w:after="0"/>
              <w:rPr>
                <w:sz w:val="8"/>
                <w:szCs w:val="8"/>
                <w:color w:val="auto"/>
              </w:rPr>
            </w:pPr>
          </w:p>
        </w:tc>
        <w:tc>
          <w:tcPr>
            <w:tcW w:w="5340" w:type="dxa"/>
            <w:vAlign w:val="bottom"/>
            <w:tcBorders>
              <w:bottom w:val="single" w:sz="8" w:color="009BDE"/>
            </w:tcBorders>
          </w:tcPr>
          <w:p>
            <w:pPr>
              <w:spacing w:after="0"/>
              <w:rPr>
                <w:sz w:val="8"/>
                <w:szCs w:val="8"/>
                <w:color w:val="auto"/>
              </w:rPr>
            </w:pPr>
          </w:p>
        </w:tc>
      </w:tr>
      <w:tr>
        <w:trPr>
          <w:trHeight w:val="284"/>
        </w:trPr>
        <w:tc>
          <w:tcPr>
            <w:tcW w:w="5580" w:type="dxa"/>
            <w:vAlign w:val="bottom"/>
          </w:tcPr>
          <w:p>
            <w:pPr>
              <w:ind w:left="80"/>
              <w:spacing w:after="0"/>
              <w:rPr>
                <w:sz w:val="20"/>
                <w:szCs w:val="20"/>
                <w:color w:val="auto"/>
              </w:rPr>
            </w:pPr>
            <w:r>
              <w:rPr>
                <w:rFonts w:ascii="Arial" w:cs="Arial" w:eastAsia="Arial" w:hAnsi="Arial"/>
                <w:sz w:val="16"/>
                <w:szCs w:val="16"/>
                <w:color w:val="auto"/>
              </w:rPr>
              <w:t>Tarrant Sibley</w:t>
            </w:r>
          </w:p>
        </w:tc>
        <w:tc>
          <w:tcPr>
            <w:tcW w:w="5340" w:type="dxa"/>
            <w:vAlign w:val="bottom"/>
          </w:tcPr>
          <w:p>
            <w:pPr>
              <w:ind w:left="120"/>
              <w:spacing w:after="0"/>
              <w:rPr>
                <w:sz w:val="20"/>
                <w:szCs w:val="20"/>
                <w:color w:val="auto"/>
              </w:rPr>
            </w:pPr>
            <w:r>
              <w:rPr>
                <w:rFonts w:ascii="Arial" w:cs="Arial" w:eastAsia="Arial" w:hAnsi="Arial"/>
                <w:sz w:val="16"/>
                <w:szCs w:val="16"/>
                <w:color w:val="auto"/>
              </w:rPr>
              <w:t>EVP, Chief Legal Officer &amp; Corporate Secretary</w:t>
            </w:r>
          </w:p>
        </w:tc>
      </w:tr>
      <w:tr>
        <w:trPr>
          <w:trHeight w:val="97"/>
        </w:trPr>
        <w:tc>
          <w:tcPr>
            <w:tcW w:w="5580" w:type="dxa"/>
            <w:vAlign w:val="bottom"/>
            <w:tcBorders>
              <w:bottom w:val="single" w:sz="8" w:color="009BDE"/>
            </w:tcBorders>
          </w:tcPr>
          <w:p>
            <w:pPr>
              <w:spacing w:after="0"/>
              <w:rPr>
                <w:sz w:val="8"/>
                <w:szCs w:val="8"/>
                <w:color w:val="auto"/>
              </w:rPr>
            </w:pPr>
          </w:p>
        </w:tc>
        <w:tc>
          <w:tcPr>
            <w:tcW w:w="5340" w:type="dxa"/>
            <w:vAlign w:val="bottom"/>
            <w:tcBorders>
              <w:bottom w:val="single" w:sz="8" w:color="009BDE"/>
            </w:tcBorders>
          </w:tcPr>
          <w:p>
            <w:pPr>
              <w:spacing w:after="0"/>
              <w:rPr>
                <w:sz w:val="8"/>
                <w:szCs w:val="8"/>
                <w:color w:val="auto"/>
              </w:rPr>
            </w:pPr>
          </w:p>
        </w:tc>
      </w:tr>
    </w:tbl>
    <w:p>
      <w:pPr>
        <w:spacing w:after="0" w:line="29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2025 Performance Overview</w:t>
      </w:r>
    </w:p>
    <w:p>
      <w:pPr>
        <w:spacing w:after="0" w:line="141"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auto"/>
        </w:rPr>
        <w:t>Fiscal year 2025 was a year of strong results, driven by our continued execution on our Playing to Win strategy. We finished 2025 with strong momentum, led by another record year in our Wizards of the Coast and Digital Gaming segment, continued growth in licensing, and operating profit improvement across the Company.</w:t>
      </w:r>
    </w:p>
    <w:p>
      <w:pPr>
        <w:spacing w:after="0" w:line="80" w:lineRule="exact"/>
        <w:rPr>
          <w:sz w:val="20"/>
          <w:szCs w:val="20"/>
          <w:color w:val="auto"/>
        </w:rPr>
      </w:pPr>
    </w:p>
    <w:p>
      <w:pPr>
        <w:ind w:left="380" w:right="20" w:hanging="213"/>
        <w:spacing w:after="0" w:line="279"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Full year Hasbro revenue increased 14% driven by 45% growth in the Wizards of the Coast and Digital Gaming segment. Consumer Products declined 4% and Entertainment was down 4%.</w:t>
      </w:r>
    </w:p>
    <w:p>
      <w:pPr>
        <w:spacing w:after="0" w:line="67" w:lineRule="exact"/>
        <w:rPr>
          <w:rFonts w:ascii="Arial" w:cs="Arial" w:eastAsia="Arial" w:hAnsi="Arial"/>
          <w:sz w:val="16"/>
          <w:szCs w:val="16"/>
          <w:color w:val="auto"/>
        </w:rPr>
      </w:pPr>
    </w:p>
    <w:p>
      <w:pPr>
        <w:ind w:left="380" w:right="240" w:hanging="213"/>
        <w:spacing w:after="0" w:line="262"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MAGIC: THE GATHERING had a record year, supported by the success of its Universes Beyond sets such as </w:t>
      </w:r>
      <w:r>
        <w:rPr>
          <w:rFonts w:ascii="Arial" w:cs="Arial" w:eastAsia="Arial" w:hAnsi="Arial"/>
          <w:sz w:val="16"/>
          <w:szCs w:val="16"/>
          <w:i w:val="1"/>
          <w:iCs w:val="1"/>
          <w:color w:val="auto"/>
        </w:rPr>
        <w:t>Avatar: The Last Airbender</w:t>
      </w:r>
      <w:r>
        <w:rPr>
          <w:rFonts w:ascii="Arial" w:cs="Arial" w:eastAsia="Arial" w:hAnsi="Arial"/>
          <w:sz w:val="16"/>
          <w:szCs w:val="16"/>
          <w:color w:val="auto"/>
        </w:rPr>
        <w:t xml:space="preserve"> and </w:t>
      </w:r>
      <w:r>
        <w:rPr>
          <w:rFonts w:ascii="Arial" w:cs="Arial" w:eastAsia="Arial" w:hAnsi="Arial"/>
          <w:sz w:val="16"/>
          <w:szCs w:val="16"/>
          <w:i w:val="1"/>
          <w:iCs w:val="1"/>
          <w:color w:val="auto"/>
        </w:rPr>
        <w:t>Final</w:t>
      </w:r>
      <w:r>
        <w:rPr>
          <w:rFonts w:ascii="Arial" w:cs="Arial" w:eastAsia="Arial" w:hAnsi="Arial"/>
          <w:sz w:val="16"/>
          <w:szCs w:val="16"/>
          <w:color w:val="auto"/>
        </w:rPr>
        <w:t xml:space="preserve"> </w:t>
      </w:r>
      <w:r>
        <w:rPr>
          <w:rFonts w:ascii="Arial" w:cs="Arial" w:eastAsia="Arial" w:hAnsi="Arial"/>
          <w:sz w:val="16"/>
          <w:szCs w:val="16"/>
          <w:i w:val="1"/>
          <w:iCs w:val="1"/>
          <w:color w:val="auto"/>
        </w:rPr>
        <w:t>Fantasy</w:t>
      </w:r>
      <w:r>
        <w:rPr>
          <w:rFonts w:ascii="Arial" w:cs="Arial" w:eastAsia="Arial" w:hAnsi="Arial"/>
          <w:sz w:val="16"/>
          <w:szCs w:val="16"/>
          <w:color w:val="auto"/>
        </w:rPr>
        <w:t>, which was the highest selling set of all-time based on net revenues.</w:t>
      </w:r>
      <w:r>
        <w:rPr>
          <w:rFonts w:ascii="Arial" w:cs="Arial" w:eastAsia="Arial" w:hAnsi="Arial"/>
          <w:sz w:val="16"/>
          <w:szCs w:val="16"/>
          <w:i w:val="1"/>
          <w:iCs w:val="1"/>
          <w:color w:val="auto"/>
        </w:rPr>
        <w:t xml:space="preserve"> Edge of Eternities </w:t>
      </w:r>
      <w:r>
        <w:rPr>
          <w:rFonts w:ascii="Arial" w:cs="Arial" w:eastAsia="Arial" w:hAnsi="Arial"/>
          <w:sz w:val="16"/>
          <w:szCs w:val="16"/>
          <w:color w:val="auto"/>
        </w:rPr>
        <w:t>and</w:t>
      </w:r>
      <w:r>
        <w:rPr>
          <w:rFonts w:ascii="Arial" w:cs="Arial" w:eastAsia="Arial" w:hAnsi="Arial"/>
          <w:sz w:val="16"/>
          <w:szCs w:val="16"/>
          <w:i w:val="1"/>
          <w:iCs w:val="1"/>
          <w:color w:val="auto"/>
        </w:rPr>
        <w:t xml:space="preserve"> Marvel’s Spider-Man </w:t>
      </w:r>
      <w:r>
        <w:rPr>
          <w:rFonts w:ascii="Arial" w:cs="Arial" w:eastAsia="Arial" w:hAnsi="Arial"/>
          <w:sz w:val="16"/>
          <w:szCs w:val="16"/>
          <w:color w:val="auto"/>
        </w:rPr>
        <w:t>also contributed to</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as well as high demand for our backlist sets and Secret Lair offerings.</w:t>
      </w:r>
    </w:p>
    <w:p>
      <w:pPr>
        <w:spacing w:after="0" w:line="79" w:lineRule="exact"/>
        <w:rPr>
          <w:rFonts w:ascii="Arial" w:cs="Arial" w:eastAsia="Arial" w:hAnsi="Arial"/>
          <w:sz w:val="16"/>
          <w:szCs w:val="16"/>
          <w:color w:val="auto"/>
        </w:rPr>
      </w:pPr>
    </w:p>
    <w:p>
      <w:pPr>
        <w:ind w:left="380" w:right="440" w:hanging="213"/>
        <w:spacing w:after="0" w:line="279"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Digital licensing was once again led by Monopoly Go!, a mobile game from our partners at Scopely, Inc., and remains a meaningful contributor to licensing revenues.</w:t>
      </w:r>
    </w:p>
    <w:p>
      <w:pPr>
        <w:spacing w:after="0" w:line="67" w:lineRule="exact"/>
        <w:rPr>
          <w:rFonts w:ascii="Arial" w:cs="Arial" w:eastAsia="Arial" w:hAnsi="Arial"/>
          <w:sz w:val="16"/>
          <w:szCs w:val="16"/>
          <w:color w:val="auto"/>
        </w:rPr>
      </w:pPr>
    </w:p>
    <w:p>
      <w:pPr>
        <w:ind w:left="380" w:right="40" w:hanging="213"/>
        <w:spacing w:after="0" w:line="262"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our Consumer Products segment, we saw solid performance from BEYBLADE, TRANSFORMERS and Hasbro Gaming, as well as success from recent innovation, such as the announcement of Baby Evie joining PEPPA PIG. In addition, we saw strong success from partner licensed brands, such as MARVEL.</w:t>
      </w:r>
    </w:p>
    <w:p>
      <w:pPr>
        <w:spacing w:after="0" w:line="79" w:lineRule="exact"/>
        <w:rPr>
          <w:rFonts w:ascii="Arial" w:cs="Arial" w:eastAsia="Arial" w:hAnsi="Arial"/>
          <w:sz w:val="16"/>
          <w:szCs w:val="16"/>
          <w:color w:val="auto"/>
        </w:rPr>
      </w:pPr>
    </w:p>
    <w:p>
      <w:pPr>
        <w:ind w:left="380" w:right="400" w:hanging="213"/>
        <w:spacing w:after="0" w:line="279"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Operating profit of $11 million and operating margin of 0.2% reflects a second quarter 2025 non-cash goodwill impairment charge associated with goodwill assigned to reporting units within our Consumer Products segment.</w:t>
      </w:r>
    </w:p>
    <w:p>
      <w:pPr>
        <w:spacing w:after="0" w:line="67" w:lineRule="exact"/>
        <w:rPr>
          <w:rFonts w:ascii="Arial" w:cs="Arial" w:eastAsia="Arial" w:hAnsi="Arial"/>
          <w:sz w:val="16"/>
          <w:szCs w:val="16"/>
          <w:color w:val="auto"/>
        </w:rPr>
      </w:pPr>
    </w:p>
    <w:p>
      <w:pPr>
        <w:ind w:left="380" w:right="600" w:hanging="213"/>
        <w:spacing w:after="0" w:line="279"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Adjusted operating profit of $1,140 million (+36% vs. 2024) and adjusted operating margin of 24.2% (+3.9 points vs. 2024), driven by favorable business mix and benefits from cost transformation efforts.</w:t>
      </w:r>
    </w:p>
    <w:p>
      <w:pPr>
        <w:spacing w:after="0" w:line="67" w:lineRule="exact"/>
        <w:rPr>
          <w:rFonts w:ascii="Arial" w:cs="Arial" w:eastAsia="Arial" w:hAnsi="Arial"/>
          <w:sz w:val="16"/>
          <w:szCs w:val="16"/>
          <w:color w:val="auto"/>
        </w:rPr>
      </w:pPr>
    </w:p>
    <w:p>
      <w:pPr>
        <w:ind w:left="380" w:hanging="213"/>
        <w:spacing w:after="0"/>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Reported net loss of $2.30 per share; adjusted net earnings of $5.54 per diluted share.</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Returned $393 million to shareholders via dividends.</w:t>
      </w:r>
    </w:p>
    <w:p>
      <w:pPr>
        <w:spacing w:after="0" w:line="123" w:lineRule="exact"/>
        <w:rPr>
          <w:rFonts w:ascii="Arial" w:cs="Arial" w:eastAsia="Arial" w:hAnsi="Arial"/>
          <w:sz w:val="16"/>
          <w:szCs w:val="16"/>
          <w:color w:val="auto"/>
        </w:rPr>
      </w:pPr>
    </w:p>
    <w:p>
      <w:pPr>
        <w:ind w:left="380" w:right="640" w:hanging="213"/>
        <w:spacing w:after="0" w:line="279"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Spent $225 million on debt reduction through the combination of bond repurchases and prefunding maturities, achieving debt targets ahead of schedule.</w:t>
      </w:r>
    </w:p>
    <w:p>
      <w:pPr>
        <w:spacing w:after="0" w:line="67" w:lineRule="exact"/>
        <w:rPr>
          <w:rFonts w:ascii="Arial" w:cs="Arial" w:eastAsia="Arial" w:hAnsi="Arial"/>
          <w:sz w:val="16"/>
          <w:szCs w:val="16"/>
          <w:color w:val="auto"/>
        </w:rPr>
      </w:pPr>
    </w:p>
    <w:p>
      <w:pPr>
        <w:ind w:left="380" w:hanging="213"/>
        <w:spacing w:after="0"/>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Operating cash flow of $893 million vs. $847 million in the prior year driven by improved profitability.</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Delivered almost $800 million of gross cost savings through 2025 as we continued to execute on our operational excellence program.</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A reconciliation of our GAAP to non-GAAP financial results can be found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257175</wp:posOffset>
            </wp:positionV>
            <wp:extent cx="6964045" cy="39052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  23</w:t>
      </w:r>
    </w:p>
    <w:p>
      <w:pPr>
        <w:sectPr>
          <w:pgSz w:w="11900" w:h="16838" w:orient="portrait"/>
          <w:cols w:equalWidth="0" w:num="1">
            <w:col w:w="11080"/>
          </w:cols>
          <w:pgMar w:left="320" w:top="478"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2025 Compensation Plan Design</w:t>
      </w:r>
    </w:p>
    <w:p>
      <w:pPr>
        <w:spacing w:after="0" w:line="127"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color w:val="auto"/>
        </w:rPr>
        <w:t>To ensure the success of our strategy for long-term shareholder value creation, we believe it is critical to align our executive compensation program with our short and long-term strategic and financial goals.</w:t>
      </w:r>
    </w:p>
    <w:p>
      <w:pPr>
        <w:spacing w:after="0" w:line="94" w:lineRule="exact"/>
        <w:rPr>
          <w:sz w:val="20"/>
          <w:szCs w:val="20"/>
          <w:color w:val="auto"/>
        </w:rPr>
      </w:pPr>
    </w:p>
    <w:p>
      <w:pPr>
        <w:jc w:val="both"/>
        <w:ind w:left="160" w:right="360"/>
        <w:spacing w:after="0" w:line="262" w:lineRule="auto"/>
        <w:rPr>
          <w:sz w:val="20"/>
          <w:szCs w:val="20"/>
          <w:color w:val="auto"/>
        </w:rPr>
      </w:pPr>
      <w:r>
        <w:rPr>
          <w:rFonts w:ascii="Arial" w:cs="Arial" w:eastAsia="Arial" w:hAnsi="Arial"/>
          <w:sz w:val="16"/>
          <w:szCs w:val="16"/>
          <w:b w:val="1"/>
          <w:bCs w:val="1"/>
          <w:i w:val="1"/>
          <w:iCs w:val="1"/>
          <w:color w:val="auto"/>
        </w:rPr>
        <w:t xml:space="preserve">Short-Term Incentive Plan. </w:t>
      </w:r>
      <w:r>
        <w:rPr>
          <w:rFonts w:ascii="Arial" w:cs="Arial" w:eastAsia="Arial" w:hAnsi="Arial"/>
          <w:sz w:val="16"/>
          <w:szCs w:val="16"/>
          <w:color w:val="auto"/>
        </w:rPr>
        <w:t>For the Company corporate plan, the metrics in 2025 included total net revenue (weighted at 50%) and operating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dollars (weighted at 50%). For the business area participants, the Committee determined to use revenue and operating profit dollars for the business area, each weighted at 40%, and an additional metric around performance against the Company’s total operating profit dollars (weighted at 20%).</w:t>
      </w:r>
    </w:p>
    <w:p>
      <w:pPr>
        <w:spacing w:after="0" w:line="106" w:lineRule="exact"/>
        <w:rPr>
          <w:sz w:val="20"/>
          <w:szCs w:val="20"/>
          <w:color w:val="auto"/>
        </w:rPr>
      </w:pPr>
    </w:p>
    <w:p>
      <w:pPr>
        <w:ind w:left="160" w:right="160"/>
        <w:spacing w:after="0" w:line="251" w:lineRule="auto"/>
        <w:rPr>
          <w:sz w:val="20"/>
          <w:szCs w:val="20"/>
          <w:color w:val="auto"/>
        </w:rPr>
      </w:pPr>
      <w:r>
        <w:rPr>
          <w:rFonts w:ascii="Arial" w:cs="Arial" w:eastAsia="Arial" w:hAnsi="Arial"/>
          <w:sz w:val="16"/>
          <w:szCs w:val="16"/>
          <w:b w:val="1"/>
          <w:bCs w:val="1"/>
          <w:i w:val="1"/>
          <w:iCs w:val="1"/>
          <w:color w:val="auto"/>
        </w:rPr>
        <w:t xml:space="preserve">Long-Term Incentive Plan. </w:t>
      </w:r>
      <w:r>
        <w:rPr>
          <w:rFonts w:ascii="Arial" w:cs="Arial" w:eastAsia="Arial" w:hAnsi="Arial"/>
          <w:sz w:val="16"/>
          <w:szCs w:val="16"/>
          <w:color w:val="auto"/>
        </w:rPr>
        <w:t>The Committee continues to believe that Diluted Earnings Per Share (EPS) is the appropriate performance metric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to base the performance share unit (PSU) awards, which represented 50% of total long-term incentive (LTI) for our CEO and other NEOs. This measure captures the most important aspects of the Company’s long-term performance and best aligns with shareholder value creation. The number of shares vesting can be modified by relative and absolute Total Shareholder Return (TSR) modifiers at the end of the three-year performance period. The relative TSR modifier promotes alignment of long-term incentive compensation award outcomes with relative shareholder returns. The absolute TSR modifier provides direct alignment with the shareholder experience of value creation.</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2025 Compensation Decisions Aligned with Performance</w:t>
      </w:r>
    </w:p>
    <w:p>
      <w:pPr>
        <w:spacing w:after="0" w:line="127" w:lineRule="exact"/>
        <w:rPr>
          <w:sz w:val="20"/>
          <w:szCs w:val="20"/>
          <w:color w:val="auto"/>
        </w:rPr>
      </w:pPr>
    </w:p>
    <w:p>
      <w:pPr>
        <w:ind w:left="160" w:right="60"/>
        <w:spacing w:after="0" w:line="251" w:lineRule="auto"/>
        <w:rPr>
          <w:sz w:val="20"/>
          <w:szCs w:val="20"/>
          <w:color w:val="auto"/>
        </w:rPr>
      </w:pPr>
      <w:r>
        <w:rPr>
          <w:rFonts w:ascii="Arial" w:cs="Arial" w:eastAsia="Arial" w:hAnsi="Arial"/>
          <w:sz w:val="16"/>
          <w:szCs w:val="16"/>
          <w:color w:val="auto"/>
        </w:rPr>
        <w:t>With respect to the 2025 annual incentive plan, the Committee reviewed the performance of the Company and its business areas against the annual incentive plan targets for fiscal year 2025. The Total Hasbro payout factor for awards under the 2025 annual incentive plan, as approved by the Committee, was 200% of target. The Committee reviewed the base incentive awards that would have been received by the NEOs using the Company and business area performances. In determining final amounts for the NEO’s, the Committee considered the NEO’s individual performance and contribution to the Company’s transformation efforts, refined strategy and focus areas and cost reduction measures intended to position the Company for future success. No further adjustments were made to the formula under the annual incentive plan for 2025.</w:t>
      </w:r>
    </w:p>
    <w:p>
      <w:pPr>
        <w:spacing w:after="0" w:line="116" w:lineRule="exact"/>
        <w:rPr>
          <w:sz w:val="20"/>
          <w:szCs w:val="20"/>
          <w:color w:val="auto"/>
        </w:rPr>
      </w:pPr>
    </w:p>
    <w:p>
      <w:pPr>
        <w:ind w:left="160" w:right="300"/>
        <w:spacing w:after="0" w:line="279" w:lineRule="auto"/>
        <w:rPr>
          <w:sz w:val="20"/>
          <w:szCs w:val="20"/>
          <w:color w:val="auto"/>
        </w:rPr>
      </w:pPr>
      <w:r>
        <w:rPr>
          <w:rFonts w:ascii="Arial" w:cs="Arial" w:eastAsia="Arial" w:hAnsi="Arial"/>
          <w:sz w:val="16"/>
          <w:szCs w:val="16"/>
          <w:color w:val="auto"/>
        </w:rPr>
        <w:t>With respect to our long-term incentive awards, a payout of 92% was achieved for the 2023-2025 performance share units. See “Long-Term Incentive Compensation — PSU Awards” below.</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payouts under the annual incentive plan and LTI program further evidence our pay-for-performance alignment.</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Shareholder Engagement</w:t>
      </w:r>
    </w:p>
    <w:p>
      <w:pPr>
        <w:spacing w:after="0" w:line="141"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auto"/>
        </w:rPr>
        <w:t>We engage with our major shareholders on a regular basis. We do this as part of our commitment to build relationships, discuss and receive feedback on our business strategy, be responsive to shareholders and ensure that our actions are informed by the viewpoints of our investors. Our shareholders supported our Say-on-Pay votes in the last three years, with favorable votes of 96.7%, 87.6%, and 91.4% of the shares voted at the 2025, 2024, and 2023 Annual Meetings, respectively.</w:t>
      </w:r>
    </w:p>
    <w:p>
      <w:pPr>
        <w:spacing w:after="0" w:line="111"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color w:val="auto"/>
        </w:rPr>
        <w:t>In addition to our year-round engagement, consistent with our historical practice, we extended an invitation to our top 25 shareholders (holding in aggregate more than a majority of our outstanding shares) to meet and we had discussions with those who accepted our invitation. This year we covered a variety of topics, with a primary focus on the actions we have taken in response to shareholder feedback over the past year, as well as our business strategy, risks and opportunities, our executive compensation plans, pay competitiveness, corporate governance, director refreshment, and director on-boarding and evaluation process. The feedback we received from our shareholders was discussed by our Board and its committees. Shareholders we spoke to indicated that they were supportive of our compensation program design to reward performance based on key financial metrics. Based on our continuing dialogue with our significant shareholders and the strong support we have seen in our Say-on-Pay vote, we believe our compensation program is aligned with the views of our shareholders and strongly drives our pay-for-performance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236855</wp:posOffset>
            </wp:positionV>
            <wp:extent cx="6964045" cy="39052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  24</w:t>
      </w:r>
    </w:p>
    <w:p>
      <w:pPr>
        <w:sectPr>
          <w:pgSz w:w="11900" w:h="16838" w:orient="portrait"/>
          <w:cols w:equalWidth="0" w:num="1">
            <w:col w:w="11060"/>
          </w:cols>
          <w:pgMar w:left="320" w:top="478"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Executive Compensation Program Structure and Alignment with Performance</w:t>
      </w:r>
    </w:p>
    <w:p>
      <w:pPr>
        <w:spacing w:after="0" w:line="100"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The Committee has implemented a carefully structured executive compensation program that is tightly linked to long-term shareholder value creation. The program incorporates a combination of short-term and long-term forms of compensation that are structured to incentivize company performance and the achievement of corporate and business unit objectives the Committee believes are critical to driving sustained long-term shareholder value. At the same time, the program incorporates elements that ensure the Company attracts and retains top executive talent with the creativity, innovation, drive and diverse skills in branded-play, digital gaming, licensing, consumer products, and entertainment that are critical to the successful execution of our strategy. As our “Playing to Win” strategy evolves, the Committee reviews the compensation program to ensure that it supports the strategy of the Company and enables us to attract and retain key talent to execute on our strategy.</w:t>
      </w:r>
    </w:p>
    <w:p>
      <w:pPr>
        <w:spacing w:after="0" w:line="103"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auto"/>
        </w:rPr>
        <w:t>In support of this linkage to long-term shareholder value creation, a significant portion of the total compensation opportunity for our CEO and our other NEOs is variable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6964045" cy="283654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6964045" cy="283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  25</w:t>
      </w:r>
    </w:p>
    <w:p>
      <w:pPr>
        <w:sectPr>
          <w:pgSz w:w="11900" w:h="16838" w:orient="portrait"/>
          <w:cols w:equalWidth="0" w:num="1">
            <w:col w:w="11080"/>
          </w:cols>
          <w:pgMar w:left="320" w:top="478"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summarizes the components of our 2025 compensation program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22098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6929755" cy="220980"/>
                    </a:xfrm>
                    <a:prstGeom prst="rect">
                      <a:avLst/>
                    </a:prstGeom>
                    <a:noFill/>
                  </pic:spPr>
                </pic:pic>
              </a:graphicData>
            </a:graphic>
          </wp:anchor>
        </w:drawing>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2025 Executive Compensation Program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54610</wp:posOffset>
            </wp:positionV>
            <wp:extent cx="69297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Type of Annual Cash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7" w:lineRule="exact"/>
        <w:rPr>
          <w:sz w:val="20"/>
          <w:szCs w:val="20"/>
          <w:color w:val="auto"/>
        </w:rPr>
      </w:pPr>
    </w:p>
    <w:p>
      <w:pPr>
        <w:ind w:left="240"/>
        <w:spacing w:after="0"/>
        <w:tabs>
          <w:tab w:leader="none" w:pos="168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6"/>
          <w:szCs w:val="16"/>
          <w:color w:val="auto"/>
        </w:rPr>
        <w:t>• Fixed compensation</w:t>
      </w:r>
    </w:p>
    <w:p>
      <w:pPr>
        <w:spacing w:after="0" w:line="124"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 Set at a market competitive level, in light of individual experience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692975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17" w:lineRule="exact"/>
        <w:rPr>
          <w:sz w:val="20"/>
          <w:szCs w:val="20"/>
          <w:color w:val="auto"/>
        </w:rPr>
      </w:pPr>
    </w:p>
    <w:p>
      <w:pPr>
        <w:ind w:left="240"/>
        <w:spacing w:after="0" w:line="314" w:lineRule="auto"/>
        <w:rPr>
          <w:sz w:val="20"/>
          <w:szCs w:val="20"/>
          <w:color w:val="auto"/>
        </w:rPr>
      </w:pPr>
      <w:r>
        <w:rPr>
          <w:rFonts w:ascii="Arial" w:cs="Arial" w:eastAsia="Arial" w:hAnsi="Arial"/>
          <w:sz w:val="15"/>
          <w:szCs w:val="15"/>
          <w:color w:val="auto"/>
        </w:rPr>
        <w:t>Annual Incentive Awards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35" w:hanging="135"/>
        <w:spacing w:after="0"/>
        <w:tabs>
          <w:tab w:leader="none" w:pos="1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Performance-based</w:t>
      </w:r>
    </w:p>
    <w:p>
      <w:pPr>
        <w:spacing w:after="0" w:line="123" w:lineRule="exact"/>
        <w:rPr>
          <w:rFonts w:ascii="Arial" w:cs="Arial" w:eastAsia="Arial" w:hAnsi="Arial"/>
          <w:sz w:val="16"/>
          <w:szCs w:val="16"/>
          <w:color w:val="auto"/>
        </w:rPr>
      </w:pPr>
    </w:p>
    <w:p>
      <w:pPr>
        <w:ind w:left="135" w:hanging="135"/>
        <w:spacing w:after="0"/>
        <w:tabs>
          <w:tab w:leader="none" w:pos="1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Tied to company and business area achievement against stated annual financial goals</w:t>
      </w:r>
    </w:p>
    <w:p>
      <w:pPr>
        <w:spacing w:after="0" w:line="123" w:lineRule="exact"/>
        <w:rPr>
          <w:rFonts w:ascii="Arial" w:cs="Arial" w:eastAsia="Arial" w:hAnsi="Arial"/>
          <w:sz w:val="16"/>
          <w:szCs w:val="16"/>
          <w:color w:val="auto"/>
        </w:rPr>
      </w:pPr>
    </w:p>
    <w:p>
      <w:pPr>
        <w:ind w:left="135" w:hanging="135"/>
        <w:spacing w:after="0"/>
        <w:tabs>
          <w:tab w:leader="none" w:pos="1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Performance measures evaluated</w:t>
      </w:r>
    </w:p>
    <w:p>
      <w:pPr>
        <w:spacing w:after="0" w:line="123" w:lineRule="exact"/>
        <w:rPr>
          <w:rFonts w:ascii="Arial" w:cs="Arial" w:eastAsia="Arial" w:hAnsi="Arial"/>
          <w:sz w:val="16"/>
          <w:szCs w:val="16"/>
          <w:color w:val="auto"/>
        </w:rPr>
      </w:pPr>
    </w:p>
    <w:p>
      <w:pPr>
        <w:ind w:left="275" w:hanging="132"/>
        <w:spacing w:after="0"/>
        <w:tabs>
          <w:tab w:leader="none" w:pos="275"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Total Net Revenues</w:t>
      </w:r>
    </w:p>
    <w:p>
      <w:pPr>
        <w:spacing w:after="0" w:line="123" w:lineRule="exact"/>
        <w:rPr>
          <w:rFonts w:ascii="Arial" w:cs="Arial" w:eastAsia="Arial" w:hAnsi="Arial"/>
          <w:sz w:val="16"/>
          <w:szCs w:val="16"/>
          <w:color w:val="auto"/>
        </w:rPr>
      </w:pPr>
    </w:p>
    <w:p>
      <w:pPr>
        <w:ind w:left="275" w:hanging="132"/>
        <w:spacing w:after="0"/>
        <w:tabs>
          <w:tab w:leader="none" w:pos="275" w:val="left"/>
        </w:tabs>
        <w:numPr>
          <w:ilvl w:val="1"/>
          <w:numId w:val="39"/>
        </w:numPr>
        <w:rPr>
          <w:rFonts w:ascii="Arial" w:cs="Arial" w:eastAsia="Arial" w:hAnsi="Arial"/>
          <w:sz w:val="16"/>
          <w:szCs w:val="16"/>
          <w:color w:val="auto"/>
        </w:rPr>
      </w:pPr>
      <w:r>
        <w:rPr>
          <w:rFonts w:ascii="Arial" w:cs="Arial" w:eastAsia="Arial" w:hAnsi="Arial"/>
          <w:sz w:val="16"/>
          <w:szCs w:val="16"/>
          <w:color w:val="auto"/>
        </w:rPr>
        <w:t>Operating Profit Dollars</w:t>
      </w:r>
    </w:p>
    <w:p>
      <w:pPr>
        <w:spacing w:after="0" w:line="83" w:lineRule="exact"/>
        <w:rPr>
          <w:rFonts w:ascii="Arial" w:cs="Arial" w:eastAsia="Arial" w:hAnsi="Arial"/>
          <w:sz w:val="16"/>
          <w:szCs w:val="16"/>
          <w:color w:val="auto"/>
        </w:rPr>
      </w:pPr>
    </w:p>
    <w:p>
      <w:pPr>
        <w:ind w:left="135" w:right="80" w:hanging="135"/>
        <w:spacing w:after="0" w:line="262" w:lineRule="auto"/>
        <w:tabs>
          <w:tab w:leader="none" w:pos="1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Individual Performance Adjustment: Designed to enable us to reward for strategic and operating performance not captured by the financial metrics listed by allowing the Committee to adjust the payouts down to 0% or up to +35% based on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50800</wp:posOffset>
            </wp:positionV>
            <wp:extent cx="692975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420" w:space="285"/>
            <w:col w:w="9375"/>
          </w:cols>
          <w:pgMar w:left="320" w:top="478" w:right="499" w:bottom="1440" w:gutter="0" w:footer="0" w:header="0"/>
          <w:type w:val="continuous"/>
        </w:sectPr>
      </w:pPr>
    </w:p>
    <w:p>
      <w:pPr>
        <w:ind w:left="240"/>
        <w:spacing w:after="0"/>
        <w:rPr>
          <w:sz w:val="20"/>
          <w:szCs w:val="20"/>
          <w:color w:val="auto"/>
        </w:rPr>
      </w:pPr>
      <w:r>
        <w:rPr>
          <w:rFonts w:ascii="Arial" w:cs="Arial" w:eastAsia="Arial" w:hAnsi="Arial"/>
          <w:sz w:val="15"/>
          <w:szCs w:val="15"/>
          <w:b w:val="1"/>
          <w:bCs w:val="1"/>
          <w:color w:val="auto"/>
        </w:rPr>
        <w:t>Type of Annual 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p>
      <w:pPr>
        <w:spacing w:after="0" w:line="229" w:lineRule="exact"/>
        <w:rPr>
          <w:sz w:val="20"/>
          <w:szCs w:val="20"/>
          <w:color w:val="auto"/>
        </w:rPr>
      </w:pPr>
    </w:p>
    <w:p>
      <w:pPr>
        <w:ind w:left="240"/>
        <w:spacing w:after="0" w:line="279" w:lineRule="auto"/>
        <w:rPr>
          <w:sz w:val="20"/>
          <w:szCs w:val="20"/>
          <w:color w:val="auto"/>
        </w:rPr>
      </w:pPr>
      <w:r>
        <w:rPr>
          <w:rFonts w:ascii="Arial" w:cs="Arial" w:eastAsia="Arial" w:hAnsi="Arial"/>
          <w:sz w:val="16"/>
          <w:szCs w:val="16"/>
          <w:color w:val="auto"/>
        </w:rPr>
        <w:t>Performance Share Units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35" w:hanging="135"/>
        <w:spacing w:after="0"/>
        <w:tabs>
          <w:tab w:leader="none" w:pos="1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Represented 50% of annual target equity award value for our CEO and other NEOs</w:t>
      </w:r>
    </w:p>
    <w:p>
      <w:pPr>
        <w:spacing w:after="0" w:line="123" w:lineRule="exact"/>
        <w:rPr>
          <w:rFonts w:ascii="Arial" w:cs="Arial" w:eastAsia="Arial" w:hAnsi="Arial"/>
          <w:sz w:val="16"/>
          <w:szCs w:val="16"/>
          <w:color w:val="auto"/>
        </w:rPr>
      </w:pPr>
    </w:p>
    <w:p>
      <w:pPr>
        <w:ind w:left="135" w:hanging="135"/>
        <w:spacing w:after="0"/>
        <w:tabs>
          <w:tab w:leader="none" w:pos="1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Earned based on challenging long-term three-year goal requiring sustained strong operating performance</w:t>
      </w:r>
    </w:p>
    <w:p>
      <w:pPr>
        <w:spacing w:after="0" w:line="123" w:lineRule="exact"/>
        <w:rPr>
          <w:rFonts w:ascii="Arial" w:cs="Arial" w:eastAsia="Arial" w:hAnsi="Arial"/>
          <w:sz w:val="16"/>
          <w:szCs w:val="16"/>
          <w:color w:val="auto"/>
        </w:rPr>
      </w:pPr>
    </w:p>
    <w:p>
      <w:pPr>
        <w:ind w:left="135" w:hanging="135"/>
        <w:spacing w:after="0"/>
        <w:tabs>
          <w:tab w:leader="none" w:pos="1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Aligns management behavior with maximizing shareholder value</w:t>
      </w:r>
    </w:p>
    <w:p>
      <w:pPr>
        <w:spacing w:after="0" w:line="123" w:lineRule="exact"/>
        <w:rPr>
          <w:rFonts w:ascii="Arial" w:cs="Arial" w:eastAsia="Arial" w:hAnsi="Arial"/>
          <w:sz w:val="16"/>
          <w:szCs w:val="16"/>
          <w:color w:val="auto"/>
        </w:rPr>
      </w:pPr>
    </w:p>
    <w:p>
      <w:pPr>
        <w:ind w:left="135" w:hanging="135"/>
        <w:spacing w:after="0"/>
        <w:tabs>
          <w:tab w:leader="none" w:pos="1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Tied to achievement of EPS and relative and absolute shareholder return over a 3-year performance period</w:t>
      </w:r>
    </w:p>
    <w:p>
      <w:pPr>
        <w:spacing w:after="0" w:line="123" w:lineRule="exact"/>
        <w:rPr>
          <w:rFonts w:ascii="Arial" w:cs="Arial" w:eastAsia="Arial" w:hAnsi="Arial"/>
          <w:sz w:val="16"/>
          <w:szCs w:val="16"/>
          <w:color w:val="auto"/>
        </w:rPr>
      </w:pPr>
    </w:p>
    <w:p>
      <w:pPr>
        <w:ind w:left="135" w:hanging="135"/>
        <w:spacing w:after="0"/>
        <w:tabs>
          <w:tab w:leader="none" w:pos="1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Modified +/- 25% by our relative TSR performance compared to S&amp;P 500 companies</w:t>
      </w:r>
    </w:p>
    <w:p>
      <w:pPr>
        <w:spacing w:after="0" w:line="123" w:lineRule="exact"/>
        <w:rPr>
          <w:rFonts w:ascii="Arial" w:cs="Arial" w:eastAsia="Arial" w:hAnsi="Arial"/>
          <w:sz w:val="16"/>
          <w:szCs w:val="16"/>
          <w:color w:val="auto"/>
        </w:rPr>
      </w:pPr>
    </w:p>
    <w:p>
      <w:pPr>
        <w:ind w:left="135" w:right="60" w:hanging="135"/>
        <w:spacing w:after="0" w:line="279" w:lineRule="auto"/>
        <w:tabs>
          <w:tab w:leader="none" w:pos="1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our cumulative TSR at the end of a 3-year performance period is greater than or equal to 33%, the award vests at a minimum of 50%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43180</wp:posOffset>
            </wp:positionV>
            <wp:extent cx="69297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1160" w:space="545"/>
            <w:col w:w="9375"/>
          </w:cols>
          <w:pgMar w:left="320" w:top="478" w:right="499" w:bottom="1440" w:gutter="0" w:footer="0" w:header="0"/>
          <w:type w:val="continuous"/>
        </w:sectPr>
      </w:pPr>
    </w:p>
    <w:tbl>
      <w:tblPr>
        <w:tblLayout w:type="fixed"/>
        <w:tblInd w:w="160" w:type="dxa"/>
        <w:tblCellMar>
          <w:top w:w="0" w:type="dxa"/>
          <w:left w:w="0" w:type="dxa"/>
          <w:bottom w:w="0" w:type="dxa"/>
          <w:right w:w="0" w:type="dxa"/>
        </w:tblCellMar>
      </w:tblPr>
      <w:tr>
        <w:trPr>
          <w:trHeight w:val="187"/>
        </w:trPr>
        <w:tc>
          <w:tcPr>
            <w:tcW w:w="1400" w:type="dxa"/>
            <w:vAlign w:val="bottom"/>
          </w:tcPr>
          <w:p>
            <w:pPr>
              <w:ind w:left="80"/>
              <w:spacing w:after="0"/>
              <w:rPr>
                <w:sz w:val="20"/>
                <w:szCs w:val="20"/>
                <w:color w:val="auto"/>
              </w:rPr>
            </w:pPr>
            <w:r>
              <w:rPr>
                <w:rFonts w:ascii="Arial" w:cs="Arial" w:eastAsia="Arial" w:hAnsi="Arial"/>
                <w:sz w:val="16"/>
                <w:szCs w:val="16"/>
                <w:color w:val="auto"/>
              </w:rPr>
              <w:t>Restricted Stock</w:t>
            </w:r>
          </w:p>
        </w:tc>
        <w:tc>
          <w:tcPr>
            <w:tcW w:w="9520" w:type="dxa"/>
            <w:vAlign w:val="bottom"/>
            <w:gridSpan w:val="2"/>
          </w:tcPr>
          <w:p>
            <w:pPr>
              <w:ind w:left="140"/>
              <w:spacing w:after="0"/>
              <w:rPr>
                <w:sz w:val="20"/>
                <w:szCs w:val="20"/>
                <w:color w:val="auto"/>
              </w:rPr>
            </w:pPr>
            <w:r>
              <w:rPr>
                <w:rFonts w:ascii="Arial" w:cs="Arial" w:eastAsia="Arial" w:hAnsi="Arial"/>
                <w:sz w:val="16"/>
                <w:szCs w:val="16"/>
                <w:color w:val="auto"/>
              </w:rPr>
              <w:t>• Represented 50% of annual target equity award value for our CEO and other NEOs</w:t>
            </w:r>
          </w:p>
        </w:tc>
        <w:tc>
          <w:tcPr>
            <w:tcW w:w="0" w:type="dxa"/>
            <w:vAlign w:val="bottom"/>
          </w:tcPr>
          <w:p>
            <w:pPr>
              <w:spacing w:after="0"/>
              <w:rPr>
                <w:sz w:val="1"/>
                <w:szCs w:val="1"/>
                <w:color w:val="auto"/>
              </w:rPr>
            </w:pPr>
          </w:p>
        </w:tc>
      </w:tr>
      <w:tr>
        <w:trPr>
          <w:trHeight w:val="211"/>
        </w:trPr>
        <w:tc>
          <w:tcPr>
            <w:tcW w:w="1400" w:type="dxa"/>
            <w:vAlign w:val="bottom"/>
          </w:tcPr>
          <w:p>
            <w:pPr>
              <w:ind w:left="80"/>
              <w:spacing w:after="0"/>
              <w:rPr>
                <w:sz w:val="20"/>
                <w:szCs w:val="20"/>
                <w:color w:val="auto"/>
              </w:rPr>
            </w:pPr>
            <w:r>
              <w:rPr>
                <w:rFonts w:ascii="Arial" w:cs="Arial" w:eastAsia="Arial" w:hAnsi="Arial"/>
                <w:sz w:val="16"/>
                <w:szCs w:val="16"/>
                <w:color w:val="auto"/>
              </w:rPr>
              <w:t>Units</w:t>
            </w:r>
          </w:p>
        </w:tc>
        <w:tc>
          <w:tcPr>
            <w:tcW w:w="24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9280" w:type="dxa"/>
            <w:vAlign w:val="bottom"/>
            <w:vMerge w:val="restart"/>
          </w:tcPr>
          <w:p>
            <w:pPr>
              <w:ind w:left="40"/>
              <w:spacing w:after="0"/>
              <w:rPr>
                <w:sz w:val="20"/>
                <w:szCs w:val="20"/>
                <w:color w:val="auto"/>
              </w:rPr>
            </w:pPr>
            <w:r>
              <w:rPr>
                <w:rFonts w:ascii="Arial" w:cs="Arial" w:eastAsia="Arial" w:hAnsi="Arial"/>
                <w:sz w:val="16"/>
                <w:szCs w:val="16"/>
                <w:color w:val="auto"/>
              </w:rPr>
              <w:t>Vest in three equal annual installments over the first three anniversaries of the grant date</w:t>
            </w:r>
          </w:p>
        </w:tc>
        <w:tc>
          <w:tcPr>
            <w:tcW w:w="0" w:type="dxa"/>
            <w:vAlign w:val="bottom"/>
          </w:tcPr>
          <w:p>
            <w:pPr>
              <w:spacing w:after="0"/>
              <w:rPr>
                <w:sz w:val="1"/>
                <w:szCs w:val="1"/>
                <w:color w:val="auto"/>
              </w:rPr>
            </w:pPr>
          </w:p>
        </w:tc>
      </w:tr>
      <w:tr>
        <w:trPr>
          <w:trHeight w:val="120"/>
        </w:trPr>
        <w:tc>
          <w:tcPr>
            <w:tcW w:w="14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9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140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9280" w:type="dxa"/>
            <w:vAlign w:val="bottom"/>
          </w:tcPr>
          <w:p>
            <w:pPr>
              <w:ind w:left="40"/>
              <w:spacing w:after="0"/>
              <w:rPr>
                <w:sz w:val="20"/>
                <w:szCs w:val="20"/>
                <w:color w:val="auto"/>
              </w:rPr>
            </w:pPr>
            <w:r>
              <w:rPr>
                <w:rFonts w:ascii="Arial" w:cs="Arial" w:eastAsia="Arial" w:hAnsi="Arial"/>
                <w:sz w:val="16"/>
                <w:szCs w:val="16"/>
                <w:color w:val="auto"/>
              </w:rPr>
              <w:t>Provides appropriate retention to executives while continuing to align with shareholder interests through stock price performance</w:t>
            </w:r>
          </w:p>
        </w:tc>
        <w:tc>
          <w:tcPr>
            <w:tcW w:w="0" w:type="dxa"/>
            <w:vAlign w:val="bottom"/>
          </w:tcPr>
          <w:p>
            <w:pPr>
              <w:spacing w:after="0"/>
              <w:rPr>
                <w:sz w:val="1"/>
                <w:szCs w:val="1"/>
                <w:color w:val="auto"/>
              </w:rPr>
            </w:pPr>
          </w:p>
        </w:tc>
      </w:tr>
      <w:tr>
        <w:trPr>
          <w:trHeight w:val="97"/>
        </w:trPr>
        <w:tc>
          <w:tcPr>
            <w:tcW w:w="140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92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246380</wp:posOffset>
            </wp:positionV>
            <wp:extent cx="6964045" cy="39052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  26</w:t>
      </w:r>
    </w:p>
    <w:p>
      <w:pPr>
        <w:sectPr>
          <w:pgSz w:w="11900" w:h="16838" w:orient="portrait"/>
          <w:cols w:equalWidth="0" w:num="1">
            <w:col w:w="11080"/>
          </w:cols>
          <w:pgMar w:left="320" w:top="478" w:right="4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Executive Compensation Philosophy and Objectives</w:t>
      </w:r>
    </w:p>
    <w:p>
      <w:pPr>
        <w:spacing w:after="0" w:line="154" w:lineRule="exact"/>
        <w:rPr>
          <w:sz w:val="20"/>
          <w:szCs w:val="20"/>
          <w:color w:val="auto"/>
        </w:rPr>
      </w:pPr>
    </w:p>
    <w:p>
      <w:pPr>
        <w:ind w:left="160" w:right="320"/>
        <w:spacing w:after="0" w:line="279" w:lineRule="auto"/>
        <w:rPr>
          <w:sz w:val="20"/>
          <w:szCs w:val="20"/>
          <w:color w:val="auto"/>
        </w:rPr>
      </w:pPr>
      <w:r>
        <w:rPr>
          <w:rFonts w:ascii="Arial" w:cs="Arial" w:eastAsia="Arial" w:hAnsi="Arial"/>
          <w:sz w:val="16"/>
          <w:szCs w:val="16"/>
          <w:color w:val="auto"/>
        </w:rPr>
        <w:t>The Committee regularly reviews compensation practices to best align our compensation programs with shareholder interests, company strategy and best practices. The Committee’s fundamental objectives with our executive compensation program are to:</w:t>
      </w:r>
    </w:p>
    <w:p>
      <w:pPr>
        <w:spacing w:after="0" w:line="67" w:lineRule="exact"/>
        <w:rPr>
          <w:sz w:val="20"/>
          <w:szCs w:val="20"/>
          <w:color w:val="auto"/>
        </w:rPr>
      </w:pPr>
    </w:p>
    <w:p>
      <w:pPr>
        <w:ind w:left="380" w:right="100" w:hanging="213"/>
        <w:spacing w:after="0" w:line="279"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Attract, develop and retain talented executives who can contribute significantly to the achievement of the Company’s objectives and goals and deliver results in keeping with our mission to create joy and community through the magic of play.</w:t>
      </w:r>
    </w:p>
    <w:p>
      <w:pPr>
        <w:spacing w:after="0" w:line="67" w:lineRule="exact"/>
        <w:rPr>
          <w:rFonts w:ascii="Arial" w:cs="Arial" w:eastAsia="Arial" w:hAnsi="Arial"/>
          <w:sz w:val="16"/>
          <w:szCs w:val="16"/>
          <w:color w:val="auto"/>
        </w:rPr>
      </w:pPr>
    </w:p>
    <w:p>
      <w:pPr>
        <w:ind w:left="380" w:right="800" w:hanging="213"/>
        <w:spacing w:after="0" w:line="279"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Align the interests of the Company’s executives with the short, medium and long-term goals of the Company and its shareholders and other stakeholders.</w:t>
      </w:r>
    </w:p>
    <w:p>
      <w:pPr>
        <w:spacing w:after="0" w:line="67" w:lineRule="exact"/>
        <w:rPr>
          <w:rFonts w:ascii="Arial" w:cs="Arial" w:eastAsia="Arial" w:hAnsi="Arial"/>
          <w:sz w:val="16"/>
          <w:szCs w:val="16"/>
          <w:color w:val="auto"/>
        </w:rPr>
      </w:pPr>
    </w:p>
    <w:p>
      <w:pPr>
        <w:ind w:left="380" w:right="120" w:hanging="213"/>
        <w:spacing w:after="0" w:line="279"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Instill a pay-for-performance culture; a substantial portion of the compensation opportunity for the NEOs is composed of variable, performance-based compensation elements.</w:t>
      </w:r>
    </w:p>
    <w:p>
      <w:pPr>
        <w:spacing w:after="0" w:line="67" w:lineRule="exact"/>
        <w:rPr>
          <w:rFonts w:ascii="Arial" w:cs="Arial" w:eastAsia="Arial" w:hAnsi="Arial"/>
          <w:sz w:val="16"/>
          <w:szCs w:val="16"/>
          <w:color w:val="auto"/>
        </w:rPr>
      </w:pPr>
    </w:p>
    <w:p>
      <w:pPr>
        <w:ind w:left="380" w:hanging="213"/>
        <w:spacing w:after="0"/>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Reward superior performance by the Company, and its business units, as well as superior individual performance.</w:t>
      </w:r>
    </w:p>
    <w:p>
      <w:pPr>
        <w:spacing w:after="0" w:line="123" w:lineRule="exact"/>
        <w:rPr>
          <w:rFonts w:ascii="Arial" w:cs="Arial" w:eastAsia="Arial" w:hAnsi="Arial"/>
          <w:sz w:val="16"/>
          <w:szCs w:val="16"/>
          <w:color w:val="auto"/>
        </w:rPr>
      </w:pPr>
    </w:p>
    <w:p>
      <w:pPr>
        <w:ind w:left="380" w:right="400" w:hanging="213"/>
        <w:spacing w:after="0" w:line="279"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Accomplish these objectives effectively while managing the total cost of the Company’s executive compensation program, including by managing reasonable levels of dilution and annual share usage when granting equity-based compensation.</w:t>
      </w:r>
    </w:p>
    <w:p>
      <w:pPr>
        <w:spacing w:after="0" w:line="94"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The Committee believes it is critical to have a robust succession planning and management development process and seasoned talent ready to deploy into key executive positions, and our compensation programs are designed to support these objectives. Our general management training program, a development opportunity provided to key leaders in the organization, is a new key tool we are using to ready the next leaders in the organization. Through this program, we train and develop senior leaders in business and finance areas critical to the Company.</w:t>
      </w:r>
    </w:p>
    <w:p>
      <w:pPr>
        <w:spacing w:after="0" w:line="111" w:lineRule="exact"/>
        <w:rPr>
          <w:sz w:val="20"/>
          <w:szCs w:val="20"/>
          <w:color w:val="auto"/>
        </w:rPr>
      </w:pPr>
    </w:p>
    <w:p>
      <w:pPr>
        <w:ind w:left="160" w:right="360"/>
        <w:spacing w:after="0" w:line="279" w:lineRule="auto"/>
        <w:rPr>
          <w:sz w:val="20"/>
          <w:szCs w:val="20"/>
          <w:color w:val="auto"/>
        </w:rPr>
      </w:pPr>
      <w:r>
        <w:rPr>
          <w:rFonts w:ascii="Arial" w:cs="Arial" w:eastAsia="Arial" w:hAnsi="Arial"/>
          <w:sz w:val="16"/>
          <w:szCs w:val="16"/>
          <w:color w:val="auto"/>
        </w:rPr>
        <w:t>The Committee structures the Company’s compensation program in a way it believes appropriately aligns pay with performance without encouraging excessive risk taking or other behavior on the part of executive officers that is not in the Company’s best interests.</w:t>
      </w:r>
    </w:p>
    <w:p>
      <w:pPr>
        <w:spacing w:after="0" w:line="80" w:lineRule="exact"/>
        <w:rPr>
          <w:sz w:val="20"/>
          <w:szCs w:val="20"/>
          <w:color w:val="auto"/>
        </w:rPr>
      </w:pPr>
    </w:p>
    <w:p>
      <w:pPr>
        <w:jc w:val="both"/>
        <w:ind w:left="160" w:right="20"/>
        <w:spacing w:after="0" w:line="262" w:lineRule="auto"/>
        <w:rPr>
          <w:sz w:val="20"/>
          <w:szCs w:val="20"/>
          <w:color w:val="auto"/>
        </w:rPr>
      </w:pPr>
      <w:r>
        <w:rPr>
          <w:rFonts w:ascii="Arial" w:cs="Arial" w:eastAsia="Arial" w:hAnsi="Arial"/>
          <w:sz w:val="16"/>
          <w:szCs w:val="16"/>
          <w:color w:val="auto"/>
        </w:rPr>
        <w:t>Our goal is to position total target direct compensation for our NEOs within a market competitive range that reflects the individual’s performance, criticality to the business, experience and future potential. For more information on the peer group used to benchmark our NEO’s compensation, please see below under the heading “Compensation Process — Peer Group and Benchmarking.”</w:t>
      </w:r>
    </w:p>
    <w:p>
      <w:pPr>
        <w:spacing w:after="0" w:line="106"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All equity and non-equity incentive plan compensation is subject to the Board-approved Clawback Policy. The policy provides that if an accounting restatement is required due to the Company’s material non-compliance with any accounting requirements, then the Company will recover from all of the Company’s executive officers, regardless of whether they were at fault or not in the circumstances leading to the restatement, any excess in the incentive compensation they earned over the prior three years over what they would have earned if there had not been a material non-compliance in the financial statements. Additionally, in the event the officer’s misconduct, violation of Company policy or fraud contributed to the need for a restatement, then the Company will use reasonable efforts to recover up to 100% of the affected incentive compensation. See “Corporate Governance -Clawback Policy” above for more information.</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Strong 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157480</wp:posOffset>
            </wp:positionV>
            <wp:extent cx="5163185" cy="203835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5163185" cy="203835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2442210</wp:posOffset>
            </wp:positionV>
            <wp:extent cx="6964045" cy="39052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  27</w:t>
      </w:r>
    </w:p>
    <w:p>
      <w:pPr>
        <w:sectPr>
          <w:pgSz w:w="11900" w:h="16838" w:orient="portrait"/>
          <w:cols w:equalWidth="0" w:num="1">
            <w:col w:w="11060"/>
          </w:cols>
          <w:pgMar w:left="320" w:top="478"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Compensation Process</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Hasbro’s executive compensation program is structured with input, analysis, review and/or oversight from various sources, including:</w:t>
      </w:r>
    </w:p>
    <w:p>
      <w:pPr>
        <w:spacing w:after="0" w:line="124" w:lineRule="exact"/>
        <w:rPr>
          <w:sz w:val="20"/>
          <w:szCs w:val="20"/>
          <w:color w:val="auto"/>
        </w:rPr>
      </w:pPr>
    </w:p>
    <w:p>
      <w:pPr>
        <w:ind w:left="380" w:hanging="213"/>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Compensation and Talent Committee (the “Committee”);</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full Board;</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Committee’s independent compensation consultant, Meridian Compensation Partners LLC (“Meridian”);</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Company’s Chief Executive Officer;</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Company’s Executive Vice President and Chief People Officer; and</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Market studies and other comparative compensation information.</w:t>
      </w:r>
    </w:p>
    <w:p>
      <w:pPr>
        <w:spacing w:after="0" w:line="110" w:lineRule="exact"/>
        <w:rPr>
          <w:sz w:val="20"/>
          <w:szCs w:val="20"/>
          <w:color w:val="auto"/>
        </w:rPr>
      </w:pPr>
    </w:p>
    <w:p>
      <w:pPr>
        <w:jc w:val="both"/>
        <w:ind w:left="160" w:right="140"/>
        <w:spacing w:after="0" w:line="262" w:lineRule="auto"/>
        <w:rPr>
          <w:sz w:val="20"/>
          <w:szCs w:val="20"/>
          <w:color w:val="auto"/>
        </w:rPr>
      </w:pPr>
      <w:r>
        <w:rPr>
          <w:rFonts w:ascii="Arial" w:cs="Arial" w:eastAsia="Arial" w:hAnsi="Arial"/>
          <w:sz w:val="16"/>
          <w:szCs w:val="16"/>
          <w:color w:val="auto"/>
        </w:rPr>
        <w:t>All final decisions regarding the performance compensation and retention programs for the Company’s executive officers, including the NEOs, are made by the Committee. The performance and total compensation for the Company’s Chief Executive Officer is also reviewed and approved by the full Board, without the Chief Executive Officer being present.</w:t>
      </w:r>
    </w:p>
    <w:p>
      <w:pPr>
        <w:spacing w:after="0" w:line="93"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In structuring the various compensation elements, the Company and Committee review each element on both an individual basis and in totality as part of overall total compensation. This process includes reviewing tally sheets for each of the executive officers that set forth total target direct compensation, and within that total summarize the target level for each element and the portion of total target direct compensation comprised of the various compensation elements.</w:t>
      </w:r>
    </w:p>
    <w:p>
      <w:pPr>
        <w:spacing w:after="0" w:line="111" w:lineRule="exact"/>
        <w:rPr>
          <w:sz w:val="20"/>
          <w:szCs w:val="20"/>
          <w:color w:val="auto"/>
        </w:rPr>
      </w:pPr>
    </w:p>
    <w:p>
      <w:pPr>
        <w:ind w:left="160" w:right="400"/>
        <w:spacing w:after="0" w:line="256" w:lineRule="auto"/>
        <w:rPr>
          <w:sz w:val="20"/>
          <w:szCs w:val="20"/>
          <w:color w:val="auto"/>
        </w:rPr>
      </w:pPr>
      <w:r>
        <w:rPr>
          <w:rFonts w:ascii="Arial" w:cs="Arial" w:eastAsia="Arial" w:hAnsi="Arial"/>
          <w:sz w:val="16"/>
          <w:szCs w:val="16"/>
          <w:color w:val="auto"/>
        </w:rPr>
        <w:t>For NEOs other than the CEO, the CEO makes recommendations to the Committee for each executive’s overall compensation. The Committee then discusses these recommendations with the CEO, both with and without the presence of the Company’s Executive Vice President and Chief People Officer. The Committee further reviews and discusses all recommendations in executive session and, as part of these discussions, the Committee discusses the recommendations with representatives from Meridian.</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Peer Group and Benchmarking</w:t>
      </w:r>
    </w:p>
    <w:p>
      <w:pPr>
        <w:spacing w:after="0" w:line="100"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auto"/>
        </w:rPr>
        <w:t>In designing the fiscal 2025 executive compensation program, the Committee reviewed certain market data as a market check for each of the NEO’s, including: (i) base salary; (ii) total target cash compensation (comprised of base salary and target short-term incentive award); and (iii) total target direct compensation (comprised of base salary, target short-term incentive award and target long-term incentive award). This market information is one element reviewed by the Committee in setting compensation targets.</w:t>
      </w:r>
    </w:p>
    <w:p>
      <w:pPr>
        <w:spacing w:after="0" w:line="111"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color w:val="auto"/>
        </w:rPr>
        <w:t>As the Company has developed into a leading game, intellectual property and toy company, the companies with which Hasbro competes for executive talent is diverse and intense. Further, the skills and expertise required of Hasbro’s executives is complex given the diversity of our business and this continues to evolve with our refreshed Playing to Win strategy. More specifically, the Company competes with a broad range of companies that focus on digital gaming, licensing intellectual property brands, consumer products and entertainment, in the hiring and retention of executives.</w:t>
      </w:r>
    </w:p>
    <w:p>
      <w:pPr>
        <w:spacing w:after="0" w:line="98"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color w:val="auto"/>
        </w:rPr>
        <w:t>The Committee, with the assistance of its independent compensation consultant, annually reviews the compensation peer group. Our peer group for 2025 included the following companies:</w:t>
      </w:r>
    </w:p>
    <w:p>
      <w:pPr>
        <w:spacing w:after="0" w:line="294"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3120" w:type="dxa"/>
            <w:vAlign w:val="bottom"/>
          </w:tcPr>
          <w:p>
            <w:pPr>
              <w:ind w:left="80"/>
              <w:spacing w:after="0"/>
              <w:rPr>
                <w:sz w:val="20"/>
                <w:szCs w:val="20"/>
                <w:color w:val="auto"/>
              </w:rPr>
            </w:pPr>
            <w:r>
              <w:rPr>
                <w:rFonts w:ascii="Arial" w:cs="Arial" w:eastAsia="Arial" w:hAnsi="Arial"/>
                <w:sz w:val="16"/>
                <w:szCs w:val="16"/>
                <w:color w:val="auto"/>
              </w:rPr>
              <w:t>Crocs, Inc.</w:t>
            </w:r>
          </w:p>
        </w:tc>
        <w:tc>
          <w:tcPr>
            <w:tcW w:w="3880" w:type="dxa"/>
            <w:vAlign w:val="bottom"/>
          </w:tcPr>
          <w:p>
            <w:pPr>
              <w:ind w:left="840"/>
              <w:spacing w:after="0"/>
              <w:rPr>
                <w:sz w:val="20"/>
                <w:szCs w:val="20"/>
                <w:color w:val="auto"/>
              </w:rPr>
            </w:pPr>
            <w:r>
              <w:rPr>
                <w:rFonts w:ascii="Arial" w:cs="Arial" w:eastAsia="Arial" w:hAnsi="Arial"/>
                <w:sz w:val="16"/>
                <w:szCs w:val="16"/>
                <w:color w:val="auto"/>
              </w:rPr>
              <w:t>Mattel, Inc.</w:t>
            </w:r>
          </w:p>
        </w:tc>
        <w:tc>
          <w:tcPr>
            <w:tcW w:w="3920" w:type="dxa"/>
            <w:vAlign w:val="bottom"/>
          </w:tcPr>
          <w:p>
            <w:pPr>
              <w:ind w:left="560"/>
              <w:spacing w:after="0"/>
              <w:rPr>
                <w:sz w:val="20"/>
                <w:szCs w:val="20"/>
                <w:color w:val="auto"/>
              </w:rPr>
            </w:pPr>
            <w:r>
              <w:rPr>
                <w:rFonts w:ascii="Arial" w:cs="Arial" w:eastAsia="Arial" w:hAnsi="Arial"/>
                <w:sz w:val="16"/>
                <w:szCs w:val="16"/>
                <w:color w:val="auto"/>
              </w:rPr>
              <w:t>The Hershey Company</w:t>
            </w:r>
          </w:p>
        </w:tc>
      </w:tr>
      <w:tr>
        <w:trPr>
          <w:trHeight w:val="97"/>
        </w:trPr>
        <w:tc>
          <w:tcPr>
            <w:tcW w:w="3120" w:type="dxa"/>
            <w:vAlign w:val="bottom"/>
            <w:tcBorders>
              <w:bottom w:val="single" w:sz="8" w:color="009BDE"/>
            </w:tcBorders>
          </w:tcPr>
          <w:p>
            <w:pPr>
              <w:spacing w:after="0"/>
              <w:rPr>
                <w:sz w:val="8"/>
                <w:szCs w:val="8"/>
                <w:color w:val="auto"/>
              </w:rPr>
            </w:pPr>
          </w:p>
        </w:tc>
        <w:tc>
          <w:tcPr>
            <w:tcW w:w="3880" w:type="dxa"/>
            <w:vAlign w:val="bottom"/>
            <w:tcBorders>
              <w:bottom w:val="single" w:sz="8" w:color="009BDE"/>
            </w:tcBorders>
          </w:tcPr>
          <w:p>
            <w:pPr>
              <w:spacing w:after="0"/>
              <w:rPr>
                <w:sz w:val="8"/>
                <w:szCs w:val="8"/>
                <w:color w:val="auto"/>
              </w:rPr>
            </w:pPr>
          </w:p>
        </w:tc>
        <w:tc>
          <w:tcPr>
            <w:tcW w:w="3920" w:type="dxa"/>
            <w:vAlign w:val="bottom"/>
            <w:tcBorders>
              <w:bottom w:val="single" w:sz="8" w:color="009BDE"/>
            </w:tcBorders>
          </w:tcPr>
          <w:p>
            <w:pPr>
              <w:spacing w:after="0"/>
              <w:rPr>
                <w:sz w:val="8"/>
                <w:szCs w:val="8"/>
                <w:color w:val="auto"/>
              </w:rPr>
            </w:pPr>
          </w:p>
        </w:tc>
      </w:tr>
      <w:tr>
        <w:trPr>
          <w:trHeight w:val="284"/>
        </w:trPr>
        <w:tc>
          <w:tcPr>
            <w:tcW w:w="3120" w:type="dxa"/>
            <w:vAlign w:val="bottom"/>
          </w:tcPr>
          <w:p>
            <w:pPr>
              <w:ind w:left="80"/>
              <w:spacing w:after="0"/>
              <w:rPr>
                <w:sz w:val="20"/>
                <w:szCs w:val="20"/>
                <w:color w:val="auto"/>
              </w:rPr>
            </w:pPr>
            <w:r>
              <w:rPr>
                <w:rFonts w:ascii="Arial" w:cs="Arial" w:eastAsia="Arial" w:hAnsi="Arial"/>
                <w:sz w:val="16"/>
                <w:szCs w:val="16"/>
                <w:color w:val="auto"/>
              </w:rPr>
              <w:t>Electronic Arts, Inc.</w:t>
            </w:r>
          </w:p>
        </w:tc>
        <w:tc>
          <w:tcPr>
            <w:tcW w:w="3880" w:type="dxa"/>
            <w:vAlign w:val="bottom"/>
          </w:tcPr>
          <w:p>
            <w:pPr>
              <w:ind w:left="840"/>
              <w:spacing w:after="0"/>
              <w:rPr>
                <w:sz w:val="20"/>
                <w:szCs w:val="20"/>
                <w:color w:val="auto"/>
              </w:rPr>
            </w:pPr>
            <w:r>
              <w:rPr>
                <w:rFonts w:ascii="Arial" w:cs="Arial" w:eastAsia="Arial" w:hAnsi="Arial"/>
                <w:sz w:val="16"/>
                <w:szCs w:val="16"/>
                <w:color w:val="auto"/>
              </w:rPr>
              <w:t>Roblox Corp.</w:t>
            </w:r>
          </w:p>
        </w:tc>
        <w:tc>
          <w:tcPr>
            <w:tcW w:w="3920" w:type="dxa"/>
            <w:vAlign w:val="bottom"/>
          </w:tcPr>
          <w:p>
            <w:pPr>
              <w:ind w:left="560"/>
              <w:spacing w:after="0"/>
              <w:rPr>
                <w:sz w:val="20"/>
                <w:szCs w:val="20"/>
                <w:color w:val="auto"/>
              </w:rPr>
            </w:pPr>
            <w:r>
              <w:rPr>
                <w:rFonts w:ascii="Arial" w:cs="Arial" w:eastAsia="Arial" w:hAnsi="Arial"/>
                <w:sz w:val="16"/>
                <w:szCs w:val="16"/>
                <w:color w:val="auto"/>
              </w:rPr>
              <w:t>The J.M. Smucker Company</w:t>
            </w:r>
          </w:p>
        </w:tc>
      </w:tr>
      <w:tr>
        <w:trPr>
          <w:trHeight w:val="97"/>
        </w:trPr>
        <w:tc>
          <w:tcPr>
            <w:tcW w:w="3120" w:type="dxa"/>
            <w:vAlign w:val="bottom"/>
            <w:tcBorders>
              <w:bottom w:val="single" w:sz="8" w:color="009BDE"/>
            </w:tcBorders>
          </w:tcPr>
          <w:p>
            <w:pPr>
              <w:spacing w:after="0"/>
              <w:rPr>
                <w:sz w:val="8"/>
                <w:szCs w:val="8"/>
                <w:color w:val="auto"/>
              </w:rPr>
            </w:pPr>
          </w:p>
        </w:tc>
        <w:tc>
          <w:tcPr>
            <w:tcW w:w="3880" w:type="dxa"/>
            <w:vAlign w:val="bottom"/>
            <w:tcBorders>
              <w:bottom w:val="single" w:sz="8" w:color="009BDE"/>
            </w:tcBorders>
          </w:tcPr>
          <w:p>
            <w:pPr>
              <w:spacing w:after="0"/>
              <w:rPr>
                <w:sz w:val="8"/>
                <w:szCs w:val="8"/>
                <w:color w:val="auto"/>
              </w:rPr>
            </w:pPr>
          </w:p>
        </w:tc>
        <w:tc>
          <w:tcPr>
            <w:tcW w:w="3920" w:type="dxa"/>
            <w:vAlign w:val="bottom"/>
            <w:tcBorders>
              <w:bottom w:val="single" w:sz="8" w:color="009BDE"/>
            </w:tcBorders>
          </w:tcPr>
          <w:p>
            <w:pPr>
              <w:spacing w:after="0"/>
              <w:rPr>
                <w:sz w:val="8"/>
                <w:szCs w:val="8"/>
                <w:color w:val="auto"/>
              </w:rPr>
            </w:pPr>
          </w:p>
        </w:tc>
      </w:tr>
      <w:tr>
        <w:trPr>
          <w:trHeight w:val="284"/>
        </w:trPr>
        <w:tc>
          <w:tcPr>
            <w:tcW w:w="3120" w:type="dxa"/>
            <w:vAlign w:val="bottom"/>
          </w:tcPr>
          <w:p>
            <w:pPr>
              <w:ind w:left="80"/>
              <w:spacing w:after="0"/>
              <w:rPr>
                <w:sz w:val="20"/>
                <w:szCs w:val="20"/>
                <w:color w:val="auto"/>
              </w:rPr>
            </w:pPr>
            <w:r>
              <w:rPr>
                <w:rFonts w:ascii="Arial" w:cs="Arial" w:eastAsia="Arial" w:hAnsi="Arial"/>
                <w:sz w:val="16"/>
                <w:szCs w:val="16"/>
                <w:color w:val="auto"/>
              </w:rPr>
              <w:t>iHeartMedia, Inc.</w:t>
            </w:r>
          </w:p>
        </w:tc>
        <w:tc>
          <w:tcPr>
            <w:tcW w:w="3880" w:type="dxa"/>
            <w:vAlign w:val="bottom"/>
          </w:tcPr>
          <w:p>
            <w:pPr>
              <w:ind w:left="840"/>
              <w:spacing w:after="0"/>
              <w:rPr>
                <w:sz w:val="20"/>
                <w:szCs w:val="20"/>
                <w:color w:val="auto"/>
              </w:rPr>
            </w:pPr>
            <w:r>
              <w:rPr>
                <w:rFonts w:ascii="Arial" w:cs="Arial" w:eastAsia="Arial" w:hAnsi="Arial"/>
                <w:sz w:val="16"/>
                <w:szCs w:val="16"/>
                <w:color w:val="auto"/>
              </w:rPr>
              <w:t>Spin Master Corp.</w:t>
            </w:r>
          </w:p>
        </w:tc>
        <w:tc>
          <w:tcPr>
            <w:tcW w:w="3920" w:type="dxa"/>
            <w:vAlign w:val="bottom"/>
          </w:tcPr>
          <w:p>
            <w:pPr>
              <w:ind w:left="560"/>
              <w:spacing w:after="0"/>
              <w:rPr>
                <w:sz w:val="20"/>
                <w:szCs w:val="20"/>
                <w:color w:val="auto"/>
              </w:rPr>
            </w:pPr>
            <w:r>
              <w:rPr>
                <w:rFonts w:ascii="Arial" w:cs="Arial" w:eastAsia="Arial" w:hAnsi="Arial"/>
                <w:sz w:val="16"/>
                <w:szCs w:val="16"/>
                <w:color w:val="auto"/>
              </w:rPr>
              <w:t>Topgolf Callaway Brands Corp.</w:t>
            </w:r>
          </w:p>
        </w:tc>
      </w:tr>
      <w:tr>
        <w:trPr>
          <w:trHeight w:val="97"/>
        </w:trPr>
        <w:tc>
          <w:tcPr>
            <w:tcW w:w="3120" w:type="dxa"/>
            <w:vAlign w:val="bottom"/>
            <w:tcBorders>
              <w:bottom w:val="single" w:sz="8" w:color="009BDE"/>
            </w:tcBorders>
          </w:tcPr>
          <w:p>
            <w:pPr>
              <w:spacing w:after="0"/>
              <w:rPr>
                <w:sz w:val="8"/>
                <w:szCs w:val="8"/>
                <w:color w:val="auto"/>
              </w:rPr>
            </w:pPr>
          </w:p>
        </w:tc>
        <w:tc>
          <w:tcPr>
            <w:tcW w:w="3880" w:type="dxa"/>
            <w:vAlign w:val="bottom"/>
            <w:tcBorders>
              <w:bottom w:val="single" w:sz="8" w:color="009BDE"/>
            </w:tcBorders>
          </w:tcPr>
          <w:p>
            <w:pPr>
              <w:spacing w:after="0"/>
              <w:rPr>
                <w:sz w:val="8"/>
                <w:szCs w:val="8"/>
                <w:color w:val="auto"/>
              </w:rPr>
            </w:pPr>
          </w:p>
        </w:tc>
        <w:tc>
          <w:tcPr>
            <w:tcW w:w="3920" w:type="dxa"/>
            <w:vAlign w:val="bottom"/>
            <w:tcBorders>
              <w:bottom w:val="single" w:sz="8" w:color="009BDE"/>
            </w:tcBorders>
          </w:tcPr>
          <w:p>
            <w:pPr>
              <w:spacing w:after="0"/>
              <w:rPr>
                <w:sz w:val="8"/>
                <w:szCs w:val="8"/>
                <w:color w:val="auto"/>
              </w:rPr>
            </w:pPr>
          </w:p>
        </w:tc>
      </w:tr>
      <w:tr>
        <w:trPr>
          <w:trHeight w:val="284"/>
        </w:trPr>
        <w:tc>
          <w:tcPr>
            <w:tcW w:w="3120" w:type="dxa"/>
            <w:vAlign w:val="bottom"/>
          </w:tcPr>
          <w:p>
            <w:pPr>
              <w:ind w:left="80"/>
              <w:spacing w:after="0"/>
              <w:rPr>
                <w:sz w:val="20"/>
                <w:szCs w:val="20"/>
                <w:color w:val="auto"/>
              </w:rPr>
            </w:pPr>
            <w:r>
              <w:rPr>
                <w:rFonts w:ascii="Arial" w:cs="Arial" w:eastAsia="Arial" w:hAnsi="Arial"/>
                <w:sz w:val="16"/>
                <w:szCs w:val="16"/>
                <w:color w:val="auto"/>
              </w:rPr>
              <w:t>Live Nation Entertainment, Inc.</w:t>
            </w:r>
          </w:p>
        </w:tc>
        <w:tc>
          <w:tcPr>
            <w:tcW w:w="3880" w:type="dxa"/>
            <w:vAlign w:val="bottom"/>
          </w:tcPr>
          <w:p>
            <w:pPr>
              <w:ind w:left="840"/>
              <w:spacing w:after="0"/>
              <w:rPr>
                <w:sz w:val="20"/>
                <w:szCs w:val="20"/>
                <w:color w:val="auto"/>
              </w:rPr>
            </w:pPr>
            <w:r>
              <w:rPr>
                <w:rFonts w:ascii="Arial" w:cs="Arial" w:eastAsia="Arial" w:hAnsi="Arial"/>
                <w:sz w:val="16"/>
                <w:szCs w:val="16"/>
                <w:color w:val="auto"/>
              </w:rPr>
              <w:t>Take-Two Interactive Software, Inc.</w:t>
            </w:r>
          </w:p>
        </w:tc>
        <w:tc>
          <w:tcPr>
            <w:tcW w:w="3920" w:type="dxa"/>
            <w:vAlign w:val="bottom"/>
          </w:tcPr>
          <w:p>
            <w:pPr>
              <w:ind w:left="560"/>
              <w:spacing w:after="0"/>
              <w:rPr>
                <w:sz w:val="20"/>
                <w:szCs w:val="20"/>
                <w:color w:val="auto"/>
              </w:rPr>
            </w:pPr>
            <w:r>
              <w:rPr>
                <w:rFonts w:ascii="Arial" w:cs="Arial" w:eastAsia="Arial" w:hAnsi="Arial"/>
                <w:sz w:val="16"/>
                <w:szCs w:val="16"/>
                <w:color w:val="auto"/>
              </w:rPr>
              <w:t>Under Armour, Inc.</w:t>
            </w:r>
          </w:p>
        </w:tc>
      </w:tr>
      <w:tr>
        <w:trPr>
          <w:trHeight w:val="97"/>
        </w:trPr>
        <w:tc>
          <w:tcPr>
            <w:tcW w:w="3120" w:type="dxa"/>
            <w:vAlign w:val="bottom"/>
            <w:tcBorders>
              <w:bottom w:val="single" w:sz="8" w:color="009BDE"/>
            </w:tcBorders>
          </w:tcPr>
          <w:p>
            <w:pPr>
              <w:spacing w:after="0"/>
              <w:rPr>
                <w:sz w:val="8"/>
                <w:szCs w:val="8"/>
                <w:color w:val="auto"/>
              </w:rPr>
            </w:pPr>
          </w:p>
        </w:tc>
        <w:tc>
          <w:tcPr>
            <w:tcW w:w="3880" w:type="dxa"/>
            <w:vAlign w:val="bottom"/>
            <w:tcBorders>
              <w:bottom w:val="single" w:sz="8" w:color="009BDE"/>
            </w:tcBorders>
          </w:tcPr>
          <w:p>
            <w:pPr>
              <w:spacing w:after="0"/>
              <w:rPr>
                <w:sz w:val="8"/>
                <w:szCs w:val="8"/>
                <w:color w:val="auto"/>
              </w:rPr>
            </w:pPr>
          </w:p>
        </w:tc>
        <w:tc>
          <w:tcPr>
            <w:tcW w:w="3920" w:type="dxa"/>
            <w:vAlign w:val="bottom"/>
            <w:tcBorders>
              <w:bottom w:val="single" w:sz="8" w:color="009BDE"/>
            </w:tcBorders>
          </w:tcPr>
          <w:p>
            <w:pPr>
              <w:spacing w:after="0"/>
              <w:rPr>
                <w:sz w:val="8"/>
                <w:szCs w:val="8"/>
                <w:color w:val="auto"/>
              </w:rPr>
            </w:pPr>
          </w:p>
        </w:tc>
      </w:tr>
      <w:tr>
        <w:trPr>
          <w:trHeight w:val="802"/>
        </w:trPr>
        <w:tc>
          <w:tcPr>
            <w:tcW w:w="3120" w:type="dxa"/>
            <w:vAlign w:val="bottom"/>
          </w:tcPr>
          <w:p>
            <w:pPr>
              <w:ind w:left="60"/>
              <w:spacing w:after="0"/>
              <w:rPr>
                <w:sz w:val="20"/>
                <w:szCs w:val="20"/>
                <w:color w:val="auto"/>
              </w:rPr>
            </w:pPr>
            <w:r>
              <w:rPr>
                <w:rFonts w:ascii="Arial" w:cs="Arial" w:eastAsia="Arial" w:hAnsi="Arial"/>
                <w:sz w:val="16"/>
                <w:szCs w:val="16"/>
                <w:b w:val="1"/>
                <w:bCs w:val="1"/>
                <w:color w:val="FCFCFC"/>
              </w:rPr>
              <w:t>    28</w:t>
            </w:r>
          </w:p>
        </w:tc>
        <w:tc>
          <w:tcPr>
            <w:tcW w:w="3880" w:type="dxa"/>
            <w:vAlign w:val="bottom"/>
          </w:tcPr>
          <w:p>
            <w:pPr>
              <w:spacing w:after="0"/>
              <w:rPr>
                <w:sz w:val="24"/>
                <w:szCs w:val="24"/>
                <w:color w:val="auto"/>
              </w:rPr>
            </w:pPr>
          </w:p>
        </w:tc>
        <w:tc>
          <w:tcPr>
            <w:tcW w:w="3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-266700</wp:posOffset>
            </wp:positionV>
            <wp:extent cx="6964045" cy="39052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For determining the 2026 peer group, the Committee, with assistance from its independent compensation consultant, reviewed the compensation peer group and determined that it would be appropriate to remove The J.M. Smucker Company and The Hershey Company and to focus on companies in industries that more closely align to Hasbro or companies that we more closely compete with for talent. Additionally, the Committee reviewed the revenue and market capitalization of each company in the peer group to ensure that such company was an appropriate comparator and also reviewed a supplemental source of data for 2026 consisting of S&amp;P 500 companies across general industries that have a revenue size within 0.8x to 1.2x of Hasbro. Based on this analysis, the 2026 compensation peer group is shown below, which other than the removal of The J.M. Smucker Company and The Hershey Company, is the same as 2025.</w:t>
      </w:r>
    </w:p>
    <w:p>
      <w:pPr>
        <w:spacing w:after="0" w:line="317"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3120" w:type="dxa"/>
            <w:vAlign w:val="bottom"/>
          </w:tcPr>
          <w:p>
            <w:pPr>
              <w:ind w:left="80"/>
              <w:spacing w:after="0"/>
              <w:rPr>
                <w:sz w:val="20"/>
                <w:szCs w:val="20"/>
                <w:color w:val="auto"/>
              </w:rPr>
            </w:pPr>
            <w:r>
              <w:rPr>
                <w:rFonts w:ascii="Arial" w:cs="Arial" w:eastAsia="Arial" w:hAnsi="Arial"/>
                <w:sz w:val="16"/>
                <w:szCs w:val="16"/>
                <w:color w:val="auto"/>
              </w:rPr>
              <w:t>Crocs, Inc.</w:t>
            </w:r>
          </w:p>
        </w:tc>
        <w:tc>
          <w:tcPr>
            <w:tcW w:w="3880" w:type="dxa"/>
            <w:vAlign w:val="bottom"/>
          </w:tcPr>
          <w:p>
            <w:pPr>
              <w:ind w:left="840"/>
              <w:spacing w:after="0"/>
              <w:rPr>
                <w:sz w:val="20"/>
                <w:szCs w:val="20"/>
                <w:color w:val="auto"/>
              </w:rPr>
            </w:pPr>
            <w:r>
              <w:rPr>
                <w:rFonts w:ascii="Arial" w:cs="Arial" w:eastAsia="Arial" w:hAnsi="Arial"/>
                <w:sz w:val="16"/>
                <w:szCs w:val="16"/>
                <w:color w:val="auto"/>
              </w:rPr>
              <w:t>Mattel, Inc.</w:t>
            </w:r>
          </w:p>
        </w:tc>
        <w:tc>
          <w:tcPr>
            <w:tcW w:w="3920" w:type="dxa"/>
            <w:vAlign w:val="bottom"/>
          </w:tcPr>
          <w:p>
            <w:pPr>
              <w:ind w:left="560"/>
              <w:spacing w:after="0"/>
              <w:rPr>
                <w:sz w:val="20"/>
                <w:szCs w:val="20"/>
                <w:color w:val="auto"/>
              </w:rPr>
            </w:pPr>
            <w:r>
              <w:rPr>
                <w:rFonts w:ascii="Arial" w:cs="Arial" w:eastAsia="Arial" w:hAnsi="Arial"/>
                <w:sz w:val="16"/>
                <w:szCs w:val="16"/>
                <w:color w:val="auto"/>
              </w:rPr>
              <w:t>Topgolf Callaway Brands Corp.</w:t>
            </w:r>
          </w:p>
        </w:tc>
      </w:tr>
      <w:tr>
        <w:trPr>
          <w:trHeight w:val="97"/>
        </w:trPr>
        <w:tc>
          <w:tcPr>
            <w:tcW w:w="3120" w:type="dxa"/>
            <w:vAlign w:val="bottom"/>
            <w:tcBorders>
              <w:bottom w:val="single" w:sz="8" w:color="009BDE"/>
            </w:tcBorders>
          </w:tcPr>
          <w:p>
            <w:pPr>
              <w:spacing w:after="0"/>
              <w:rPr>
                <w:sz w:val="8"/>
                <w:szCs w:val="8"/>
                <w:color w:val="auto"/>
              </w:rPr>
            </w:pPr>
          </w:p>
        </w:tc>
        <w:tc>
          <w:tcPr>
            <w:tcW w:w="3880" w:type="dxa"/>
            <w:vAlign w:val="bottom"/>
            <w:tcBorders>
              <w:bottom w:val="single" w:sz="8" w:color="009BDE"/>
            </w:tcBorders>
          </w:tcPr>
          <w:p>
            <w:pPr>
              <w:spacing w:after="0"/>
              <w:rPr>
                <w:sz w:val="8"/>
                <w:szCs w:val="8"/>
                <w:color w:val="auto"/>
              </w:rPr>
            </w:pPr>
          </w:p>
        </w:tc>
        <w:tc>
          <w:tcPr>
            <w:tcW w:w="3920" w:type="dxa"/>
            <w:vAlign w:val="bottom"/>
            <w:tcBorders>
              <w:bottom w:val="single" w:sz="8" w:color="009BDE"/>
            </w:tcBorders>
          </w:tcPr>
          <w:p>
            <w:pPr>
              <w:spacing w:after="0"/>
              <w:rPr>
                <w:sz w:val="8"/>
                <w:szCs w:val="8"/>
                <w:color w:val="auto"/>
              </w:rPr>
            </w:pPr>
          </w:p>
        </w:tc>
      </w:tr>
      <w:tr>
        <w:trPr>
          <w:trHeight w:val="284"/>
        </w:trPr>
        <w:tc>
          <w:tcPr>
            <w:tcW w:w="3120" w:type="dxa"/>
            <w:vAlign w:val="bottom"/>
          </w:tcPr>
          <w:p>
            <w:pPr>
              <w:ind w:left="80"/>
              <w:spacing w:after="0"/>
              <w:rPr>
                <w:sz w:val="20"/>
                <w:szCs w:val="20"/>
                <w:color w:val="auto"/>
              </w:rPr>
            </w:pPr>
            <w:r>
              <w:rPr>
                <w:rFonts w:ascii="Arial" w:cs="Arial" w:eastAsia="Arial" w:hAnsi="Arial"/>
                <w:sz w:val="16"/>
                <w:szCs w:val="16"/>
                <w:color w:val="auto"/>
              </w:rPr>
              <w:t>Electronic Arts, Inc.</w:t>
            </w:r>
          </w:p>
        </w:tc>
        <w:tc>
          <w:tcPr>
            <w:tcW w:w="3880" w:type="dxa"/>
            <w:vAlign w:val="bottom"/>
          </w:tcPr>
          <w:p>
            <w:pPr>
              <w:ind w:left="840"/>
              <w:spacing w:after="0"/>
              <w:rPr>
                <w:sz w:val="20"/>
                <w:szCs w:val="20"/>
                <w:color w:val="auto"/>
              </w:rPr>
            </w:pPr>
            <w:r>
              <w:rPr>
                <w:rFonts w:ascii="Arial" w:cs="Arial" w:eastAsia="Arial" w:hAnsi="Arial"/>
                <w:sz w:val="16"/>
                <w:szCs w:val="16"/>
                <w:color w:val="auto"/>
              </w:rPr>
              <w:t>Roblox Corp.</w:t>
            </w:r>
          </w:p>
        </w:tc>
        <w:tc>
          <w:tcPr>
            <w:tcW w:w="3920" w:type="dxa"/>
            <w:vAlign w:val="bottom"/>
          </w:tcPr>
          <w:p>
            <w:pPr>
              <w:ind w:left="560"/>
              <w:spacing w:after="0"/>
              <w:rPr>
                <w:sz w:val="20"/>
                <w:szCs w:val="20"/>
                <w:color w:val="auto"/>
              </w:rPr>
            </w:pPr>
            <w:r>
              <w:rPr>
                <w:rFonts w:ascii="Arial" w:cs="Arial" w:eastAsia="Arial" w:hAnsi="Arial"/>
                <w:sz w:val="16"/>
                <w:szCs w:val="16"/>
                <w:color w:val="auto"/>
              </w:rPr>
              <w:t>Under Armour, Inc.</w:t>
            </w:r>
          </w:p>
        </w:tc>
      </w:tr>
      <w:tr>
        <w:trPr>
          <w:trHeight w:val="97"/>
        </w:trPr>
        <w:tc>
          <w:tcPr>
            <w:tcW w:w="3120" w:type="dxa"/>
            <w:vAlign w:val="bottom"/>
            <w:tcBorders>
              <w:bottom w:val="single" w:sz="8" w:color="009BDE"/>
            </w:tcBorders>
          </w:tcPr>
          <w:p>
            <w:pPr>
              <w:spacing w:after="0"/>
              <w:rPr>
                <w:sz w:val="8"/>
                <w:szCs w:val="8"/>
                <w:color w:val="auto"/>
              </w:rPr>
            </w:pPr>
          </w:p>
        </w:tc>
        <w:tc>
          <w:tcPr>
            <w:tcW w:w="3880" w:type="dxa"/>
            <w:vAlign w:val="bottom"/>
            <w:tcBorders>
              <w:bottom w:val="single" w:sz="8" w:color="009BDE"/>
            </w:tcBorders>
          </w:tcPr>
          <w:p>
            <w:pPr>
              <w:spacing w:after="0"/>
              <w:rPr>
                <w:sz w:val="8"/>
                <w:szCs w:val="8"/>
                <w:color w:val="auto"/>
              </w:rPr>
            </w:pPr>
          </w:p>
        </w:tc>
        <w:tc>
          <w:tcPr>
            <w:tcW w:w="3920" w:type="dxa"/>
            <w:vAlign w:val="bottom"/>
            <w:tcBorders>
              <w:bottom w:val="single" w:sz="8" w:color="009BDE"/>
            </w:tcBorders>
          </w:tcPr>
          <w:p>
            <w:pPr>
              <w:spacing w:after="0"/>
              <w:rPr>
                <w:sz w:val="8"/>
                <w:szCs w:val="8"/>
                <w:color w:val="auto"/>
              </w:rPr>
            </w:pPr>
          </w:p>
        </w:tc>
      </w:tr>
      <w:tr>
        <w:trPr>
          <w:trHeight w:val="284"/>
        </w:trPr>
        <w:tc>
          <w:tcPr>
            <w:tcW w:w="3120" w:type="dxa"/>
            <w:vAlign w:val="bottom"/>
          </w:tcPr>
          <w:p>
            <w:pPr>
              <w:ind w:left="80"/>
              <w:spacing w:after="0"/>
              <w:rPr>
                <w:sz w:val="20"/>
                <w:szCs w:val="20"/>
                <w:color w:val="auto"/>
              </w:rPr>
            </w:pPr>
            <w:r>
              <w:rPr>
                <w:rFonts w:ascii="Arial" w:cs="Arial" w:eastAsia="Arial" w:hAnsi="Arial"/>
                <w:sz w:val="16"/>
                <w:szCs w:val="16"/>
                <w:color w:val="auto"/>
              </w:rPr>
              <w:t>iHeart Media, Inc.</w:t>
            </w:r>
          </w:p>
        </w:tc>
        <w:tc>
          <w:tcPr>
            <w:tcW w:w="3880" w:type="dxa"/>
            <w:vAlign w:val="bottom"/>
          </w:tcPr>
          <w:p>
            <w:pPr>
              <w:ind w:left="840"/>
              <w:spacing w:after="0"/>
              <w:rPr>
                <w:sz w:val="20"/>
                <w:szCs w:val="20"/>
                <w:color w:val="auto"/>
              </w:rPr>
            </w:pPr>
            <w:r>
              <w:rPr>
                <w:rFonts w:ascii="Arial" w:cs="Arial" w:eastAsia="Arial" w:hAnsi="Arial"/>
                <w:sz w:val="16"/>
                <w:szCs w:val="16"/>
                <w:color w:val="auto"/>
              </w:rPr>
              <w:t>Spin Master Corp.</w:t>
            </w:r>
          </w:p>
        </w:tc>
        <w:tc>
          <w:tcPr>
            <w:tcW w:w="3920" w:type="dxa"/>
            <w:vAlign w:val="bottom"/>
          </w:tcPr>
          <w:p>
            <w:pPr>
              <w:spacing w:after="0"/>
              <w:rPr>
                <w:sz w:val="24"/>
                <w:szCs w:val="24"/>
                <w:color w:val="auto"/>
              </w:rPr>
            </w:pPr>
          </w:p>
        </w:tc>
      </w:tr>
      <w:tr>
        <w:trPr>
          <w:trHeight w:val="97"/>
        </w:trPr>
        <w:tc>
          <w:tcPr>
            <w:tcW w:w="3120" w:type="dxa"/>
            <w:vAlign w:val="bottom"/>
            <w:tcBorders>
              <w:bottom w:val="single" w:sz="8" w:color="009BDE"/>
            </w:tcBorders>
          </w:tcPr>
          <w:p>
            <w:pPr>
              <w:spacing w:after="0"/>
              <w:rPr>
                <w:sz w:val="8"/>
                <w:szCs w:val="8"/>
                <w:color w:val="auto"/>
              </w:rPr>
            </w:pPr>
          </w:p>
        </w:tc>
        <w:tc>
          <w:tcPr>
            <w:tcW w:w="3880" w:type="dxa"/>
            <w:vAlign w:val="bottom"/>
            <w:tcBorders>
              <w:bottom w:val="single" w:sz="8" w:color="009BDE"/>
            </w:tcBorders>
          </w:tcPr>
          <w:p>
            <w:pPr>
              <w:spacing w:after="0"/>
              <w:rPr>
                <w:sz w:val="8"/>
                <w:szCs w:val="8"/>
                <w:color w:val="auto"/>
              </w:rPr>
            </w:pPr>
          </w:p>
        </w:tc>
        <w:tc>
          <w:tcPr>
            <w:tcW w:w="3920" w:type="dxa"/>
            <w:vAlign w:val="bottom"/>
            <w:tcBorders>
              <w:bottom w:val="single" w:sz="8" w:color="009BDE"/>
            </w:tcBorders>
          </w:tcPr>
          <w:p>
            <w:pPr>
              <w:spacing w:after="0"/>
              <w:rPr>
                <w:sz w:val="8"/>
                <w:szCs w:val="8"/>
                <w:color w:val="auto"/>
              </w:rPr>
            </w:pPr>
          </w:p>
        </w:tc>
      </w:tr>
      <w:tr>
        <w:trPr>
          <w:trHeight w:val="284"/>
        </w:trPr>
        <w:tc>
          <w:tcPr>
            <w:tcW w:w="3120" w:type="dxa"/>
            <w:vAlign w:val="bottom"/>
          </w:tcPr>
          <w:p>
            <w:pPr>
              <w:ind w:left="80"/>
              <w:spacing w:after="0"/>
              <w:rPr>
                <w:sz w:val="20"/>
                <w:szCs w:val="20"/>
                <w:color w:val="auto"/>
              </w:rPr>
            </w:pPr>
            <w:r>
              <w:rPr>
                <w:rFonts w:ascii="Arial" w:cs="Arial" w:eastAsia="Arial" w:hAnsi="Arial"/>
                <w:sz w:val="16"/>
                <w:szCs w:val="16"/>
                <w:color w:val="auto"/>
              </w:rPr>
              <w:t>Live Nation Entertainment, Inc.</w:t>
            </w:r>
          </w:p>
        </w:tc>
        <w:tc>
          <w:tcPr>
            <w:tcW w:w="3880" w:type="dxa"/>
            <w:vAlign w:val="bottom"/>
          </w:tcPr>
          <w:p>
            <w:pPr>
              <w:ind w:left="840"/>
              <w:spacing w:after="0"/>
              <w:rPr>
                <w:sz w:val="20"/>
                <w:szCs w:val="20"/>
                <w:color w:val="auto"/>
              </w:rPr>
            </w:pPr>
            <w:r>
              <w:rPr>
                <w:rFonts w:ascii="Arial" w:cs="Arial" w:eastAsia="Arial" w:hAnsi="Arial"/>
                <w:sz w:val="16"/>
                <w:szCs w:val="16"/>
                <w:color w:val="auto"/>
              </w:rPr>
              <w:t>Take-Two Interactive Software, Inc.</w:t>
            </w:r>
          </w:p>
        </w:tc>
        <w:tc>
          <w:tcPr>
            <w:tcW w:w="3920" w:type="dxa"/>
            <w:vAlign w:val="bottom"/>
          </w:tcPr>
          <w:p>
            <w:pPr>
              <w:spacing w:after="0"/>
              <w:rPr>
                <w:sz w:val="24"/>
                <w:szCs w:val="24"/>
                <w:color w:val="auto"/>
              </w:rPr>
            </w:pPr>
          </w:p>
        </w:tc>
      </w:tr>
      <w:tr>
        <w:trPr>
          <w:trHeight w:val="97"/>
        </w:trPr>
        <w:tc>
          <w:tcPr>
            <w:tcW w:w="3120" w:type="dxa"/>
            <w:vAlign w:val="bottom"/>
            <w:tcBorders>
              <w:bottom w:val="single" w:sz="8" w:color="009BDE"/>
            </w:tcBorders>
          </w:tcPr>
          <w:p>
            <w:pPr>
              <w:spacing w:after="0"/>
              <w:rPr>
                <w:sz w:val="8"/>
                <w:szCs w:val="8"/>
                <w:color w:val="auto"/>
              </w:rPr>
            </w:pPr>
          </w:p>
        </w:tc>
        <w:tc>
          <w:tcPr>
            <w:tcW w:w="3880" w:type="dxa"/>
            <w:vAlign w:val="bottom"/>
            <w:tcBorders>
              <w:bottom w:val="single" w:sz="8" w:color="009BDE"/>
            </w:tcBorders>
          </w:tcPr>
          <w:p>
            <w:pPr>
              <w:spacing w:after="0"/>
              <w:rPr>
                <w:sz w:val="8"/>
                <w:szCs w:val="8"/>
                <w:color w:val="auto"/>
              </w:rPr>
            </w:pPr>
          </w:p>
        </w:tc>
        <w:tc>
          <w:tcPr>
            <w:tcW w:w="3920" w:type="dxa"/>
            <w:vAlign w:val="bottom"/>
            <w:tcBorders>
              <w:bottom w:val="single" w:sz="8" w:color="009BDE"/>
            </w:tcBorders>
          </w:tcPr>
          <w:p>
            <w:pPr>
              <w:spacing w:after="0"/>
              <w:rPr>
                <w:sz w:val="8"/>
                <w:szCs w:val="8"/>
                <w:color w:val="auto"/>
              </w:rPr>
            </w:pPr>
          </w:p>
        </w:tc>
      </w:tr>
    </w:tbl>
    <w:p>
      <w:pPr>
        <w:spacing w:after="0" w:line="29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Role of the Independent Compensation Consultant</w:t>
      </w:r>
    </w:p>
    <w:p>
      <w:pPr>
        <w:spacing w:after="0" w:line="127" w:lineRule="exact"/>
        <w:rPr>
          <w:sz w:val="20"/>
          <w:szCs w:val="20"/>
          <w:color w:val="auto"/>
        </w:rPr>
      </w:pPr>
    </w:p>
    <w:p>
      <w:pPr>
        <w:ind w:left="160" w:right="180"/>
        <w:spacing w:after="0" w:line="250" w:lineRule="auto"/>
        <w:rPr>
          <w:sz w:val="20"/>
          <w:szCs w:val="20"/>
          <w:color w:val="auto"/>
        </w:rPr>
      </w:pPr>
      <w:r>
        <w:rPr>
          <w:rFonts w:ascii="Arial" w:cs="Arial" w:eastAsia="Arial" w:hAnsi="Arial"/>
          <w:sz w:val="16"/>
          <w:szCs w:val="16"/>
          <w:color w:val="auto"/>
        </w:rPr>
        <w:t>In reviewing and establishing the fiscal 2025 compensation program for the Company’s executive officers, the Committee received input and recommendations from representatives of Meridian, an independent compensation consultant. Meridian was retained by, and reports directly to, the Committee. Meridian advised the Committee with respect to the Committee’s review of the Company’s executive compensation programs and provided additional information as to whether the Company’s proposed executive compensation programs were competitive, fair to the Company and the executives, reflected strong pay-for-perfomance alignment, provided appropriate incentive to and retention of the executives and were effective in promoting the performance of the Company’s executives and achievement of the Company’s business and financial goals. Meridian did not provide any other services to Hasbro in 2025.</w:t>
      </w:r>
    </w:p>
    <w:p>
      <w:pPr>
        <w:spacing w:after="0" w:line="116"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auto"/>
        </w:rPr>
        <w:t>The Committee recognizes that it is essential to receive objective advice from independent compensation consultants. Therefore, the Committee maintains a policy requiring an annual assessment of compensation consultant independence based on NASDAQ’s requirements. The Committee concluded that Meridian was independent and had no conflicts of interest or other relationships that may impair their independence during their service to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6964045" cy="39052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  29</w:t>
      </w:r>
    </w:p>
    <w:p>
      <w:pPr>
        <w:sectPr>
          <w:pgSz w:w="11900" w:h="16838" w:orient="portrait"/>
          <w:cols w:equalWidth="0" w:num="1">
            <w:col w:w="11080"/>
          </w:cols>
          <w:pgMar w:left="320" w:top="478"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Executive Compensation Elements</w:t>
      </w:r>
    </w:p>
    <w:p>
      <w:pPr>
        <w:spacing w:after="0" w:line="128"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color w:val="auto"/>
        </w:rPr>
        <w:t>The NEOs receive a mix of fixed and variable compensation. The following discussion summarizes the various elements of the executive compensation program.</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Base Salary</w:t>
      </w:r>
    </w:p>
    <w:p>
      <w:pPr>
        <w:spacing w:after="0" w:line="100" w:lineRule="exact"/>
        <w:rPr>
          <w:sz w:val="20"/>
          <w:szCs w:val="20"/>
          <w:color w:val="auto"/>
        </w:rPr>
      </w:pPr>
    </w:p>
    <w:p>
      <w:pPr>
        <w:ind w:left="160" w:right="340"/>
        <w:spacing w:after="0" w:line="251" w:lineRule="auto"/>
        <w:rPr>
          <w:sz w:val="20"/>
          <w:szCs w:val="20"/>
          <w:color w:val="auto"/>
        </w:rPr>
      </w:pPr>
      <w:r>
        <w:rPr>
          <w:rFonts w:ascii="Arial" w:cs="Arial" w:eastAsia="Arial" w:hAnsi="Arial"/>
          <w:sz w:val="16"/>
          <w:szCs w:val="16"/>
          <w:color w:val="auto"/>
        </w:rPr>
        <w:t>The Company’s philosophy is to review base salaries annually or more often if circumstances warrant. Increases in executive base salaries are considered: (i) in the event of increases in responsibility; (ii) to maintain market competitiveness with compensation offered to executives with similar responsibilities, expertise and experience in other companies the Company considers to be comparable to and/or competitive with the Company; and</w:t>
      </w:r>
    </w:p>
    <w:p>
      <w:pPr>
        <w:ind w:left="160" w:right="320" w:firstLine="7"/>
        <w:spacing w:after="0" w:line="258" w:lineRule="auto"/>
        <w:tabs>
          <w:tab w:leader="none" w:pos="418"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recognize continued individual performance and contribution. Following this review in 2025, the Committee approved a base salary increase for Mr. Sibley from $650,000 to $700,000.</w:t>
      </w:r>
    </w:p>
    <w:p>
      <w:pPr>
        <w:spacing w:after="0" w:line="218" w:lineRule="exact"/>
        <w:rPr>
          <w:sz w:val="20"/>
          <w:szCs w:val="20"/>
          <w:color w:val="auto"/>
        </w:rPr>
      </w:pPr>
    </w:p>
    <w:tbl>
      <w:tblPr>
        <w:tblLayout w:type="fixed"/>
        <w:tblInd w:w="1260" w:type="dxa"/>
        <w:tblCellMar>
          <w:top w:w="0" w:type="dxa"/>
          <w:left w:w="0" w:type="dxa"/>
          <w:bottom w:w="0" w:type="dxa"/>
          <w:right w:w="0" w:type="dxa"/>
        </w:tblCellMar>
      </w:tblPr>
      <w:tr>
        <w:trPr>
          <w:trHeight w:val="67"/>
        </w:trPr>
        <w:tc>
          <w:tcPr>
            <w:tcW w:w="2020" w:type="dxa"/>
            <w:vAlign w:val="bottom"/>
            <w:vMerge w:val="restart"/>
            <w:shd w:val="clear" w:color="auto" w:fill="CCEBF8"/>
          </w:tcPr>
          <w:p>
            <w:pPr>
              <w:jc w:val="center"/>
              <w:spacing w:after="0"/>
              <w:rPr>
                <w:sz w:val="20"/>
                <w:szCs w:val="20"/>
                <w:color w:val="auto"/>
              </w:rPr>
            </w:pPr>
            <w:r>
              <w:rPr>
                <w:rFonts w:ascii="Arial" w:cs="Arial" w:eastAsia="Arial" w:hAnsi="Arial"/>
                <w:sz w:val="16"/>
                <w:szCs w:val="16"/>
                <w:b w:val="1"/>
                <w:bCs w:val="1"/>
                <w:color w:val="009BDE"/>
              </w:rPr>
              <w:t>Named Executive</w:t>
            </w:r>
          </w:p>
        </w:tc>
        <w:tc>
          <w:tcPr>
            <w:tcW w:w="2780" w:type="dxa"/>
            <w:vAlign w:val="bottom"/>
            <w:shd w:val="clear" w:color="auto" w:fill="CCEBF8"/>
          </w:tcPr>
          <w:p>
            <w:pPr>
              <w:spacing w:after="0"/>
              <w:rPr>
                <w:sz w:val="5"/>
                <w:szCs w:val="5"/>
                <w:color w:val="auto"/>
              </w:rPr>
            </w:pPr>
          </w:p>
        </w:tc>
        <w:tc>
          <w:tcPr>
            <w:tcW w:w="2380" w:type="dxa"/>
            <w:vAlign w:val="bottom"/>
            <w:shd w:val="clear" w:color="auto" w:fill="CCEBF8"/>
          </w:tcPr>
          <w:p>
            <w:pPr>
              <w:spacing w:after="0"/>
              <w:rPr>
                <w:sz w:val="5"/>
                <w:szCs w:val="5"/>
                <w:color w:val="auto"/>
              </w:rPr>
            </w:pPr>
          </w:p>
        </w:tc>
        <w:tc>
          <w:tcPr>
            <w:tcW w:w="1000" w:type="dxa"/>
            <w:vAlign w:val="bottom"/>
            <w:shd w:val="clear" w:color="auto" w:fill="CCEBF8"/>
          </w:tcPr>
          <w:p>
            <w:pPr>
              <w:spacing w:after="0"/>
              <w:rPr>
                <w:sz w:val="5"/>
                <w:szCs w:val="5"/>
                <w:color w:val="auto"/>
              </w:rPr>
            </w:pPr>
          </w:p>
        </w:tc>
        <w:tc>
          <w:tcPr>
            <w:tcW w:w="160" w:type="dxa"/>
            <w:vAlign w:val="bottom"/>
            <w:shd w:val="clear" w:color="auto" w:fill="CCEBF8"/>
          </w:tcPr>
          <w:p>
            <w:pPr>
              <w:spacing w:after="0"/>
              <w:rPr>
                <w:sz w:val="5"/>
                <w:szCs w:val="5"/>
                <w:color w:val="auto"/>
              </w:rPr>
            </w:pPr>
          </w:p>
        </w:tc>
        <w:tc>
          <w:tcPr>
            <w:tcW w:w="380" w:type="dxa"/>
            <w:vAlign w:val="bottom"/>
            <w:shd w:val="clear" w:color="auto" w:fill="CCEBF8"/>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20" w:type="dxa"/>
            <w:vAlign w:val="bottom"/>
            <w:vMerge w:val="continue"/>
            <w:shd w:val="clear" w:color="auto" w:fill="CCEBF8"/>
          </w:tcPr>
          <w:p>
            <w:pPr>
              <w:spacing w:after="0"/>
              <w:rPr>
                <w:sz w:val="15"/>
                <w:szCs w:val="15"/>
                <w:color w:val="auto"/>
              </w:rPr>
            </w:pPr>
          </w:p>
        </w:tc>
        <w:tc>
          <w:tcPr>
            <w:tcW w:w="27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Officer</w:t>
            </w:r>
          </w:p>
        </w:tc>
        <w:tc>
          <w:tcPr>
            <w:tcW w:w="2780" w:type="dxa"/>
            <w:vAlign w:val="bottom"/>
          </w:tcPr>
          <w:p>
            <w:pPr>
              <w:jc w:val="center"/>
              <w:ind w:left="320"/>
              <w:spacing w:after="0"/>
              <w:rPr>
                <w:sz w:val="20"/>
                <w:szCs w:val="20"/>
                <w:color w:val="auto"/>
              </w:rPr>
            </w:pPr>
            <w:r>
              <w:rPr>
                <w:rFonts w:ascii="Arial" w:cs="Arial" w:eastAsia="Arial" w:hAnsi="Arial"/>
                <w:sz w:val="16"/>
                <w:szCs w:val="16"/>
                <w:b w:val="1"/>
                <w:bCs w:val="1"/>
                <w:color w:val="009BDE"/>
                <w:w w:val="99"/>
              </w:rPr>
              <w:t>2024 Base Salary ($)</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009BDE"/>
                <w:w w:val="99"/>
              </w:rPr>
              <w:t>2025 Base Salary ($)</w:t>
            </w:r>
          </w:p>
        </w:tc>
        <w:tc>
          <w:tcPr>
            <w:tcW w:w="1560" w:type="dxa"/>
            <w:vAlign w:val="bottom"/>
            <w:gridSpan w:val="4"/>
          </w:tcPr>
          <w:p>
            <w:pPr>
              <w:ind w:left="420"/>
              <w:spacing w:after="0"/>
              <w:rPr>
                <w:sz w:val="20"/>
                <w:szCs w:val="20"/>
                <w:color w:val="auto"/>
              </w:rPr>
            </w:pPr>
            <w:r>
              <w:rPr>
                <w:rFonts w:ascii="Arial" w:cs="Arial" w:eastAsia="Arial" w:hAnsi="Arial"/>
                <w:sz w:val="16"/>
                <w:szCs w:val="16"/>
                <w:b w:val="1"/>
                <w:bCs w:val="1"/>
                <w:color w:val="009BDE"/>
              </w:rPr>
              <w:t xml:space="preserve">% Change       </w:t>
            </w:r>
          </w:p>
        </w:tc>
        <w:tc>
          <w:tcPr>
            <w:tcW w:w="0" w:type="dxa"/>
            <w:vAlign w:val="bottom"/>
          </w:tcPr>
          <w:p>
            <w:pPr>
              <w:spacing w:after="0"/>
              <w:rPr>
                <w:sz w:val="1"/>
                <w:szCs w:val="1"/>
                <w:color w:val="auto"/>
              </w:rPr>
            </w:pPr>
          </w:p>
        </w:tc>
      </w:tr>
      <w:tr>
        <w:trPr>
          <w:trHeight w:val="114"/>
        </w:trPr>
        <w:tc>
          <w:tcPr>
            <w:tcW w:w="2020" w:type="dxa"/>
            <w:vAlign w:val="bottom"/>
            <w:tcBorders>
              <w:bottom w:val="single" w:sz="8" w:color="009BDE"/>
            </w:tcBorders>
            <w:shd w:val="clear" w:color="auto" w:fill="CCEBF8"/>
          </w:tcPr>
          <w:p>
            <w:pPr>
              <w:spacing w:after="0"/>
              <w:rPr>
                <w:sz w:val="9"/>
                <w:szCs w:val="9"/>
                <w:color w:val="auto"/>
              </w:rPr>
            </w:pPr>
          </w:p>
        </w:tc>
        <w:tc>
          <w:tcPr>
            <w:tcW w:w="2780" w:type="dxa"/>
            <w:vAlign w:val="bottom"/>
            <w:tcBorders>
              <w:bottom w:val="single" w:sz="8" w:color="009BDE"/>
            </w:tcBorders>
          </w:tcPr>
          <w:p>
            <w:pPr>
              <w:spacing w:after="0"/>
              <w:rPr>
                <w:sz w:val="9"/>
                <w:szCs w:val="9"/>
                <w:color w:val="auto"/>
              </w:rPr>
            </w:pPr>
          </w:p>
        </w:tc>
        <w:tc>
          <w:tcPr>
            <w:tcW w:w="2380" w:type="dxa"/>
            <w:vAlign w:val="bottom"/>
            <w:tcBorders>
              <w:bottom w:val="single" w:sz="8" w:color="009BDE"/>
            </w:tcBorders>
          </w:tcPr>
          <w:p>
            <w:pPr>
              <w:spacing w:after="0"/>
              <w:rPr>
                <w:sz w:val="9"/>
                <w:szCs w:val="9"/>
                <w:color w:val="auto"/>
              </w:rPr>
            </w:pPr>
          </w:p>
        </w:tc>
        <w:tc>
          <w:tcPr>
            <w:tcW w:w="1000" w:type="dxa"/>
            <w:vAlign w:val="bottom"/>
            <w:tcBorders>
              <w:bottom w:val="single" w:sz="8" w:color="009BDE"/>
            </w:tcBorders>
          </w:tcPr>
          <w:p>
            <w:pPr>
              <w:spacing w:after="0"/>
              <w:rPr>
                <w:sz w:val="9"/>
                <w:szCs w:val="9"/>
                <w:color w:val="auto"/>
              </w:rPr>
            </w:pPr>
          </w:p>
        </w:tc>
        <w:tc>
          <w:tcPr>
            <w:tcW w:w="160" w:type="dxa"/>
            <w:vAlign w:val="bottom"/>
            <w:tcBorders>
              <w:bottom w:val="single" w:sz="8" w:color="009BDE"/>
            </w:tcBorders>
          </w:tcPr>
          <w:p>
            <w:pPr>
              <w:spacing w:after="0"/>
              <w:rPr>
                <w:sz w:val="9"/>
                <w:szCs w:val="9"/>
                <w:color w:val="auto"/>
              </w:rPr>
            </w:pPr>
          </w:p>
        </w:tc>
        <w:tc>
          <w:tcPr>
            <w:tcW w:w="380" w:type="dxa"/>
            <w:vAlign w:val="bottom"/>
            <w:tcBorders>
              <w:bottom w:val="single" w:sz="8" w:color="009BDE"/>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2020" w:type="dxa"/>
            <w:vAlign w:val="bottom"/>
          </w:tcPr>
          <w:p>
            <w:pPr>
              <w:jc w:val="center"/>
              <w:spacing w:after="0"/>
              <w:rPr>
                <w:sz w:val="20"/>
                <w:szCs w:val="20"/>
                <w:color w:val="auto"/>
              </w:rPr>
            </w:pPr>
            <w:r>
              <w:rPr>
                <w:rFonts w:ascii="Arial" w:cs="Arial" w:eastAsia="Arial" w:hAnsi="Arial"/>
                <w:sz w:val="16"/>
                <w:szCs w:val="16"/>
                <w:color w:val="auto"/>
                <w:w w:val="99"/>
              </w:rPr>
              <w:t>Chris Cocks</w:t>
            </w:r>
          </w:p>
        </w:tc>
        <w:tc>
          <w:tcPr>
            <w:tcW w:w="2780" w:type="dxa"/>
            <w:vAlign w:val="bottom"/>
          </w:tcPr>
          <w:p>
            <w:pPr>
              <w:jc w:val="center"/>
              <w:ind w:left="300"/>
              <w:spacing w:after="0"/>
              <w:rPr>
                <w:sz w:val="20"/>
                <w:szCs w:val="20"/>
                <w:color w:val="auto"/>
              </w:rPr>
            </w:pPr>
            <w:r>
              <w:rPr>
                <w:rFonts w:ascii="Arial" w:cs="Arial" w:eastAsia="Arial" w:hAnsi="Arial"/>
                <w:sz w:val="16"/>
                <w:szCs w:val="16"/>
                <w:color w:val="auto"/>
                <w:w w:val="99"/>
              </w:rPr>
              <w:t>$1,500,000</w:t>
            </w:r>
          </w:p>
        </w:tc>
        <w:tc>
          <w:tcPr>
            <w:tcW w:w="2380" w:type="dxa"/>
            <w:vAlign w:val="bottom"/>
          </w:tcPr>
          <w:p>
            <w:pPr>
              <w:jc w:val="center"/>
              <w:spacing w:after="0"/>
              <w:rPr>
                <w:sz w:val="20"/>
                <w:szCs w:val="20"/>
                <w:color w:val="auto"/>
              </w:rPr>
            </w:pPr>
            <w:r>
              <w:rPr>
                <w:rFonts w:ascii="Arial" w:cs="Arial" w:eastAsia="Arial" w:hAnsi="Arial"/>
                <w:sz w:val="16"/>
                <w:szCs w:val="16"/>
                <w:color w:val="auto"/>
              </w:rPr>
              <w:t>$1,500,000</w:t>
            </w:r>
          </w:p>
        </w:tc>
        <w:tc>
          <w:tcPr>
            <w:tcW w:w="1000" w:type="dxa"/>
            <w:vAlign w:val="bottom"/>
          </w:tcPr>
          <w:p>
            <w:pPr>
              <w:jc w:val="center"/>
              <w:ind w:left="566"/>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97"/>
        </w:trPr>
        <w:tc>
          <w:tcPr>
            <w:tcW w:w="2020" w:type="dxa"/>
            <w:vAlign w:val="bottom"/>
            <w:tcBorders>
              <w:bottom w:val="single" w:sz="8" w:color="009BDE"/>
            </w:tcBorders>
          </w:tcPr>
          <w:p>
            <w:pPr>
              <w:spacing w:after="0"/>
              <w:rPr>
                <w:sz w:val="8"/>
                <w:szCs w:val="8"/>
                <w:color w:val="auto"/>
              </w:rPr>
            </w:pPr>
          </w:p>
        </w:tc>
        <w:tc>
          <w:tcPr>
            <w:tcW w:w="2780" w:type="dxa"/>
            <w:vAlign w:val="bottom"/>
            <w:tcBorders>
              <w:bottom w:val="single" w:sz="8" w:color="009BDE"/>
            </w:tcBorders>
          </w:tcPr>
          <w:p>
            <w:pPr>
              <w:spacing w:after="0"/>
              <w:rPr>
                <w:sz w:val="8"/>
                <w:szCs w:val="8"/>
                <w:color w:val="auto"/>
              </w:rPr>
            </w:pPr>
          </w:p>
        </w:tc>
        <w:tc>
          <w:tcPr>
            <w:tcW w:w="238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20" w:type="dxa"/>
            <w:vAlign w:val="bottom"/>
          </w:tcPr>
          <w:p>
            <w:pPr>
              <w:jc w:val="center"/>
              <w:spacing w:after="0"/>
              <w:rPr>
                <w:sz w:val="20"/>
                <w:szCs w:val="20"/>
                <w:color w:val="auto"/>
              </w:rPr>
            </w:pPr>
            <w:r>
              <w:rPr>
                <w:rFonts w:ascii="Arial" w:cs="Arial" w:eastAsia="Arial" w:hAnsi="Arial"/>
                <w:sz w:val="16"/>
                <w:szCs w:val="16"/>
                <w:color w:val="auto"/>
              </w:rPr>
              <w:t>Gina Goetter</w:t>
            </w:r>
          </w:p>
        </w:tc>
        <w:tc>
          <w:tcPr>
            <w:tcW w:w="2780" w:type="dxa"/>
            <w:vAlign w:val="bottom"/>
          </w:tcPr>
          <w:p>
            <w:pPr>
              <w:jc w:val="center"/>
              <w:ind w:left="300"/>
              <w:spacing w:after="0"/>
              <w:rPr>
                <w:sz w:val="20"/>
                <w:szCs w:val="20"/>
                <w:color w:val="auto"/>
              </w:rPr>
            </w:pPr>
            <w:r>
              <w:rPr>
                <w:rFonts w:ascii="Arial" w:cs="Arial" w:eastAsia="Arial" w:hAnsi="Arial"/>
                <w:sz w:val="16"/>
                <w:szCs w:val="16"/>
                <w:color w:val="auto"/>
                <w:w w:val="99"/>
              </w:rPr>
              <w:t>$1,000,000</w:t>
            </w:r>
          </w:p>
        </w:tc>
        <w:tc>
          <w:tcPr>
            <w:tcW w:w="2380" w:type="dxa"/>
            <w:vAlign w:val="bottom"/>
          </w:tcPr>
          <w:p>
            <w:pPr>
              <w:jc w:val="center"/>
              <w:spacing w:after="0"/>
              <w:rPr>
                <w:sz w:val="20"/>
                <w:szCs w:val="20"/>
                <w:color w:val="auto"/>
              </w:rPr>
            </w:pPr>
            <w:r>
              <w:rPr>
                <w:rFonts w:ascii="Arial" w:cs="Arial" w:eastAsia="Arial" w:hAnsi="Arial"/>
                <w:sz w:val="16"/>
                <w:szCs w:val="16"/>
                <w:color w:val="auto"/>
              </w:rPr>
              <w:t>$1,000,000</w:t>
            </w:r>
          </w:p>
        </w:tc>
        <w:tc>
          <w:tcPr>
            <w:tcW w:w="1000" w:type="dxa"/>
            <w:vAlign w:val="bottom"/>
          </w:tcPr>
          <w:p>
            <w:pPr>
              <w:jc w:val="center"/>
              <w:ind w:left="566"/>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97"/>
        </w:trPr>
        <w:tc>
          <w:tcPr>
            <w:tcW w:w="2020" w:type="dxa"/>
            <w:vAlign w:val="bottom"/>
            <w:tcBorders>
              <w:bottom w:val="single" w:sz="8" w:color="009BDE"/>
            </w:tcBorders>
          </w:tcPr>
          <w:p>
            <w:pPr>
              <w:spacing w:after="0"/>
              <w:rPr>
                <w:sz w:val="8"/>
                <w:szCs w:val="8"/>
                <w:color w:val="auto"/>
              </w:rPr>
            </w:pPr>
          </w:p>
        </w:tc>
        <w:tc>
          <w:tcPr>
            <w:tcW w:w="2780" w:type="dxa"/>
            <w:vAlign w:val="bottom"/>
            <w:tcBorders>
              <w:bottom w:val="single" w:sz="8" w:color="009BDE"/>
            </w:tcBorders>
          </w:tcPr>
          <w:p>
            <w:pPr>
              <w:spacing w:after="0"/>
              <w:rPr>
                <w:sz w:val="8"/>
                <w:szCs w:val="8"/>
                <w:color w:val="auto"/>
              </w:rPr>
            </w:pPr>
          </w:p>
        </w:tc>
        <w:tc>
          <w:tcPr>
            <w:tcW w:w="238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20" w:type="dxa"/>
            <w:vAlign w:val="bottom"/>
          </w:tcPr>
          <w:p>
            <w:pPr>
              <w:jc w:val="center"/>
              <w:spacing w:after="0"/>
              <w:rPr>
                <w:sz w:val="20"/>
                <w:szCs w:val="20"/>
                <w:color w:val="auto"/>
              </w:rPr>
            </w:pPr>
            <w:r>
              <w:rPr>
                <w:rFonts w:ascii="Arial" w:cs="Arial" w:eastAsia="Arial" w:hAnsi="Arial"/>
                <w:sz w:val="16"/>
                <w:szCs w:val="16"/>
                <w:color w:val="auto"/>
              </w:rPr>
              <w:t>John Hight</w:t>
            </w:r>
          </w:p>
        </w:tc>
        <w:tc>
          <w:tcPr>
            <w:tcW w:w="2780" w:type="dxa"/>
            <w:vAlign w:val="bottom"/>
          </w:tcPr>
          <w:p>
            <w:pPr>
              <w:jc w:val="center"/>
              <w:ind w:left="320"/>
              <w:spacing w:after="0"/>
              <w:rPr>
                <w:sz w:val="20"/>
                <w:szCs w:val="20"/>
                <w:color w:val="auto"/>
              </w:rPr>
            </w:pPr>
            <w:r>
              <w:rPr>
                <w:rFonts w:ascii="Arial" w:cs="Arial" w:eastAsia="Arial" w:hAnsi="Arial"/>
                <w:sz w:val="16"/>
                <w:szCs w:val="16"/>
                <w:color w:val="auto"/>
                <w:w w:val="98"/>
              </w:rPr>
              <w:t>$   725,000</w:t>
            </w:r>
          </w:p>
        </w:tc>
        <w:tc>
          <w:tcPr>
            <w:tcW w:w="2380" w:type="dxa"/>
            <w:vAlign w:val="bottom"/>
          </w:tcPr>
          <w:p>
            <w:pPr>
              <w:jc w:val="center"/>
              <w:spacing w:after="0"/>
              <w:rPr>
                <w:sz w:val="20"/>
                <w:szCs w:val="20"/>
                <w:color w:val="auto"/>
              </w:rPr>
            </w:pPr>
            <w:r>
              <w:rPr>
                <w:rFonts w:ascii="Arial" w:cs="Arial" w:eastAsia="Arial" w:hAnsi="Arial"/>
                <w:sz w:val="16"/>
                <w:szCs w:val="16"/>
                <w:color w:val="auto"/>
                <w:w w:val="98"/>
              </w:rPr>
              <w:t>$   725,000</w:t>
            </w:r>
          </w:p>
        </w:tc>
        <w:tc>
          <w:tcPr>
            <w:tcW w:w="1000" w:type="dxa"/>
            <w:vAlign w:val="bottom"/>
          </w:tcPr>
          <w:p>
            <w:pPr>
              <w:jc w:val="center"/>
              <w:ind w:left="566"/>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97"/>
        </w:trPr>
        <w:tc>
          <w:tcPr>
            <w:tcW w:w="2020" w:type="dxa"/>
            <w:vAlign w:val="bottom"/>
            <w:tcBorders>
              <w:bottom w:val="single" w:sz="8" w:color="009BDE"/>
            </w:tcBorders>
          </w:tcPr>
          <w:p>
            <w:pPr>
              <w:spacing w:after="0"/>
              <w:rPr>
                <w:sz w:val="8"/>
                <w:szCs w:val="8"/>
                <w:color w:val="auto"/>
              </w:rPr>
            </w:pPr>
          </w:p>
        </w:tc>
        <w:tc>
          <w:tcPr>
            <w:tcW w:w="2780" w:type="dxa"/>
            <w:vAlign w:val="bottom"/>
            <w:tcBorders>
              <w:bottom w:val="single" w:sz="8" w:color="009BDE"/>
            </w:tcBorders>
          </w:tcPr>
          <w:p>
            <w:pPr>
              <w:spacing w:after="0"/>
              <w:rPr>
                <w:sz w:val="8"/>
                <w:szCs w:val="8"/>
                <w:color w:val="auto"/>
              </w:rPr>
            </w:pPr>
          </w:p>
        </w:tc>
        <w:tc>
          <w:tcPr>
            <w:tcW w:w="238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20" w:type="dxa"/>
            <w:vAlign w:val="bottom"/>
          </w:tcPr>
          <w:p>
            <w:pPr>
              <w:jc w:val="center"/>
              <w:spacing w:after="0"/>
              <w:rPr>
                <w:sz w:val="20"/>
                <w:szCs w:val="20"/>
                <w:color w:val="auto"/>
              </w:rPr>
            </w:pPr>
            <w:r>
              <w:rPr>
                <w:rFonts w:ascii="Arial" w:cs="Arial" w:eastAsia="Arial" w:hAnsi="Arial"/>
                <w:sz w:val="16"/>
                <w:szCs w:val="16"/>
                <w:color w:val="auto"/>
                <w:w w:val="99"/>
              </w:rPr>
              <w:t>Tim Kilpin</w:t>
            </w:r>
          </w:p>
        </w:tc>
        <w:tc>
          <w:tcPr>
            <w:tcW w:w="2780" w:type="dxa"/>
            <w:vAlign w:val="bottom"/>
          </w:tcPr>
          <w:p>
            <w:pPr>
              <w:jc w:val="center"/>
              <w:ind w:left="320"/>
              <w:spacing w:after="0"/>
              <w:rPr>
                <w:sz w:val="20"/>
                <w:szCs w:val="20"/>
                <w:color w:val="auto"/>
              </w:rPr>
            </w:pPr>
            <w:r>
              <w:rPr>
                <w:rFonts w:ascii="Arial" w:cs="Arial" w:eastAsia="Arial" w:hAnsi="Arial"/>
                <w:sz w:val="16"/>
                <w:szCs w:val="16"/>
                <w:color w:val="auto"/>
                <w:w w:val="98"/>
              </w:rPr>
              <w:t>$   850,000</w:t>
            </w:r>
          </w:p>
        </w:tc>
        <w:tc>
          <w:tcPr>
            <w:tcW w:w="2380" w:type="dxa"/>
            <w:vAlign w:val="bottom"/>
          </w:tcPr>
          <w:p>
            <w:pPr>
              <w:jc w:val="center"/>
              <w:spacing w:after="0"/>
              <w:rPr>
                <w:sz w:val="20"/>
                <w:szCs w:val="20"/>
                <w:color w:val="auto"/>
              </w:rPr>
            </w:pPr>
            <w:r>
              <w:rPr>
                <w:rFonts w:ascii="Arial" w:cs="Arial" w:eastAsia="Arial" w:hAnsi="Arial"/>
                <w:sz w:val="16"/>
                <w:szCs w:val="16"/>
                <w:color w:val="auto"/>
                <w:w w:val="98"/>
              </w:rPr>
              <w:t>$   850,000</w:t>
            </w:r>
          </w:p>
        </w:tc>
        <w:tc>
          <w:tcPr>
            <w:tcW w:w="1000" w:type="dxa"/>
            <w:vAlign w:val="bottom"/>
          </w:tcPr>
          <w:p>
            <w:pPr>
              <w:jc w:val="center"/>
              <w:ind w:left="566"/>
              <w:spacing w:after="0"/>
              <w:rPr>
                <w:sz w:val="20"/>
                <w:szCs w:val="20"/>
                <w:color w:val="auto"/>
              </w:rPr>
            </w:pPr>
            <w:r>
              <w:rPr>
                <w:rFonts w:ascii="Arial" w:cs="Arial" w:eastAsia="Arial" w:hAnsi="Arial"/>
                <w:sz w:val="14"/>
                <w:szCs w:val="14"/>
                <w:color w:val="auto"/>
                <w:w w:val="71"/>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97"/>
        </w:trPr>
        <w:tc>
          <w:tcPr>
            <w:tcW w:w="2020" w:type="dxa"/>
            <w:vAlign w:val="bottom"/>
            <w:tcBorders>
              <w:bottom w:val="single" w:sz="8" w:color="009BDE"/>
            </w:tcBorders>
          </w:tcPr>
          <w:p>
            <w:pPr>
              <w:spacing w:after="0"/>
              <w:rPr>
                <w:sz w:val="8"/>
                <w:szCs w:val="8"/>
                <w:color w:val="auto"/>
              </w:rPr>
            </w:pPr>
          </w:p>
        </w:tc>
        <w:tc>
          <w:tcPr>
            <w:tcW w:w="2780" w:type="dxa"/>
            <w:vAlign w:val="bottom"/>
            <w:tcBorders>
              <w:bottom w:val="single" w:sz="8" w:color="009BDE"/>
            </w:tcBorders>
          </w:tcPr>
          <w:p>
            <w:pPr>
              <w:spacing w:after="0"/>
              <w:rPr>
                <w:sz w:val="8"/>
                <w:szCs w:val="8"/>
                <w:color w:val="auto"/>
              </w:rPr>
            </w:pPr>
          </w:p>
        </w:tc>
        <w:tc>
          <w:tcPr>
            <w:tcW w:w="238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20" w:type="dxa"/>
            <w:vAlign w:val="bottom"/>
          </w:tcPr>
          <w:p>
            <w:pPr>
              <w:jc w:val="center"/>
              <w:spacing w:after="0"/>
              <w:rPr>
                <w:sz w:val="20"/>
                <w:szCs w:val="20"/>
                <w:color w:val="auto"/>
              </w:rPr>
            </w:pPr>
            <w:r>
              <w:rPr>
                <w:rFonts w:ascii="Arial" w:cs="Arial" w:eastAsia="Arial" w:hAnsi="Arial"/>
                <w:sz w:val="16"/>
                <w:szCs w:val="16"/>
                <w:color w:val="auto"/>
                <w:w w:val="98"/>
              </w:rPr>
              <w:t>Tarrant Sibley</w:t>
            </w:r>
          </w:p>
        </w:tc>
        <w:tc>
          <w:tcPr>
            <w:tcW w:w="2780" w:type="dxa"/>
            <w:vAlign w:val="bottom"/>
          </w:tcPr>
          <w:p>
            <w:pPr>
              <w:jc w:val="center"/>
              <w:ind w:left="320"/>
              <w:spacing w:after="0"/>
              <w:rPr>
                <w:sz w:val="20"/>
                <w:szCs w:val="20"/>
                <w:color w:val="auto"/>
              </w:rPr>
            </w:pPr>
            <w:r>
              <w:rPr>
                <w:rFonts w:ascii="Arial" w:cs="Arial" w:eastAsia="Arial" w:hAnsi="Arial"/>
                <w:sz w:val="16"/>
                <w:szCs w:val="16"/>
                <w:color w:val="auto"/>
                <w:w w:val="98"/>
              </w:rPr>
              <w:t>$   650,000</w:t>
            </w:r>
          </w:p>
        </w:tc>
        <w:tc>
          <w:tcPr>
            <w:tcW w:w="2380" w:type="dxa"/>
            <w:vAlign w:val="bottom"/>
          </w:tcPr>
          <w:p>
            <w:pPr>
              <w:jc w:val="center"/>
              <w:spacing w:after="0"/>
              <w:rPr>
                <w:sz w:val="20"/>
                <w:szCs w:val="20"/>
                <w:color w:val="auto"/>
              </w:rPr>
            </w:pPr>
            <w:r>
              <w:rPr>
                <w:rFonts w:ascii="Arial" w:cs="Arial" w:eastAsia="Arial" w:hAnsi="Arial"/>
                <w:sz w:val="16"/>
                <w:szCs w:val="16"/>
                <w:color w:val="auto"/>
                <w:w w:val="98"/>
              </w:rPr>
              <w:t>$   700,000</w:t>
            </w:r>
          </w:p>
        </w:tc>
        <w:tc>
          <w:tcPr>
            <w:tcW w:w="1000" w:type="dxa"/>
            <w:vAlign w:val="bottom"/>
          </w:tcPr>
          <w:p>
            <w:pPr>
              <w:jc w:val="center"/>
              <w:ind w:left="566"/>
              <w:spacing w:after="0"/>
              <w:rPr>
                <w:sz w:val="20"/>
                <w:szCs w:val="20"/>
                <w:color w:val="auto"/>
              </w:rPr>
            </w:pPr>
            <w:r>
              <w:rPr>
                <w:rFonts w:ascii="Arial" w:cs="Arial" w:eastAsia="Arial" w:hAnsi="Arial"/>
                <w:sz w:val="16"/>
                <w:szCs w:val="16"/>
                <w:color w:val="auto"/>
                <w:w w:val="71"/>
              </w:rPr>
              <w:t>8% </w:t>
            </w:r>
          </w:p>
        </w:tc>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97"/>
        </w:trPr>
        <w:tc>
          <w:tcPr>
            <w:tcW w:w="2020" w:type="dxa"/>
            <w:vAlign w:val="bottom"/>
            <w:tcBorders>
              <w:bottom w:val="single" w:sz="8" w:color="009BDE"/>
            </w:tcBorders>
          </w:tcPr>
          <w:p>
            <w:pPr>
              <w:spacing w:after="0"/>
              <w:rPr>
                <w:sz w:val="8"/>
                <w:szCs w:val="8"/>
                <w:color w:val="auto"/>
              </w:rPr>
            </w:pPr>
          </w:p>
        </w:tc>
        <w:tc>
          <w:tcPr>
            <w:tcW w:w="2780" w:type="dxa"/>
            <w:vAlign w:val="bottom"/>
            <w:tcBorders>
              <w:bottom w:val="single" w:sz="8" w:color="009BDE"/>
            </w:tcBorders>
          </w:tcPr>
          <w:p>
            <w:pPr>
              <w:spacing w:after="0"/>
              <w:rPr>
                <w:sz w:val="8"/>
                <w:szCs w:val="8"/>
                <w:color w:val="auto"/>
              </w:rPr>
            </w:pPr>
          </w:p>
        </w:tc>
        <w:tc>
          <w:tcPr>
            <w:tcW w:w="238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2085340</wp:posOffset>
            </wp:positionH>
            <wp:positionV relativeFrom="paragraph">
              <wp:posOffset>-1604645</wp:posOffset>
            </wp:positionV>
            <wp:extent cx="4254500" cy="32258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4254500" cy="322580"/>
                    </a:xfrm>
                    <a:prstGeom prst="rect">
                      <a:avLst/>
                    </a:prstGeom>
                    <a:noFill/>
                  </pic:spPr>
                </pic:pic>
              </a:graphicData>
            </a:graphic>
          </wp:anchor>
        </w:drawing>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Variable and Performance-Based Compensation Elements</w:t>
      </w:r>
    </w:p>
    <w:p>
      <w:pPr>
        <w:spacing w:after="0" w:line="100"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A significant portion of the total compensation opportunity for our NEOs is variable and performance-based. When structuring incentive compensation, the Committee identifies the performance metrics it considers most important for driving Company value and return to shareholders. The Committee then ties incentive compensation to performance against those metrics. For 2025, the Committee determined that the following forms of compensation and performance metrics were appropriate for aligning executive compensation with Company performance and shareholder interests.</w:t>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1100" w:type="dxa"/>
            <w:vAlign w:val="bottom"/>
            <w:shd w:val="clear" w:color="auto" w:fill="CCEBF8"/>
          </w:tcPr>
          <w:p>
            <w:pPr>
              <w:spacing w:after="0"/>
              <w:rPr>
                <w:sz w:val="18"/>
                <w:szCs w:val="18"/>
                <w:color w:val="auto"/>
              </w:rPr>
            </w:pPr>
          </w:p>
        </w:tc>
        <w:tc>
          <w:tcPr>
            <w:tcW w:w="3300" w:type="dxa"/>
            <w:vAlign w:val="bottom"/>
            <w:shd w:val="clear" w:color="auto" w:fill="CCEBF8"/>
          </w:tcPr>
          <w:p>
            <w:pPr>
              <w:jc w:val="center"/>
              <w:ind w:right="944"/>
              <w:spacing w:after="0"/>
              <w:rPr>
                <w:sz w:val="20"/>
                <w:szCs w:val="20"/>
                <w:color w:val="auto"/>
              </w:rPr>
            </w:pPr>
            <w:r>
              <w:rPr>
                <w:rFonts w:ascii="Arial" w:cs="Arial" w:eastAsia="Arial" w:hAnsi="Arial"/>
                <w:sz w:val="14"/>
                <w:szCs w:val="14"/>
                <w:b w:val="1"/>
                <w:bCs w:val="1"/>
                <w:color w:val="009BDE"/>
              </w:rPr>
              <w:t>Component Incentive</w:t>
            </w:r>
          </w:p>
        </w:tc>
        <w:tc>
          <w:tcPr>
            <w:tcW w:w="3120" w:type="dxa"/>
            <w:vAlign w:val="bottom"/>
            <w:shd w:val="clear" w:color="auto" w:fill="CCEBF8"/>
          </w:tcPr>
          <w:p>
            <w:pPr>
              <w:spacing w:after="0"/>
              <w:rPr>
                <w:sz w:val="18"/>
                <w:szCs w:val="18"/>
                <w:color w:val="auto"/>
              </w:rPr>
            </w:pPr>
          </w:p>
        </w:tc>
        <w:tc>
          <w:tcPr>
            <w:tcW w:w="3400" w:type="dxa"/>
            <w:vAlign w:val="bottom"/>
            <w:shd w:val="clear" w:color="auto" w:fill="CCEBF8"/>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100" w:type="dxa"/>
            <w:vAlign w:val="bottom"/>
            <w:tcBorders>
              <w:bottom w:val="single" w:sz="8" w:color="CCEBF8"/>
            </w:tcBorders>
            <w:shd w:val="clear" w:color="auto" w:fill="CCEBF8"/>
          </w:tcPr>
          <w:p>
            <w:pPr>
              <w:spacing w:after="0"/>
              <w:rPr>
                <w:sz w:val="21"/>
                <w:szCs w:val="21"/>
                <w:color w:val="auto"/>
              </w:rPr>
            </w:pPr>
          </w:p>
        </w:tc>
        <w:tc>
          <w:tcPr>
            <w:tcW w:w="3300" w:type="dxa"/>
            <w:vAlign w:val="bottom"/>
            <w:tcBorders>
              <w:bottom w:val="single" w:sz="8" w:color="CCEBF8"/>
            </w:tcBorders>
            <w:shd w:val="clear" w:color="auto" w:fill="CCEBF8"/>
          </w:tcPr>
          <w:p>
            <w:pPr>
              <w:jc w:val="center"/>
              <w:ind w:right="944"/>
              <w:spacing w:after="0"/>
              <w:rPr>
                <w:sz w:val="20"/>
                <w:szCs w:val="20"/>
                <w:color w:val="auto"/>
              </w:rPr>
            </w:pPr>
            <w:r>
              <w:rPr>
                <w:rFonts w:ascii="Arial" w:cs="Arial" w:eastAsia="Arial" w:hAnsi="Arial"/>
                <w:sz w:val="14"/>
                <w:szCs w:val="14"/>
                <w:b w:val="1"/>
                <w:bCs w:val="1"/>
                <w:color w:val="009BDE"/>
              </w:rPr>
              <w:t>Compensation</w:t>
            </w:r>
          </w:p>
        </w:tc>
        <w:tc>
          <w:tcPr>
            <w:tcW w:w="3120" w:type="dxa"/>
            <w:vAlign w:val="bottom"/>
            <w:tcBorders>
              <w:bottom w:val="single" w:sz="8" w:color="CCEBF8"/>
            </w:tcBorders>
            <w:shd w:val="clear" w:color="auto" w:fill="CCEBF8"/>
          </w:tcPr>
          <w:p>
            <w:pPr>
              <w:ind w:left="980"/>
              <w:spacing w:after="0"/>
              <w:rPr>
                <w:sz w:val="20"/>
                <w:szCs w:val="20"/>
                <w:color w:val="auto"/>
              </w:rPr>
            </w:pPr>
            <w:r>
              <w:rPr>
                <w:rFonts w:ascii="Arial" w:cs="Arial" w:eastAsia="Arial" w:hAnsi="Arial"/>
                <w:sz w:val="14"/>
                <w:szCs w:val="14"/>
                <w:b w:val="1"/>
                <w:bCs w:val="1"/>
                <w:color w:val="009BDE"/>
              </w:rPr>
              <w:t>Performance Metrics</w:t>
            </w:r>
          </w:p>
        </w:tc>
        <w:tc>
          <w:tcPr>
            <w:tcW w:w="3400" w:type="dxa"/>
            <w:vAlign w:val="bottom"/>
            <w:tcBorders>
              <w:bottom w:val="single" w:sz="8" w:color="CCEBF8"/>
            </w:tcBorders>
            <w:shd w:val="clear" w:color="auto" w:fill="CCEBF8"/>
          </w:tcPr>
          <w:p>
            <w:pPr>
              <w:ind w:left="1500"/>
              <w:spacing w:after="0"/>
              <w:rPr>
                <w:sz w:val="20"/>
                <w:szCs w:val="20"/>
                <w:color w:val="auto"/>
              </w:rPr>
            </w:pPr>
            <w:r>
              <w:rPr>
                <w:rFonts w:ascii="Arial" w:cs="Arial" w:eastAsia="Arial" w:hAnsi="Arial"/>
                <w:sz w:val="14"/>
                <w:szCs w:val="14"/>
                <w:b w:val="1"/>
                <w:bCs w:val="1"/>
                <w:color w:val="009BDE"/>
              </w:rPr>
              <w:t>Objective</w:t>
            </w:r>
          </w:p>
        </w:tc>
        <w:tc>
          <w:tcPr>
            <w:tcW w:w="0" w:type="dxa"/>
            <w:vAlign w:val="bottom"/>
          </w:tcPr>
          <w:p>
            <w:pPr>
              <w:spacing w:after="0"/>
              <w:rPr>
                <w:sz w:val="1"/>
                <w:szCs w:val="1"/>
                <w:color w:val="auto"/>
              </w:rPr>
            </w:pPr>
          </w:p>
        </w:tc>
      </w:tr>
      <w:tr>
        <w:trPr>
          <w:trHeight w:val="284"/>
        </w:trPr>
        <w:tc>
          <w:tcPr>
            <w:tcW w:w="1100" w:type="dxa"/>
            <w:vAlign w:val="bottom"/>
            <w:tcBorders>
              <w:top w:val="single" w:sz="8" w:color="009BDE"/>
            </w:tcBorders>
          </w:tcPr>
          <w:p>
            <w:pPr>
              <w:spacing w:after="0"/>
              <w:rPr>
                <w:sz w:val="24"/>
                <w:szCs w:val="24"/>
                <w:color w:val="auto"/>
              </w:rPr>
            </w:pPr>
          </w:p>
        </w:tc>
        <w:tc>
          <w:tcPr>
            <w:tcW w:w="3300" w:type="dxa"/>
            <w:vAlign w:val="bottom"/>
            <w:tcBorders>
              <w:top w:val="single" w:sz="8" w:color="009BDE"/>
            </w:tcBorders>
          </w:tcPr>
          <w:p>
            <w:pPr>
              <w:spacing w:after="0"/>
              <w:rPr>
                <w:sz w:val="24"/>
                <w:szCs w:val="24"/>
                <w:color w:val="auto"/>
              </w:rPr>
            </w:pPr>
          </w:p>
        </w:tc>
        <w:tc>
          <w:tcPr>
            <w:tcW w:w="3120" w:type="dxa"/>
            <w:vAlign w:val="bottom"/>
            <w:tcBorders>
              <w:top w:val="single" w:sz="8" w:color="009BDE"/>
            </w:tcBorders>
          </w:tcPr>
          <w:p>
            <w:pPr>
              <w:ind w:left="100"/>
              <w:spacing w:after="0"/>
              <w:rPr>
                <w:sz w:val="20"/>
                <w:szCs w:val="20"/>
                <w:color w:val="auto"/>
              </w:rPr>
            </w:pPr>
            <w:r>
              <w:rPr>
                <w:rFonts w:ascii="Arial" w:cs="Arial" w:eastAsia="Arial" w:hAnsi="Arial"/>
                <w:sz w:val="16"/>
                <w:szCs w:val="16"/>
                <w:color w:val="auto"/>
              </w:rPr>
              <w:t>Net Revenue</w:t>
            </w:r>
          </w:p>
        </w:tc>
        <w:tc>
          <w:tcPr>
            <w:tcW w:w="3400" w:type="dxa"/>
            <w:vAlign w:val="bottom"/>
            <w:tcBorders>
              <w:top w:val="single" w:sz="8" w:color="009BDE"/>
            </w:tcBorders>
          </w:tcPr>
          <w:p>
            <w:pPr>
              <w:ind w:left="240"/>
              <w:spacing w:after="0"/>
              <w:rPr>
                <w:sz w:val="20"/>
                <w:szCs w:val="20"/>
                <w:color w:val="auto"/>
              </w:rPr>
            </w:pPr>
            <w:r>
              <w:rPr>
                <w:rFonts w:ascii="Arial" w:cs="Arial" w:eastAsia="Arial" w:hAnsi="Arial"/>
                <w:sz w:val="16"/>
                <w:szCs w:val="16"/>
                <w:color w:val="auto"/>
              </w:rPr>
              <w:t>Measures annual top line growth</w:t>
            </w:r>
          </w:p>
        </w:tc>
        <w:tc>
          <w:tcPr>
            <w:tcW w:w="0" w:type="dxa"/>
            <w:vAlign w:val="bottom"/>
          </w:tcPr>
          <w:p>
            <w:pPr>
              <w:spacing w:after="0"/>
              <w:rPr>
                <w:sz w:val="1"/>
                <w:szCs w:val="1"/>
                <w:color w:val="auto"/>
              </w:rPr>
            </w:pPr>
          </w:p>
        </w:tc>
      </w:tr>
      <w:tr>
        <w:trPr>
          <w:trHeight w:val="97"/>
        </w:trPr>
        <w:tc>
          <w:tcPr>
            <w:tcW w:w="11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120" w:type="dxa"/>
            <w:vAlign w:val="bottom"/>
            <w:tcBorders>
              <w:bottom w:val="single" w:sz="8" w:color="009BDE"/>
            </w:tcBorders>
          </w:tcPr>
          <w:p>
            <w:pPr>
              <w:spacing w:after="0"/>
              <w:rPr>
                <w:sz w:val="8"/>
                <w:szCs w:val="8"/>
                <w:color w:val="auto"/>
              </w:rPr>
            </w:pPr>
          </w:p>
        </w:tc>
        <w:tc>
          <w:tcPr>
            <w:tcW w:w="340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100" w:type="dxa"/>
            <w:vAlign w:val="bottom"/>
            <w:vMerge w:val="restart"/>
          </w:tcPr>
          <w:p>
            <w:pPr>
              <w:ind w:left="80"/>
              <w:spacing w:after="0"/>
              <w:rPr>
                <w:sz w:val="20"/>
                <w:szCs w:val="20"/>
                <w:color w:val="auto"/>
              </w:rPr>
            </w:pPr>
            <w:r>
              <w:rPr>
                <w:rFonts w:ascii="Arial" w:cs="Arial" w:eastAsia="Arial" w:hAnsi="Arial"/>
                <w:sz w:val="16"/>
                <w:szCs w:val="16"/>
                <w:color w:val="auto"/>
              </w:rPr>
              <w:t>Annual</w:t>
            </w:r>
          </w:p>
        </w:tc>
        <w:tc>
          <w:tcPr>
            <w:tcW w:w="3300" w:type="dxa"/>
            <w:vAlign w:val="bottom"/>
          </w:tcPr>
          <w:p>
            <w:pPr>
              <w:spacing w:after="0"/>
              <w:rPr>
                <w:sz w:val="14"/>
                <w:szCs w:val="14"/>
                <w:color w:val="auto"/>
              </w:rPr>
            </w:pPr>
          </w:p>
        </w:tc>
        <w:tc>
          <w:tcPr>
            <w:tcW w:w="3120" w:type="dxa"/>
            <w:vAlign w:val="bottom"/>
          </w:tcPr>
          <w:p>
            <w:pPr>
              <w:ind w:left="100"/>
              <w:spacing w:after="0" w:line="167" w:lineRule="exact"/>
              <w:rPr>
                <w:sz w:val="20"/>
                <w:szCs w:val="20"/>
                <w:color w:val="auto"/>
              </w:rPr>
            </w:pPr>
            <w:r>
              <w:rPr>
                <w:rFonts w:ascii="Arial" w:cs="Arial" w:eastAsia="Arial" w:hAnsi="Arial"/>
                <w:sz w:val="16"/>
                <w:szCs w:val="16"/>
                <w:color w:val="auto"/>
              </w:rPr>
              <w:t>Operating Profit Dollars</w:t>
            </w:r>
          </w:p>
        </w:tc>
        <w:tc>
          <w:tcPr>
            <w:tcW w:w="3400" w:type="dxa"/>
            <w:vAlign w:val="bottom"/>
          </w:tcPr>
          <w:p>
            <w:pPr>
              <w:ind w:left="240"/>
              <w:spacing w:after="0" w:line="167" w:lineRule="exact"/>
              <w:rPr>
                <w:sz w:val="20"/>
                <w:szCs w:val="20"/>
                <w:color w:val="auto"/>
              </w:rPr>
            </w:pPr>
            <w:r>
              <w:rPr>
                <w:rFonts w:ascii="Arial" w:cs="Arial" w:eastAsia="Arial" w:hAnsi="Arial"/>
                <w:sz w:val="16"/>
                <w:szCs w:val="16"/>
                <w:color w:val="auto"/>
              </w:rPr>
              <w:t>Measures ability to maximize profitability</w:t>
            </w: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400" w:type="dxa"/>
            <w:vAlign w:val="bottom"/>
            <w:vMerge w:val="restart"/>
          </w:tcPr>
          <w:p>
            <w:pPr>
              <w:ind w:left="240"/>
              <w:spacing w:after="0"/>
              <w:rPr>
                <w:sz w:val="20"/>
                <w:szCs w:val="20"/>
                <w:color w:val="auto"/>
              </w:rPr>
            </w:pPr>
            <w:r>
              <w:rPr>
                <w:rFonts w:ascii="Arial" w:cs="Arial" w:eastAsia="Arial" w:hAnsi="Arial"/>
                <w:sz w:val="16"/>
                <w:szCs w:val="16"/>
                <w:color w:val="auto"/>
              </w:rPr>
              <w:t>and drive shareholder value</w:t>
            </w:r>
          </w:p>
        </w:tc>
        <w:tc>
          <w:tcPr>
            <w:tcW w:w="0" w:type="dxa"/>
            <w:vAlign w:val="bottom"/>
          </w:tcPr>
          <w:p>
            <w:pPr>
              <w:spacing w:after="0"/>
              <w:rPr>
                <w:sz w:val="1"/>
                <w:szCs w:val="1"/>
                <w:color w:val="auto"/>
              </w:rPr>
            </w:pPr>
          </w:p>
        </w:tc>
      </w:tr>
      <w:tr>
        <w:trPr>
          <w:trHeight w:val="118"/>
        </w:trPr>
        <w:tc>
          <w:tcPr>
            <w:tcW w:w="1100" w:type="dxa"/>
            <w:vAlign w:val="bottom"/>
            <w:vMerge w:val="restart"/>
          </w:tcPr>
          <w:p>
            <w:pPr>
              <w:ind w:left="80"/>
              <w:spacing w:after="0"/>
              <w:rPr>
                <w:sz w:val="20"/>
                <w:szCs w:val="20"/>
                <w:color w:val="auto"/>
              </w:rPr>
            </w:pPr>
            <w:r>
              <w:rPr>
                <w:rFonts w:ascii="Arial" w:cs="Arial" w:eastAsia="Arial" w:hAnsi="Arial"/>
                <w:sz w:val="16"/>
                <w:szCs w:val="16"/>
                <w:color w:val="auto"/>
              </w:rPr>
              <w:t>Incentive</w:t>
            </w:r>
          </w:p>
        </w:tc>
        <w:tc>
          <w:tcPr>
            <w:tcW w:w="33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3120" w:type="dxa"/>
            <w:vAlign w:val="bottom"/>
            <w:tcBorders>
              <w:bottom w:val="single" w:sz="8" w:color="009BDE"/>
            </w:tcBorders>
          </w:tcPr>
          <w:p>
            <w:pPr>
              <w:spacing w:after="0"/>
              <w:rPr>
                <w:sz w:val="8"/>
                <w:szCs w:val="8"/>
                <w:color w:val="auto"/>
              </w:rPr>
            </w:pPr>
          </w:p>
        </w:tc>
        <w:tc>
          <w:tcPr>
            <w:tcW w:w="340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120" w:type="dxa"/>
            <w:vAlign w:val="bottom"/>
          </w:tcPr>
          <w:p>
            <w:pPr>
              <w:ind w:left="100"/>
              <w:spacing w:after="0" w:line="168" w:lineRule="exact"/>
              <w:rPr>
                <w:sz w:val="20"/>
                <w:szCs w:val="20"/>
                <w:color w:val="auto"/>
              </w:rPr>
            </w:pPr>
            <w:r>
              <w:rPr>
                <w:rFonts w:ascii="Arial" w:cs="Arial" w:eastAsia="Arial" w:hAnsi="Arial"/>
                <w:sz w:val="16"/>
                <w:szCs w:val="16"/>
                <w:color w:val="auto"/>
              </w:rPr>
              <w:t>Individual Performance Adjustment</w:t>
            </w:r>
          </w:p>
        </w:tc>
        <w:tc>
          <w:tcPr>
            <w:tcW w:w="3400" w:type="dxa"/>
            <w:vAlign w:val="bottom"/>
          </w:tcPr>
          <w:p>
            <w:pPr>
              <w:ind w:left="240"/>
              <w:spacing w:after="0" w:line="168" w:lineRule="exact"/>
              <w:rPr>
                <w:sz w:val="20"/>
                <w:szCs w:val="20"/>
                <w:color w:val="auto"/>
              </w:rPr>
            </w:pPr>
            <w:r>
              <w:rPr>
                <w:rFonts w:ascii="Arial" w:cs="Arial" w:eastAsia="Arial" w:hAnsi="Arial"/>
                <w:sz w:val="16"/>
                <w:szCs w:val="16"/>
                <w:color w:val="auto"/>
              </w:rPr>
              <w:t>Measures performance against individual</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400" w:type="dxa"/>
            <w:vAlign w:val="bottom"/>
          </w:tcPr>
          <w:p>
            <w:pPr>
              <w:ind w:left="240"/>
              <w:spacing w:after="0"/>
              <w:rPr>
                <w:sz w:val="20"/>
                <w:szCs w:val="20"/>
                <w:color w:val="auto"/>
              </w:rPr>
            </w:pPr>
            <w:r>
              <w:rPr>
                <w:rFonts w:ascii="Arial" w:cs="Arial" w:eastAsia="Arial" w:hAnsi="Arial"/>
                <w:sz w:val="16"/>
                <w:szCs w:val="16"/>
                <w:color w:val="auto"/>
              </w:rPr>
              <w:t>objectives</w:t>
            </w:r>
          </w:p>
        </w:tc>
        <w:tc>
          <w:tcPr>
            <w:tcW w:w="0" w:type="dxa"/>
            <w:vAlign w:val="bottom"/>
          </w:tcPr>
          <w:p>
            <w:pPr>
              <w:spacing w:after="0"/>
              <w:rPr>
                <w:sz w:val="1"/>
                <w:szCs w:val="1"/>
                <w:color w:val="auto"/>
              </w:rPr>
            </w:pPr>
          </w:p>
        </w:tc>
      </w:tr>
      <w:tr>
        <w:trPr>
          <w:trHeight w:val="97"/>
        </w:trPr>
        <w:tc>
          <w:tcPr>
            <w:tcW w:w="1100" w:type="dxa"/>
            <w:vAlign w:val="bottom"/>
            <w:tcBorders>
              <w:bottom w:val="single" w:sz="8" w:color="009BDE"/>
            </w:tcBorders>
          </w:tcPr>
          <w:p>
            <w:pPr>
              <w:spacing w:after="0"/>
              <w:rPr>
                <w:sz w:val="8"/>
                <w:szCs w:val="8"/>
                <w:color w:val="auto"/>
              </w:rPr>
            </w:pPr>
          </w:p>
        </w:tc>
        <w:tc>
          <w:tcPr>
            <w:tcW w:w="3300" w:type="dxa"/>
            <w:vAlign w:val="bottom"/>
            <w:tcBorders>
              <w:bottom w:val="single" w:sz="8" w:color="009BDE"/>
            </w:tcBorders>
          </w:tcPr>
          <w:p>
            <w:pPr>
              <w:spacing w:after="0"/>
              <w:rPr>
                <w:sz w:val="8"/>
                <w:szCs w:val="8"/>
                <w:color w:val="auto"/>
              </w:rPr>
            </w:pPr>
          </w:p>
        </w:tc>
        <w:tc>
          <w:tcPr>
            <w:tcW w:w="3120" w:type="dxa"/>
            <w:vAlign w:val="bottom"/>
            <w:tcBorders>
              <w:bottom w:val="single" w:sz="8" w:color="009BDE"/>
            </w:tcBorders>
          </w:tcPr>
          <w:p>
            <w:pPr>
              <w:spacing w:after="0"/>
              <w:rPr>
                <w:sz w:val="8"/>
                <w:szCs w:val="8"/>
                <w:color w:val="auto"/>
              </w:rPr>
            </w:pPr>
          </w:p>
        </w:tc>
        <w:tc>
          <w:tcPr>
            <w:tcW w:w="340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1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120" w:type="dxa"/>
            <w:vAlign w:val="bottom"/>
          </w:tcPr>
          <w:p>
            <w:pPr>
              <w:ind w:left="100"/>
              <w:spacing w:after="0"/>
              <w:rPr>
                <w:sz w:val="20"/>
                <w:szCs w:val="20"/>
                <w:color w:val="auto"/>
              </w:rPr>
            </w:pPr>
            <w:r>
              <w:rPr>
                <w:rFonts w:ascii="Arial" w:cs="Arial" w:eastAsia="Arial" w:hAnsi="Arial"/>
                <w:sz w:val="16"/>
                <w:szCs w:val="16"/>
                <w:color w:val="auto"/>
              </w:rPr>
              <w:t>Cumulative Diluted Earnings Per Share</w:t>
            </w:r>
          </w:p>
        </w:tc>
        <w:tc>
          <w:tcPr>
            <w:tcW w:w="3400" w:type="dxa"/>
            <w:vAlign w:val="bottom"/>
          </w:tcPr>
          <w:p>
            <w:pPr>
              <w:ind w:left="240"/>
              <w:spacing w:after="0"/>
              <w:rPr>
                <w:sz w:val="20"/>
                <w:szCs w:val="20"/>
                <w:color w:val="auto"/>
              </w:rPr>
            </w:pPr>
            <w:r>
              <w:rPr>
                <w:rFonts w:ascii="Arial" w:cs="Arial" w:eastAsia="Arial" w:hAnsi="Arial"/>
                <w:sz w:val="16"/>
                <w:szCs w:val="16"/>
                <w:color w:val="auto"/>
              </w:rPr>
              <w:t>Measures long-term profitability</w:t>
            </w:r>
          </w:p>
        </w:tc>
        <w:tc>
          <w:tcPr>
            <w:tcW w:w="0" w:type="dxa"/>
            <w:vAlign w:val="bottom"/>
          </w:tcPr>
          <w:p>
            <w:pPr>
              <w:spacing w:after="0"/>
              <w:rPr>
                <w:sz w:val="1"/>
                <w:szCs w:val="1"/>
                <w:color w:val="auto"/>
              </w:rPr>
            </w:pPr>
          </w:p>
        </w:tc>
      </w:tr>
      <w:tr>
        <w:trPr>
          <w:trHeight w:val="97"/>
        </w:trPr>
        <w:tc>
          <w:tcPr>
            <w:tcW w:w="11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120" w:type="dxa"/>
            <w:vAlign w:val="bottom"/>
            <w:tcBorders>
              <w:bottom w:val="single" w:sz="8" w:color="009BDE"/>
            </w:tcBorders>
          </w:tcPr>
          <w:p>
            <w:pPr>
              <w:spacing w:after="0"/>
              <w:rPr>
                <w:sz w:val="8"/>
                <w:szCs w:val="8"/>
                <w:color w:val="auto"/>
              </w:rPr>
            </w:pPr>
          </w:p>
        </w:tc>
        <w:tc>
          <w:tcPr>
            <w:tcW w:w="340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400" w:type="dxa"/>
            <w:vAlign w:val="bottom"/>
          </w:tcPr>
          <w:p>
            <w:pPr>
              <w:ind w:left="240"/>
              <w:spacing w:after="0" w:line="167" w:lineRule="exact"/>
              <w:rPr>
                <w:sz w:val="20"/>
                <w:szCs w:val="20"/>
                <w:color w:val="auto"/>
              </w:rPr>
            </w:pPr>
            <w:r>
              <w:rPr>
                <w:rFonts w:ascii="Arial" w:cs="Arial" w:eastAsia="Arial" w:hAnsi="Arial"/>
                <w:sz w:val="16"/>
                <w:szCs w:val="16"/>
                <w:color w:val="auto"/>
              </w:rPr>
              <w:t>Our Relative TSR modifier promotes</w:t>
            </w: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400" w:type="dxa"/>
            <w:vAlign w:val="bottom"/>
          </w:tcPr>
          <w:p>
            <w:pPr>
              <w:ind w:left="240"/>
              <w:spacing w:after="0"/>
              <w:rPr>
                <w:sz w:val="20"/>
                <w:szCs w:val="20"/>
                <w:color w:val="auto"/>
              </w:rPr>
            </w:pPr>
            <w:r>
              <w:rPr>
                <w:rFonts w:ascii="Arial" w:cs="Arial" w:eastAsia="Arial" w:hAnsi="Arial"/>
                <w:sz w:val="16"/>
                <w:szCs w:val="16"/>
                <w:color w:val="auto"/>
              </w:rPr>
              <w:t>alignment of long-term incentive</w:t>
            </w:r>
          </w:p>
        </w:tc>
        <w:tc>
          <w:tcPr>
            <w:tcW w:w="0" w:type="dxa"/>
            <w:vAlign w:val="bottom"/>
          </w:tcPr>
          <w:p>
            <w:pPr>
              <w:spacing w:after="0"/>
              <w:rPr>
                <w:sz w:val="1"/>
                <w:szCs w:val="1"/>
                <w:color w:val="auto"/>
              </w:rPr>
            </w:pPr>
          </w:p>
        </w:tc>
      </w:tr>
      <w:tr>
        <w:trPr>
          <w:trHeight w:val="187"/>
        </w:trPr>
        <w:tc>
          <w:tcPr>
            <w:tcW w:w="1100" w:type="dxa"/>
            <w:vAlign w:val="bottom"/>
            <w:vMerge w:val="restart"/>
          </w:tcPr>
          <w:p>
            <w:pPr>
              <w:ind w:left="80"/>
              <w:spacing w:after="0"/>
              <w:rPr>
                <w:sz w:val="20"/>
                <w:szCs w:val="20"/>
                <w:color w:val="auto"/>
              </w:rPr>
            </w:pPr>
            <w:r>
              <w:rPr>
                <w:rFonts w:ascii="Arial" w:cs="Arial" w:eastAsia="Arial" w:hAnsi="Arial"/>
                <w:sz w:val="16"/>
                <w:szCs w:val="16"/>
                <w:color w:val="auto"/>
              </w:rPr>
              <w:t>Long-</w:t>
            </w:r>
          </w:p>
        </w:tc>
        <w:tc>
          <w:tcPr>
            <w:tcW w:w="3300" w:type="dxa"/>
            <w:vAlign w:val="bottom"/>
            <w:vMerge w:val="restart"/>
          </w:tcPr>
          <w:p>
            <w:pPr>
              <w:ind w:left="120"/>
              <w:spacing w:after="0"/>
              <w:rPr>
                <w:sz w:val="20"/>
                <w:szCs w:val="20"/>
                <w:color w:val="auto"/>
              </w:rPr>
            </w:pPr>
            <w:r>
              <w:rPr>
                <w:rFonts w:ascii="Arial" w:cs="Arial" w:eastAsia="Arial" w:hAnsi="Arial"/>
                <w:sz w:val="16"/>
                <w:szCs w:val="16"/>
                <w:color w:val="auto"/>
              </w:rPr>
              <w:t>Performance Share Units</w:t>
            </w:r>
          </w:p>
        </w:tc>
        <w:tc>
          <w:tcPr>
            <w:tcW w:w="3120" w:type="dxa"/>
            <w:vAlign w:val="bottom"/>
          </w:tcPr>
          <w:p>
            <w:pPr>
              <w:spacing w:after="0"/>
              <w:rPr>
                <w:sz w:val="16"/>
                <w:szCs w:val="16"/>
                <w:color w:val="auto"/>
              </w:rPr>
            </w:pPr>
          </w:p>
        </w:tc>
        <w:tc>
          <w:tcPr>
            <w:tcW w:w="3400" w:type="dxa"/>
            <w:vAlign w:val="bottom"/>
          </w:tcPr>
          <w:p>
            <w:pPr>
              <w:ind w:left="240"/>
              <w:spacing w:after="0"/>
              <w:rPr>
                <w:sz w:val="20"/>
                <w:szCs w:val="20"/>
                <w:color w:val="auto"/>
              </w:rPr>
            </w:pPr>
            <w:r>
              <w:rPr>
                <w:rFonts w:ascii="Arial" w:cs="Arial" w:eastAsia="Arial" w:hAnsi="Arial"/>
                <w:sz w:val="16"/>
                <w:szCs w:val="16"/>
                <w:color w:val="auto"/>
              </w:rPr>
              <w:t>compensation award outcomes with relative</w:t>
            </w: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3300" w:type="dxa"/>
            <w:vAlign w:val="bottom"/>
            <w:vMerge w:val="continue"/>
          </w:tcPr>
          <w:p>
            <w:pPr>
              <w:spacing w:after="0"/>
              <w:rPr>
                <w:sz w:val="8"/>
                <w:szCs w:val="8"/>
                <w:color w:val="auto"/>
              </w:rPr>
            </w:pPr>
          </w:p>
        </w:tc>
        <w:tc>
          <w:tcPr>
            <w:tcW w:w="3120" w:type="dxa"/>
            <w:vAlign w:val="bottom"/>
            <w:vMerge w:val="restart"/>
          </w:tcPr>
          <w:p>
            <w:pPr>
              <w:ind w:left="100"/>
              <w:spacing w:after="0"/>
              <w:rPr>
                <w:sz w:val="20"/>
                <w:szCs w:val="20"/>
                <w:color w:val="auto"/>
              </w:rPr>
            </w:pPr>
            <w:r>
              <w:rPr>
                <w:rFonts w:ascii="Arial" w:cs="Arial" w:eastAsia="Arial" w:hAnsi="Arial"/>
                <w:sz w:val="16"/>
                <w:szCs w:val="16"/>
                <w:color w:val="auto"/>
              </w:rPr>
              <w:t>Total Shareholder Return</w:t>
            </w:r>
          </w:p>
        </w:tc>
        <w:tc>
          <w:tcPr>
            <w:tcW w:w="3400" w:type="dxa"/>
            <w:vAlign w:val="bottom"/>
            <w:vMerge w:val="restart"/>
          </w:tcPr>
          <w:p>
            <w:pPr>
              <w:ind w:left="240"/>
              <w:spacing w:after="0"/>
              <w:rPr>
                <w:sz w:val="20"/>
                <w:szCs w:val="20"/>
                <w:color w:val="auto"/>
              </w:rPr>
            </w:pPr>
            <w:r>
              <w:rPr>
                <w:rFonts w:ascii="Arial" w:cs="Arial" w:eastAsia="Arial" w:hAnsi="Arial"/>
                <w:sz w:val="16"/>
                <w:szCs w:val="16"/>
                <w:color w:val="auto"/>
              </w:rPr>
              <w:t>shareholder returns. Modification</w:t>
            </w:r>
          </w:p>
        </w:tc>
        <w:tc>
          <w:tcPr>
            <w:tcW w:w="0" w:type="dxa"/>
            <w:vAlign w:val="bottom"/>
          </w:tcPr>
          <w:p>
            <w:pPr>
              <w:spacing w:after="0"/>
              <w:rPr>
                <w:sz w:val="1"/>
                <w:szCs w:val="1"/>
                <w:color w:val="auto"/>
              </w:rPr>
            </w:pPr>
          </w:p>
        </w:tc>
      </w:tr>
      <w:tr>
        <w:trPr>
          <w:trHeight w:val="94"/>
        </w:trPr>
        <w:tc>
          <w:tcPr>
            <w:tcW w:w="1100" w:type="dxa"/>
            <w:vAlign w:val="bottom"/>
            <w:vMerge w:val="restart"/>
          </w:tcPr>
          <w:p>
            <w:pPr>
              <w:ind w:left="80"/>
              <w:spacing w:after="0"/>
              <w:rPr>
                <w:sz w:val="20"/>
                <w:szCs w:val="20"/>
                <w:color w:val="auto"/>
              </w:rPr>
            </w:pPr>
            <w:r>
              <w:rPr>
                <w:rFonts w:ascii="Arial" w:cs="Arial" w:eastAsia="Arial" w:hAnsi="Arial"/>
                <w:sz w:val="16"/>
                <w:szCs w:val="16"/>
                <w:color w:val="auto"/>
              </w:rPr>
              <w:t>term</w:t>
            </w:r>
          </w:p>
        </w:tc>
        <w:tc>
          <w:tcPr>
            <w:tcW w:w="3300" w:type="dxa"/>
            <w:vAlign w:val="bottom"/>
            <w:vMerge w:val="continue"/>
          </w:tcPr>
          <w:p>
            <w:pPr>
              <w:spacing w:after="0"/>
              <w:rPr>
                <w:sz w:val="8"/>
                <w:szCs w:val="8"/>
                <w:color w:val="auto"/>
              </w:rPr>
            </w:pPr>
          </w:p>
        </w:tc>
        <w:tc>
          <w:tcPr>
            <w:tcW w:w="3120" w:type="dxa"/>
            <w:vAlign w:val="bottom"/>
            <w:vMerge w:val="continue"/>
          </w:tcPr>
          <w:p>
            <w:pPr>
              <w:spacing w:after="0"/>
              <w:rPr>
                <w:sz w:val="8"/>
                <w:szCs w:val="8"/>
                <w:color w:val="auto"/>
              </w:rPr>
            </w:pPr>
          </w:p>
        </w:tc>
        <w:tc>
          <w:tcPr>
            <w:tcW w:w="3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400" w:type="dxa"/>
            <w:vAlign w:val="bottom"/>
            <w:vMerge w:val="restart"/>
          </w:tcPr>
          <w:p>
            <w:pPr>
              <w:ind w:left="240"/>
              <w:spacing w:after="0"/>
              <w:rPr>
                <w:sz w:val="20"/>
                <w:szCs w:val="20"/>
                <w:color w:val="auto"/>
              </w:rPr>
            </w:pPr>
            <w:r>
              <w:rPr>
                <w:rFonts w:ascii="Arial" w:cs="Arial" w:eastAsia="Arial" w:hAnsi="Arial"/>
                <w:sz w:val="16"/>
                <w:szCs w:val="16"/>
                <w:color w:val="auto"/>
              </w:rPr>
              <w:t>determined based on company value,</w:t>
            </w:r>
          </w:p>
        </w:tc>
        <w:tc>
          <w:tcPr>
            <w:tcW w:w="0" w:type="dxa"/>
            <w:vAlign w:val="bottom"/>
          </w:tcPr>
          <w:p>
            <w:pPr>
              <w:spacing w:after="0"/>
              <w:rPr>
                <w:sz w:val="1"/>
                <w:szCs w:val="1"/>
                <w:color w:val="auto"/>
              </w:rPr>
            </w:pPr>
          </w:p>
        </w:tc>
      </w:tr>
      <w:tr>
        <w:trPr>
          <w:trHeight w:val="94"/>
        </w:trPr>
        <w:tc>
          <w:tcPr>
            <w:tcW w:w="1100" w:type="dxa"/>
            <w:vAlign w:val="bottom"/>
            <w:vMerge w:val="restart"/>
          </w:tcPr>
          <w:p>
            <w:pPr>
              <w:ind w:left="80"/>
              <w:spacing w:after="0"/>
              <w:rPr>
                <w:sz w:val="20"/>
                <w:szCs w:val="20"/>
                <w:color w:val="auto"/>
              </w:rPr>
            </w:pPr>
            <w:r>
              <w:rPr>
                <w:rFonts w:ascii="Arial" w:cs="Arial" w:eastAsia="Arial" w:hAnsi="Arial"/>
                <w:sz w:val="16"/>
                <w:szCs w:val="16"/>
                <w:color w:val="auto"/>
              </w:rPr>
              <w:t>Incentive</w:t>
            </w:r>
          </w:p>
        </w:tc>
        <w:tc>
          <w:tcPr>
            <w:tcW w:w="33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00" w:type="dxa"/>
            <w:vAlign w:val="bottom"/>
            <w:vMerge w:val="continue"/>
          </w:tcPr>
          <w:p>
            <w:pPr>
              <w:spacing w:after="0"/>
              <w:rPr>
                <w:sz w:val="10"/>
                <w:szCs w:val="10"/>
                <w:color w:val="auto"/>
              </w:rPr>
            </w:pPr>
          </w:p>
        </w:tc>
        <w:tc>
          <w:tcPr>
            <w:tcW w:w="33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400" w:type="dxa"/>
            <w:vAlign w:val="bottom"/>
            <w:vMerge w:val="restart"/>
          </w:tcPr>
          <w:p>
            <w:pPr>
              <w:ind w:left="240"/>
              <w:spacing w:after="0"/>
              <w:rPr>
                <w:sz w:val="20"/>
                <w:szCs w:val="20"/>
                <w:color w:val="auto"/>
              </w:rPr>
            </w:pPr>
            <w:r>
              <w:rPr>
                <w:rFonts w:ascii="Arial" w:cs="Arial" w:eastAsia="Arial" w:hAnsi="Arial"/>
                <w:sz w:val="16"/>
                <w:szCs w:val="16"/>
                <w:color w:val="auto"/>
              </w:rPr>
              <w:t>provides direct alignment with the</w:t>
            </w:r>
          </w:p>
        </w:tc>
        <w:tc>
          <w:tcPr>
            <w:tcW w:w="0" w:type="dxa"/>
            <w:vAlign w:val="bottom"/>
          </w:tcPr>
          <w:p>
            <w:pPr>
              <w:spacing w:after="0"/>
              <w:rPr>
                <w:sz w:val="1"/>
                <w:szCs w:val="1"/>
                <w:color w:val="auto"/>
              </w:rPr>
            </w:pPr>
          </w:p>
        </w:tc>
      </w:tr>
      <w:tr>
        <w:trPr>
          <w:trHeight w:val="70"/>
        </w:trPr>
        <w:tc>
          <w:tcPr>
            <w:tcW w:w="1100" w:type="dxa"/>
            <w:vAlign w:val="bottom"/>
          </w:tcPr>
          <w:p>
            <w:pPr>
              <w:spacing w:after="0"/>
              <w:rPr>
                <w:sz w:val="6"/>
                <w:szCs w:val="6"/>
                <w:color w:val="auto"/>
              </w:rPr>
            </w:pPr>
          </w:p>
        </w:tc>
        <w:tc>
          <w:tcPr>
            <w:tcW w:w="3300" w:type="dxa"/>
            <w:vAlign w:val="bottom"/>
          </w:tcPr>
          <w:p>
            <w:pPr>
              <w:spacing w:after="0"/>
              <w:rPr>
                <w:sz w:val="6"/>
                <w:szCs w:val="6"/>
                <w:color w:val="auto"/>
              </w:rPr>
            </w:pPr>
          </w:p>
        </w:tc>
        <w:tc>
          <w:tcPr>
            <w:tcW w:w="3120" w:type="dxa"/>
            <w:vAlign w:val="bottom"/>
          </w:tcPr>
          <w:p>
            <w:pPr>
              <w:spacing w:after="0"/>
              <w:rPr>
                <w:sz w:val="6"/>
                <w:szCs w:val="6"/>
                <w:color w:val="auto"/>
              </w:rPr>
            </w:pPr>
          </w:p>
        </w:tc>
        <w:tc>
          <w:tcPr>
            <w:tcW w:w="3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400" w:type="dxa"/>
            <w:vAlign w:val="bottom"/>
          </w:tcPr>
          <w:p>
            <w:pPr>
              <w:ind w:left="240"/>
              <w:spacing w:after="0"/>
              <w:rPr>
                <w:sz w:val="20"/>
                <w:szCs w:val="20"/>
                <w:color w:val="auto"/>
              </w:rPr>
            </w:pPr>
            <w:r>
              <w:rPr>
                <w:rFonts w:ascii="Arial" w:cs="Arial" w:eastAsia="Arial" w:hAnsi="Arial"/>
                <w:sz w:val="16"/>
                <w:szCs w:val="16"/>
                <w:color w:val="auto"/>
              </w:rPr>
              <w:t>shareholder experience of value creation.</w:t>
            </w:r>
          </w:p>
        </w:tc>
        <w:tc>
          <w:tcPr>
            <w:tcW w:w="0" w:type="dxa"/>
            <w:vAlign w:val="bottom"/>
          </w:tcPr>
          <w:p>
            <w:pPr>
              <w:spacing w:after="0"/>
              <w:rPr>
                <w:sz w:val="1"/>
                <w:szCs w:val="1"/>
                <w:color w:val="auto"/>
              </w:rPr>
            </w:pPr>
          </w:p>
        </w:tc>
      </w:tr>
      <w:tr>
        <w:trPr>
          <w:trHeight w:val="97"/>
        </w:trPr>
        <w:tc>
          <w:tcPr>
            <w:tcW w:w="1100" w:type="dxa"/>
            <w:vAlign w:val="bottom"/>
          </w:tcPr>
          <w:p>
            <w:pPr>
              <w:spacing w:after="0"/>
              <w:rPr>
                <w:sz w:val="8"/>
                <w:szCs w:val="8"/>
                <w:color w:val="auto"/>
              </w:rPr>
            </w:pPr>
          </w:p>
        </w:tc>
        <w:tc>
          <w:tcPr>
            <w:tcW w:w="3300" w:type="dxa"/>
            <w:vAlign w:val="bottom"/>
            <w:tcBorders>
              <w:bottom w:val="single" w:sz="8" w:color="009BDE"/>
            </w:tcBorders>
          </w:tcPr>
          <w:p>
            <w:pPr>
              <w:spacing w:after="0"/>
              <w:rPr>
                <w:sz w:val="8"/>
                <w:szCs w:val="8"/>
                <w:color w:val="auto"/>
              </w:rPr>
            </w:pPr>
          </w:p>
        </w:tc>
        <w:tc>
          <w:tcPr>
            <w:tcW w:w="3120" w:type="dxa"/>
            <w:vAlign w:val="bottom"/>
            <w:tcBorders>
              <w:bottom w:val="single" w:sz="8" w:color="009BDE"/>
            </w:tcBorders>
          </w:tcPr>
          <w:p>
            <w:pPr>
              <w:spacing w:after="0"/>
              <w:rPr>
                <w:sz w:val="8"/>
                <w:szCs w:val="8"/>
                <w:color w:val="auto"/>
              </w:rPr>
            </w:pPr>
          </w:p>
        </w:tc>
        <w:tc>
          <w:tcPr>
            <w:tcW w:w="340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3300" w:type="dxa"/>
            <w:vAlign w:val="bottom"/>
          </w:tcPr>
          <w:p>
            <w:pPr>
              <w:ind w:left="120"/>
              <w:spacing w:after="0" w:line="167" w:lineRule="exact"/>
              <w:rPr>
                <w:sz w:val="20"/>
                <w:szCs w:val="20"/>
                <w:color w:val="auto"/>
              </w:rPr>
            </w:pPr>
            <w:r>
              <w:rPr>
                <w:rFonts w:ascii="Arial" w:cs="Arial" w:eastAsia="Arial" w:hAnsi="Arial"/>
                <w:sz w:val="16"/>
                <w:szCs w:val="16"/>
                <w:color w:val="auto"/>
              </w:rPr>
              <w:t>Restricted Stock Units</w:t>
            </w:r>
          </w:p>
        </w:tc>
        <w:tc>
          <w:tcPr>
            <w:tcW w:w="3120" w:type="dxa"/>
            <w:vAlign w:val="bottom"/>
          </w:tcPr>
          <w:p>
            <w:pPr>
              <w:ind w:left="100"/>
              <w:spacing w:after="0" w:line="167" w:lineRule="exact"/>
              <w:rPr>
                <w:sz w:val="20"/>
                <w:szCs w:val="20"/>
                <w:color w:val="auto"/>
              </w:rPr>
            </w:pPr>
            <w:r>
              <w:rPr>
                <w:rFonts w:ascii="Arial" w:cs="Arial" w:eastAsia="Arial" w:hAnsi="Arial"/>
                <w:sz w:val="16"/>
                <w:szCs w:val="16"/>
                <w:color w:val="auto"/>
              </w:rPr>
              <w:t>Stock Price</w:t>
            </w:r>
          </w:p>
        </w:tc>
        <w:tc>
          <w:tcPr>
            <w:tcW w:w="3400" w:type="dxa"/>
            <w:vAlign w:val="bottom"/>
          </w:tcPr>
          <w:p>
            <w:pPr>
              <w:ind w:left="240"/>
              <w:spacing w:after="0" w:line="167" w:lineRule="exact"/>
              <w:rPr>
                <w:sz w:val="20"/>
                <w:szCs w:val="20"/>
                <w:color w:val="auto"/>
              </w:rPr>
            </w:pPr>
            <w:r>
              <w:rPr>
                <w:rFonts w:ascii="Arial" w:cs="Arial" w:eastAsia="Arial" w:hAnsi="Arial"/>
                <w:sz w:val="16"/>
                <w:szCs w:val="16"/>
                <w:color w:val="auto"/>
              </w:rPr>
              <w:t>Provides alignment with company</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400" w:type="dxa"/>
            <w:vAlign w:val="bottom"/>
          </w:tcPr>
          <w:p>
            <w:pPr>
              <w:ind w:left="24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97"/>
        </w:trPr>
        <w:tc>
          <w:tcPr>
            <w:tcW w:w="1100" w:type="dxa"/>
            <w:vAlign w:val="bottom"/>
            <w:tcBorders>
              <w:bottom w:val="single" w:sz="8" w:color="009BDE"/>
            </w:tcBorders>
          </w:tcPr>
          <w:p>
            <w:pPr>
              <w:spacing w:after="0"/>
              <w:rPr>
                <w:sz w:val="8"/>
                <w:szCs w:val="8"/>
                <w:color w:val="auto"/>
              </w:rPr>
            </w:pPr>
          </w:p>
        </w:tc>
        <w:tc>
          <w:tcPr>
            <w:tcW w:w="3300" w:type="dxa"/>
            <w:vAlign w:val="bottom"/>
            <w:tcBorders>
              <w:bottom w:val="single" w:sz="8" w:color="009BDE"/>
            </w:tcBorders>
          </w:tcPr>
          <w:p>
            <w:pPr>
              <w:spacing w:after="0"/>
              <w:rPr>
                <w:sz w:val="8"/>
                <w:szCs w:val="8"/>
                <w:color w:val="auto"/>
              </w:rPr>
            </w:pPr>
          </w:p>
        </w:tc>
        <w:tc>
          <w:tcPr>
            <w:tcW w:w="3120" w:type="dxa"/>
            <w:vAlign w:val="bottom"/>
            <w:tcBorders>
              <w:bottom w:val="single" w:sz="8" w:color="009BDE"/>
            </w:tcBorders>
          </w:tcPr>
          <w:p>
            <w:pPr>
              <w:spacing w:after="0"/>
              <w:rPr>
                <w:sz w:val="8"/>
                <w:szCs w:val="8"/>
                <w:color w:val="auto"/>
              </w:rPr>
            </w:pPr>
          </w:p>
        </w:tc>
        <w:tc>
          <w:tcPr>
            <w:tcW w:w="340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789"/>
        </w:trPr>
        <w:tc>
          <w:tcPr>
            <w:tcW w:w="1100" w:type="dxa"/>
            <w:vAlign w:val="bottom"/>
          </w:tcPr>
          <w:p>
            <w:pPr>
              <w:ind w:left="60"/>
              <w:spacing w:after="0"/>
              <w:rPr>
                <w:sz w:val="20"/>
                <w:szCs w:val="20"/>
                <w:color w:val="auto"/>
              </w:rPr>
            </w:pPr>
            <w:r>
              <w:rPr>
                <w:rFonts w:ascii="Arial" w:cs="Arial" w:eastAsia="Arial" w:hAnsi="Arial"/>
                <w:sz w:val="16"/>
                <w:szCs w:val="16"/>
                <w:b w:val="1"/>
                <w:bCs w:val="1"/>
                <w:color w:val="FCFCFC"/>
              </w:rPr>
              <w:t>    30</w:t>
            </w:r>
          </w:p>
        </w:tc>
        <w:tc>
          <w:tcPr>
            <w:tcW w:w="3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-258445</wp:posOffset>
            </wp:positionV>
            <wp:extent cx="6964045" cy="39052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Annual Incentive Compensation</w:t>
      </w:r>
    </w:p>
    <w:p>
      <w:pPr>
        <w:spacing w:after="0" w:line="100"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The annual incentive plan is designed to incentivize our NEOs to achieve critical goals that drive our financial and operational results and help to enhance shareholder value. The Committee is responsible for approving performance goals and related payout levels, setting each NEO’s target award opportunity and approving payouts under the annual incentive plan, each as more fully described below. The Committee reserves the right to reduce otherwise earned incentive payouts as it deems appropriate.</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9BDE"/>
        </w:rPr>
        <w:t>Target Annual Incentive Opportunity</w:t>
      </w:r>
    </w:p>
    <w:p>
      <w:pPr>
        <w:spacing w:after="0" w:line="110"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The Committee assigned each NEO a target annual incentive award opportunity (expressed as a percentage of base salary) based on competitive market data and the executive’s position, responsibilities and role. The annual incentive award opportunity was increased for Mr. Cocks in 2025 from 175% to 200% to more closely align with market as part of the planned progression of Mr. Cocks’ compensation as CEO. In addition, the annual incentive award opportunity for Mr. Sibley increased in 2025 from 75% to 85% to more closely align with market.</w:t>
      </w: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67"/>
        </w:trPr>
        <w:tc>
          <w:tcPr>
            <w:tcW w:w="3400" w:type="dxa"/>
            <w:vAlign w:val="bottom"/>
            <w:shd w:val="clear" w:color="auto" w:fill="CCEBF8"/>
          </w:tcPr>
          <w:p>
            <w:pPr>
              <w:spacing w:after="0"/>
              <w:rPr>
                <w:sz w:val="5"/>
                <w:szCs w:val="5"/>
                <w:color w:val="auto"/>
              </w:rPr>
            </w:pPr>
          </w:p>
        </w:tc>
        <w:tc>
          <w:tcPr>
            <w:tcW w:w="5300" w:type="dxa"/>
            <w:vAlign w:val="bottom"/>
            <w:shd w:val="clear" w:color="auto" w:fill="CCEBF8"/>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73"/>
        </w:trPr>
        <w:tc>
          <w:tcPr>
            <w:tcW w:w="3400" w:type="dxa"/>
            <w:vAlign w:val="bottom"/>
            <w:shd w:val="clear" w:color="auto" w:fill="CCEBF8"/>
          </w:tcPr>
          <w:p>
            <w:pPr>
              <w:spacing w:after="0"/>
              <w:rPr>
                <w:sz w:val="15"/>
                <w:szCs w:val="15"/>
                <w:color w:val="auto"/>
              </w:rPr>
            </w:pPr>
          </w:p>
        </w:tc>
        <w:tc>
          <w:tcPr>
            <w:tcW w:w="5360" w:type="dxa"/>
            <w:vAlign w:val="bottom"/>
            <w:gridSpan w:val="3"/>
          </w:tcPr>
          <w:p>
            <w:pPr>
              <w:jc w:val="center"/>
              <w:ind w:left="2340"/>
              <w:spacing w:after="0" w:line="173" w:lineRule="exact"/>
              <w:rPr>
                <w:sz w:val="20"/>
                <w:szCs w:val="20"/>
                <w:color w:val="auto"/>
              </w:rPr>
            </w:pPr>
            <w:r>
              <w:rPr>
                <w:rFonts w:ascii="Arial" w:cs="Arial" w:eastAsia="Arial" w:hAnsi="Arial"/>
                <w:sz w:val="16"/>
                <w:szCs w:val="16"/>
                <w:b w:val="1"/>
                <w:bCs w:val="1"/>
                <w:color w:val="009BDE"/>
              </w:rPr>
              <w:t xml:space="preserve">2025 Target Annual Incentive Award    </w:t>
            </w:r>
          </w:p>
        </w:tc>
      </w:tr>
      <w:tr>
        <w:trPr>
          <w:trHeight w:val="268"/>
        </w:trPr>
        <w:tc>
          <w:tcPr>
            <w:tcW w:w="3400" w:type="dxa"/>
            <w:vAlign w:val="bottom"/>
            <w:tcBorders>
              <w:bottom w:val="single" w:sz="8" w:color="CCEBF8"/>
            </w:tcBorders>
            <w:shd w:val="clear" w:color="auto" w:fill="CCEBF8"/>
          </w:tcPr>
          <w:p>
            <w:pPr>
              <w:ind w:left="760"/>
              <w:spacing w:after="0"/>
              <w:rPr>
                <w:sz w:val="20"/>
                <w:szCs w:val="20"/>
                <w:color w:val="auto"/>
              </w:rPr>
            </w:pPr>
            <w:r>
              <w:rPr>
                <w:rFonts w:ascii="Arial" w:cs="Arial" w:eastAsia="Arial" w:hAnsi="Arial"/>
                <w:sz w:val="16"/>
                <w:szCs w:val="16"/>
                <w:b w:val="1"/>
                <w:bCs w:val="1"/>
                <w:color w:val="009BDE"/>
              </w:rPr>
              <w:t>Named Executive Officer</w:t>
            </w:r>
          </w:p>
        </w:tc>
        <w:tc>
          <w:tcPr>
            <w:tcW w:w="5360" w:type="dxa"/>
            <w:vAlign w:val="bottom"/>
            <w:gridSpan w:val="3"/>
          </w:tcPr>
          <w:p>
            <w:pPr>
              <w:jc w:val="center"/>
              <w:ind w:left="2280"/>
              <w:spacing w:after="0"/>
              <w:rPr>
                <w:sz w:val="20"/>
                <w:szCs w:val="20"/>
                <w:color w:val="auto"/>
              </w:rPr>
            </w:pPr>
            <w:r>
              <w:rPr>
                <w:rFonts w:ascii="Arial" w:cs="Arial" w:eastAsia="Arial" w:hAnsi="Arial"/>
                <w:sz w:val="16"/>
                <w:szCs w:val="16"/>
                <w:b w:val="1"/>
                <w:bCs w:val="1"/>
                <w:color w:val="009BDE"/>
              </w:rPr>
              <w:t>Opportunity (% of Base Salary)</w:t>
            </w:r>
          </w:p>
        </w:tc>
      </w:tr>
      <w:tr>
        <w:trPr>
          <w:trHeight w:val="284"/>
        </w:trPr>
        <w:tc>
          <w:tcPr>
            <w:tcW w:w="3400" w:type="dxa"/>
            <w:vAlign w:val="bottom"/>
            <w:tcBorders>
              <w:top w:val="single" w:sz="8" w:color="009BDE"/>
            </w:tcBorders>
          </w:tcPr>
          <w:p>
            <w:pPr>
              <w:jc w:val="center"/>
              <w:spacing w:after="0"/>
              <w:rPr>
                <w:sz w:val="20"/>
                <w:szCs w:val="20"/>
                <w:color w:val="auto"/>
              </w:rPr>
            </w:pPr>
            <w:r>
              <w:rPr>
                <w:rFonts w:ascii="Arial" w:cs="Arial" w:eastAsia="Arial" w:hAnsi="Arial"/>
                <w:sz w:val="16"/>
                <w:szCs w:val="16"/>
                <w:color w:val="auto"/>
              </w:rPr>
              <w:t>Chris Cocks</w:t>
            </w:r>
          </w:p>
        </w:tc>
        <w:tc>
          <w:tcPr>
            <w:tcW w:w="5300" w:type="dxa"/>
            <w:vAlign w:val="bottom"/>
            <w:tcBorders>
              <w:top w:val="single" w:sz="8" w:color="009BDE"/>
            </w:tcBorders>
          </w:tcPr>
          <w:p>
            <w:pPr>
              <w:jc w:val="center"/>
              <w:ind w:left="2360"/>
              <w:spacing w:after="0"/>
              <w:rPr>
                <w:sz w:val="20"/>
                <w:szCs w:val="20"/>
                <w:color w:val="auto"/>
              </w:rPr>
            </w:pPr>
            <w:r>
              <w:rPr>
                <w:rFonts w:ascii="Arial" w:cs="Arial" w:eastAsia="Arial" w:hAnsi="Arial"/>
                <w:sz w:val="16"/>
                <w:szCs w:val="16"/>
                <w:color w:val="auto"/>
              </w:rPr>
              <w:t>200%</w:t>
            </w:r>
          </w:p>
        </w:tc>
        <w:tc>
          <w:tcPr>
            <w:tcW w:w="20" w:type="dxa"/>
            <w:vAlign w:val="bottom"/>
            <w:tcBorders>
              <w:top w:val="single" w:sz="8" w:color="009BDE"/>
            </w:tcBorders>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3400" w:type="dxa"/>
            <w:vAlign w:val="bottom"/>
            <w:tcBorders>
              <w:bottom w:val="single" w:sz="8" w:color="009BDE"/>
            </w:tcBorders>
          </w:tcPr>
          <w:p>
            <w:pPr>
              <w:spacing w:after="0"/>
              <w:rPr>
                <w:sz w:val="8"/>
                <w:szCs w:val="8"/>
                <w:color w:val="auto"/>
              </w:rPr>
            </w:pPr>
          </w:p>
        </w:tc>
        <w:tc>
          <w:tcPr>
            <w:tcW w:w="5300" w:type="dxa"/>
            <w:vAlign w:val="bottom"/>
            <w:tcBorders>
              <w:bottom w:val="single" w:sz="8" w:color="009BDE"/>
            </w:tcBorders>
          </w:tcPr>
          <w:p>
            <w:pPr>
              <w:spacing w:after="0"/>
              <w:rPr>
                <w:sz w:val="8"/>
                <w:szCs w:val="8"/>
                <w:color w:val="auto"/>
              </w:rPr>
            </w:pPr>
          </w:p>
        </w:tc>
        <w:tc>
          <w:tcPr>
            <w:tcW w:w="2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r>
        <w:trPr>
          <w:trHeight w:val="284"/>
        </w:trPr>
        <w:tc>
          <w:tcPr>
            <w:tcW w:w="3400" w:type="dxa"/>
            <w:vAlign w:val="bottom"/>
          </w:tcPr>
          <w:p>
            <w:pPr>
              <w:jc w:val="center"/>
              <w:spacing w:after="0"/>
              <w:rPr>
                <w:sz w:val="20"/>
                <w:szCs w:val="20"/>
                <w:color w:val="auto"/>
              </w:rPr>
            </w:pPr>
            <w:r>
              <w:rPr>
                <w:rFonts w:ascii="Arial" w:cs="Arial" w:eastAsia="Arial" w:hAnsi="Arial"/>
                <w:sz w:val="16"/>
                <w:szCs w:val="16"/>
                <w:color w:val="auto"/>
              </w:rPr>
              <w:t>Gina Goetter</w:t>
            </w:r>
          </w:p>
        </w:tc>
        <w:tc>
          <w:tcPr>
            <w:tcW w:w="5300" w:type="dxa"/>
            <w:vAlign w:val="bottom"/>
          </w:tcPr>
          <w:p>
            <w:pPr>
              <w:jc w:val="center"/>
              <w:ind w:left="2360"/>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3400" w:type="dxa"/>
            <w:vAlign w:val="bottom"/>
            <w:tcBorders>
              <w:bottom w:val="single" w:sz="8" w:color="009BDE"/>
            </w:tcBorders>
          </w:tcPr>
          <w:p>
            <w:pPr>
              <w:spacing w:after="0"/>
              <w:rPr>
                <w:sz w:val="8"/>
                <w:szCs w:val="8"/>
                <w:color w:val="auto"/>
              </w:rPr>
            </w:pPr>
          </w:p>
        </w:tc>
        <w:tc>
          <w:tcPr>
            <w:tcW w:w="5300" w:type="dxa"/>
            <w:vAlign w:val="bottom"/>
            <w:tcBorders>
              <w:bottom w:val="single" w:sz="8" w:color="009BDE"/>
            </w:tcBorders>
          </w:tcPr>
          <w:p>
            <w:pPr>
              <w:spacing w:after="0"/>
              <w:rPr>
                <w:sz w:val="8"/>
                <w:szCs w:val="8"/>
                <w:color w:val="auto"/>
              </w:rPr>
            </w:pPr>
          </w:p>
        </w:tc>
        <w:tc>
          <w:tcPr>
            <w:tcW w:w="2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r>
        <w:trPr>
          <w:trHeight w:val="284"/>
        </w:trPr>
        <w:tc>
          <w:tcPr>
            <w:tcW w:w="3400" w:type="dxa"/>
            <w:vAlign w:val="bottom"/>
          </w:tcPr>
          <w:p>
            <w:pPr>
              <w:jc w:val="center"/>
              <w:spacing w:after="0"/>
              <w:rPr>
                <w:sz w:val="20"/>
                <w:szCs w:val="20"/>
                <w:color w:val="auto"/>
              </w:rPr>
            </w:pPr>
            <w:r>
              <w:rPr>
                <w:rFonts w:ascii="Arial" w:cs="Arial" w:eastAsia="Arial" w:hAnsi="Arial"/>
                <w:sz w:val="16"/>
                <w:szCs w:val="16"/>
                <w:color w:val="auto"/>
                <w:w w:val="99"/>
              </w:rPr>
              <w:t>John Hight</w:t>
            </w:r>
          </w:p>
        </w:tc>
        <w:tc>
          <w:tcPr>
            <w:tcW w:w="5300" w:type="dxa"/>
            <w:vAlign w:val="bottom"/>
          </w:tcPr>
          <w:p>
            <w:pPr>
              <w:jc w:val="center"/>
              <w:ind w:left="2360"/>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3400" w:type="dxa"/>
            <w:vAlign w:val="bottom"/>
            <w:tcBorders>
              <w:bottom w:val="single" w:sz="8" w:color="009BDE"/>
            </w:tcBorders>
          </w:tcPr>
          <w:p>
            <w:pPr>
              <w:spacing w:after="0"/>
              <w:rPr>
                <w:sz w:val="8"/>
                <w:szCs w:val="8"/>
                <w:color w:val="auto"/>
              </w:rPr>
            </w:pPr>
          </w:p>
        </w:tc>
        <w:tc>
          <w:tcPr>
            <w:tcW w:w="5300" w:type="dxa"/>
            <w:vAlign w:val="bottom"/>
            <w:tcBorders>
              <w:bottom w:val="single" w:sz="8" w:color="009BDE"/>
            </w:tcBorders>
          </w:tcPr>
          <w:p>
            <w:pPr>
              <w:spacing w:after="0"/>
              <w:rPr>
                <w:sz w:val="8"/>
                <w:szCs w:val="8"/>
                <w:color w:val="auto"/>
              </w:rPr>
            </w:pPr>
          </w:p>
        </w:tc>
        <w:tc>
          <w:tcPr>
            <w:tcW w:w="2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r>
        <w:trPr>
          <w:trHeight w:val="284"/>
        </w:trPr>
        <w:tc>
          <w:tcPr>
            <w:tcW w:w="3400" w:type="dxa"/>
            <w:vAlign w:val="bottom"/>
          </w:tcPr>
          <w:p>
            <w:pPr>
              <w:jc w:val="center"/>
              <w:spacing w:after="0"/>
              <w:rPr>
                <w:sz w:val="20"/>
                <w:szCs w:val="20"/>
                <w:color w:val="auto"/>
              </w:rPr>
            </w:pPr>
            <w:r>
              <w:rPr>
                <w:rFonts w:ascii="Arial" w:cs="Arial" w:eastAsia="Arial" w:hAnsi="Arial"/>
                <w:sz w:val="16"/>
                <w:szCs w:val="16"/>
                <w:color w:val="auto"/>
                <w:w w:val="99"/>
              </w:rPr>
              <w:t>Tim Kilpin</w:t>
            </w:r>
          </w:p>
        </w:tc>
        <w:tc>
          <w:tcPr>
            <w:tcW w:w="5300" w:type="dxa"/>
            <w:vAlign w:val="bottom"/>
          </w:tcPr>
          <w:p>
            <w:pPr>
              <w:jc w:val="center"/>
              <w:ind w:left="2360"/>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3400" w:type="dxa"/>
            <w:vAlign w:val="bottom"/>
            <w:tcBorders>
              <w:bottom w:val="single" w:sz="8" w:color="009BDE"/>
            </w:tcBorders>
          </w:tcPr>
          <w:p>
            <w:pPr>
              <w:spacing w:after="0"/>
              <w:rPr>
                <w:sz w:val="8"/>
                <w:szCs w:val="8"/>
                <w:color w:val="auto"/>
              </w:rPr>
            </w:pPr>
          </w:p>
        </w:tc>
        <w:tc>
          <w:tcPr>
            <w:tcW w:w="5300" w:type="dxa"/>
            <w:vAlign w:val="bottom"/>
            <w:tcBorders>
              <w:bottom w:val="single" w:sz="8" w:color="009BDE"/>
            </w:tcBorders>
          </w:tcPr>
          <w:p>
            <w:pPr>
              <w:spacing w:after="0"/>
              <w:rPr>
                <w:sz w:val="8"/>
                <w:szCs w:val="8"/>
                <w:color w:val="auto"/>
              </w:rPr>
            </w:pPr>
          </w:p>
        </w:tc>
        <w:tc>
          <w:tcPr>
            <w:tcW w:w="2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r>
        <w:trPr>
          <w:trHeight w:val="284"/>
        </w:trPr>
        <w:tc>
          <w:tcPr>
            <w:tcW w:w="3400" w:type="dxa"/>
            <w:vAlign w:val="bottom"/>
          </w:tcPr>
          <w:p>
            <w:pPr>
              <w:jc w:val="center"/>
              <w:spacing w:after="0"/>
              <w:rPr>
                <w:sz w:val="20"/>
                <w:szCs w:val="20"/>
                <w:color w:val="auto"/>
              </w:rPr>
            </w:pPr>
            <w:r>
              <w:rPr>
                <w:rFonts w:ascii="Arial" w:cs="Arial" w:eastAsia="Arial" w:hAnsi="Arial"/>
                <w:sz w:val="16"/>
                <w:szCs w:val="16"/>
                <w:color w:val="auto"/>
                <w:w w:val="98"/>
              </w:rPr>
              <w:t>Tarrant Sibley</w:t>
            </w:r>
          </w:p>
        </w:tc>
        <w:tc>
          <w:tcPr>
            <w:tcW w:w="5300" w:type="dxa"/>
            <w:vAlign w:val="bottom"/>
          </w:tcPr>
          <w:p>
            <w:pPr>
              <w:jc w:val="center"/>
              <w:ind w:left="2340"/>
              <w:spacing w:after="0"/>
              <w:rPr>
                <w:sz w:val="20"/>
                <w:szCs w:val="20"/>
                <w:color w:val="auto"/>
              </w:rPr>
            </w:pPr>
            <w:r>
              <w:rPr>
                <w:rFonts w:ascii="Arial" w:cs="Arial" w:eastAsia="Arial" w:hAnsi="Arial"/>
                <w:sz w:val="16"/>
                <w:szCs w:val="16"/>
                <w:color w:val="auto"/>
                <w:w w:val="99"/>
              </w:rPr>
              <w:t>85%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3400" w:type="dxa"/>
            <w:vAlign w:val="bottom"/>
            <w:tcBorders>
              <w:bottom w:val="single" w:sz="8" w:color="009BDE"/>
            </w:tcBorders>
          </w:tcPr>
          <w:p>
            <w:pPr>
              <w:spacing w:after="0"/>
              <w:rPr>
                <w:sz w:val="8"/>
                <w:szCs w:val="8"/>
                <w:color w:val="auto"/>
              </w:rPr>
            </w:pPr>
          </w:p>
        </w:tc>
        <w:tc>
          <w:tcPr>
            <w:tcW w:w="5300" w:type="dxa"/>
            <w:vAlign w:val="bottom"/>
            <w:tcBorders>
              <w:bottom w:val="single" w:sz="8" w:color="009BDE"/>
            </w:tcBorders>
          </w:tcPr>
          <w:p>
            <w:pPr>
              <w:spacing w:after="0"/>
              <w:rPr>
                <w:sz w:val="8"/>
                <w:szCs w:val="8"/>
                <w:color w:val="auto"/>
              </w:rPr>
            </w:pPr>
          </w:p>
        </w:tc>
        <w:tc>
          <w:tcPr>
            <w:tcW w:w="2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2959735</wp:posOffset>
            </wp:positionH>
            <wp:positionV relativeFrom="paragraph">
              <wp:posOffset>-1562100</wp:posOffset>
            </wp:positionV>
            <wp:extent cx="3380105" cy="28003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3380105" cy="280035"/>
                    </a:xfrm>
                    <a:prstGeom prst="rect">
                      <a:avLst/>
                    </a:prstGeom>
                    <a:noFill/>
                  </pic:spPr>
                </pic:pic>
              </a:graphicData>
            </a:graphic>
          </wp:anchor>
        </w:drawing>
      </w:r>
    </w:p>
    <w:p>
      <w:pPr>
        <w:spacing w:after="0" w:line="100"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Each eligible named executive officer may earn between 0% and 200% of his or her target annual incentive opportunity based on achieved performance against pre-set performance goals. For financial metrics, threshold performance results in a 50% of target payout and maximum performance results in a 200% payout. The financial payouts are determined by interpolation and a payout scale that has a slower payout for modest growth with the rate increasing as performance increases. Any amounts earned are paid in cash. Individual performance for each NEO, including the CEO, is evaluated by the Committee in determining final payout amounts. Awards can be adjusted down to 0% or up to +35% based on individual performance.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9BDE"/>
        </w:rPr>
        <w:t>Annual Incentive Performance Metrics</w:t>
      </w:r>
    </w:p>
    <w:p>
      <w:pPr>
        <w:spacing w:after="0" w:line="110" w:lineRule="exact"/>
        <w:rPr>
          <w:sz w:val="20"/>
          <w:szCs w:val="20"/>
          <w:color w:val="auto"/>
        </w:rPr>
      </w:pPr>
    </w:p>
    <w:p>
      <w:pPr>
        <w:ind w:left="160" w:right="140"/>
        <w:spacing w:after="0" w:line="250" w:lineRule="auto"/>
        <w:rPr>
          <w:sz w:val="20"/>
          <w:szCs w:val="20"/>
          <w:color w:val="auto"/>
        </w:rPr>
      </w:pPr>
      <w:r>
        <w:rPr>
          <w:rFonts w:ascii="Arial" w:cs="Arial" w:eastAsia="Arial" w:hAnsi="Arial"/>
          <w:sz w:val="16"/>
          <w:szCs w:val="16"/>
          <w:color w:val="auto"/>
        </w:rPr>
        <w:t>The following shows the performance measures assigned to each of the Named Executive Officers, together with the indicated weight based on the Company’s 2025 operating plan and budget. As part of establishing the 2025 operating plan and budget, management along with the Committee underwent a rigorous goal setting process to ensure the annual incentive performance goals were in furtherance of executing on the Company’s Playing to Win strategy. More specifically, the financial metrics set for the annual incentive plan took into account the Company’s ongoing efforts to expand our consumer reach as a games, IP, and toy company through play fueled brand engagement and partner scaled co-investment, including video games, artificial intelligence (“AI”) enabled entertainment, and licensing. To significantly extend our consumer reach and drive our revenue and profit growth, we have been focusing on five key strategic building blocks:</w:t>
      </w:r>
    </w:p>
    <w:p>
      <w:pPr>
        <w:spacing w:after="0" w:line="183" w:lineRule="exact"/>
        <w:rPr>
          <w:sz w:val="20"/>
          <w:szCs w:val="20"/>
          <w:color w:val="auto"/>
        </w:rPr>
      </w:pPr>
    </w:p>
    <w:p>
      <w:pPr>
        <w:ind w:left="380" w:right="360" w:hanging="213"/>
        <w:spacing w:after="0" w:line="279"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Anytime is Playtime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 on winning play occasions and distribution point by making our brands accessible, relevant, and engaging wherever,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whenever, and however consumers choose to play.</w:t>
      </w:r>
    </w:p>
    <w:p>
      <w:pPr>
        <w:spacing w:after="0" w:line="67" w:lineRule="exact"/>
        <w:rPr>
          <w:rFonts w:ascii="Arial" w:cs="Arial" w:eastAsia="Arial" w:hAnsi="Arial"/>
          <w:sz w:val="16"/>
          <w:szCs w:val="16"/>
          <w:color w:val="auto"/>
        </w:rPr>
      </w:pPr>
    </w:p>
    <w:p>
      <w:pPr>
        <w:ind w:left="380" w:right="80" w:hanging="213"/>
        <w:spacing w:after="0" w:line="279"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Aging Up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 our consumer base and drive play and collectible experiences for fans of all ages, recognizing that consumers aged 13 and above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gaining purchase share.</w:t>
      </w:r>
    </w:p>
    <w:p>
      <w:pPr>
        <w:spacing w:after="0" w:line="67" w:lineRule="exact"/>
        <w:rPr>
          <w:rFonts w:ascii="Arial" w:cs="Arial" w:eastAsia="Arial" w:hAnsi="Arial"/>
          <w:sz w:val="16"/>
          <w:szCs w:val="16"/>
          <w:color w:val="auto"/>
        </w:rPr>
      </w:pPr>
    </w:p>
    <w:p>
      <w:pPr>
        <w:ind w:left="380" w:hanging="213"/>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Everyone Plays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Engage across the play spectrum to where we under-index and capture new consumers across demographics and markets.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Digital and Direct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Embrace new ways to engage with our consumers through video games, digital technology and direct-to-consumer interactions.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300" w:hanging="80"/>
        <w:spacing w:after="0"/>
        <w:tabs>
          <w:tab w:leader="none" w:pos="300" w:val="left"/>
        </w:tabs>
        <w:numPr>
          <w:ilvl w:val="1"/>
          <w:numId w:val="44"/>
        </w:numPr>
        <w:rPr>
          <w:rFonts w:ascii="Arial" w:cs="Arial" w:eastAsia="Arial" w:hAnsi="Arial"/>
          <w:sz w:val="15"/>
          <w:szCs w:val="15"/>
          <w:b w:val="1"/>
          <w:bCs w:val="1"/>
          <w:color w:val="FCFCFC"/>
        </w:rPr>
      </w:pPr>
      <w:r>
        <w:rPr>
          <w:rFonts w:ascii="Arial" w:cs="Arial" w:eastAsia="Arial" w:hAnsi="Arial"/>
          <w:sz w:val="15"/>
          <w:szCs w:val="15"/>
          <w:b w:val="1"/>
          <w:bCs w:val="1"/>
          <w:color w:val="FCFCFC"/>
        </w:rPr>
        <w: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6964045" cy="39052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tabs>
          <w:tab w:leader="none" w:pos="3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i w:val="1"/>
          <w:iCs w:val="1"/>
          <w:color w:val="auto"/>
        </w:rPr>
        <w:t>Partner Scale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Capitalize on our partners’ investments and scale to enhance our brands through strategic relationships and licensing arrangements.</w:t>
      </w:r>
    </w:p>
    <w:p>
      <w:pPr>
        <w:spacing w:after="0" w:line="217" w:lineRule="exact"/>
        <w:rPr>
          <w:sz w:val="20"/>
          <w:szCs w:val="20"/>
          <w:color w:val="auto"/>
        </w:rPr>
      </w:pPr>
    </w:p>
    <w:p>
      <w:pPr>
        <w:ind w:left="160" w:right="60"/>
        <w:spacing w:after="0" w:line="248" w:lineRule="auto"/>
        <w:rPr>
          <w:sz w:val="20"/>
          <w:szCs w:val="20"/>
          <w:color w:val="auto"/>
        </w:rPr>
      </w:pPr>
      <w:r>
        <w:rPr>
          <w:rFonts w:ascii="Arial" w:cs="Arial" w:eastAsia="Arial" w:hAnsi="Arial"/>
          <w:sz w:val="16"/>
          <w:szCs w:val="16"/>
          <w:color w:val="auto"/>
        </w:rPr>
        <w:t>With the guiding objectives of the Playing to Win strategy, the Committee approved the removal of the strategic cost savings metric and increased the emphasis on net revenue and operating profit dollars metrics for the Company and business units. The strategic cost savings metric was introduced as a temporary measure to support the Company’s multi-year transformation initiatives. While disciplined cost management remains an important priority for the Company, the Committee determined that a greater focus on core financial performance metrics would more effectively align incentives with the Company’s ongoing business priorities and long-term shareholder value creation. Accordingly, the Committee believed these performance metrics captured the most important aspects of the top and bottom-line performance and strategy of the Company, the Wizards Business Area, and the Toys, Games, Licensing &amp; Entertainment (“TGLE”) Business Area. The relative weighting among the performance metrics was aligned with the relative importance of those metrics, in the Committee’s view, to the Company and business area’s performance and the strength of the Company’s business. For TGLE, the focus on returning to profitability was viewed as a key driver in the metrics. The annual incentive payout calculations, including weightings and targets, for each of the Named Executive Officers are set forth below.</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9BDE"/>
        </w:rPr>
        <w:t>Calculation of 2025 Annual Incentive Payout</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tables below show the calculation of the 2025 annual incentive award for each eligible NEO.</w:t>
      </w:r>
    </w:p>
    <w:p>
      <w:pPr>
        <w:spacing w:after="0" w:line="32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u w:val="single" w:color="auto"/>
          <w:color w:val="009BDE"/>
        </w:rPr>
        <w:t>Mr. Cocks, Ms. Goetter and Mr. Sibley’s 2025 Calculated Annual Incentive Payout Percentage</w:t>
      </w:r>
    </w:p>
    <w:p>
      <w:pPr>
        <w:spacing w:after="0" w:line="256"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4900" w:type="dxa"/>
            <w:vAlign w:val="bottom"/>
            <w:shd w:val="clear" w:color="auto" w:fill="CCEBF8"/>
          </w:tcPr>
          <w:p>
            <w:pPr>
              <w:spacing w:after="0"/>
              <w:rPr>
                <w:sz w:val="20"/>
                <w:szCs w:val="20"/>
                <w:color w:val="auto"/>
              </w:rPr>
            </w:pPr>
          </w:p>
        </w:tc>
        <w:tc>
          <w:tcPr>
            <w:tcW w:w="640" w:type="dxa"/>
            <w:vAlign w:val="bottom"/>
            <w:shd w:val="clear" w:color="auto" w:fill="CCEBF8"/>
          </w:tcPr>
          <w:p>
            <w:pPr>
              <w:spacing w:after="0"/>
              <w:rPr>
                <w:sz w:val="20"/>
                <w:szCs w:val="20"/>
                <w:color w:val="auto"/>
              </w:rPr>
            </w:pPr>
          </w:p>
        </w:tc>
        <w:tc>
          <w:tcPr>
            <w:tcW w:w="1660" w:type="dxa"/>
            <w:vAlign w:val="bottom"/>
            <w:shd w:val="clear" w:color="auto" w:fill="CCEBF8"/>
          </w:tcPr>
          <w:p>
            <w:pPr>
              <w:spacing w:after="0"/>
              <w:rPr>
                <w:sz w:val="20"/>
                <w:szCs w:val="20"/>
                <w:color w:val="auto"/>
              </w:rPr>
            </w:pPr>
          </w:p>
        </w:tc>
        <w:tc>
          <w:tcPr>
            <w:tcW w:w="1520" w:type="dxa"/>
            <w:vAlign w:val="bottom"/>
            <w:shd w:val="clear" w:color="auto" w:fill="CCEBF8"/>
          </w:tcPr>
          <w:p>
            <w:pPr>
              <w:spacing w:after="0"/>
              <w:rPr>
                <w:sz w:val="20"/>
                <w:szCs w:val="20"/>
                <w:color w:val="auto"/>
              </w:rPr>
            </w:pPr>
          </w:p>
        </w:tc>
        <w:tc>
          <w:tcPr>
            <w:tcW w:w="1240" w:type="dxa"/>
            <w:vAlign w:val="bottom"/>
            <w:shd w:val="clear" w:color="auto" w:fill="CCEBF8"/>
          </w:tcPr>
          <w:p>
            <w:pPr>
              <w:jc w:val="center"/>
              <w:ind w:right="60"/>
              <w:spacing w:after="0"/>
              <w:rPr>
                <w:sz w:val="20"/>
                <w:szCs w:val="20"/>
                <w:color w:val="auto"/>
              </w:rPr>
            </w:pPr>
            <w:r>
              <w:rPr>
                <w:rFonts w:ascii="Arial" w:cs="Arial" w:eastAsia="Arial" w:hAnsi="Arial"/>
                <w:sz w:val="16"/>
                <w:szCs w:val="16"/>
                <w:b w:val="1"/>
                <w:bCs w:val="1"/>
                <w:color w:val="009BDE"/>
                <w:w w:val="99"/>
              </w:rPr>
              <w:t>Percentage</w:t>
            </w:r>
          </w:p>
        </w:tc>
        <w:tc>
          <w:tcPr>
            <w:tcW w:w="960" w:type="dxa"/>
            <w:vAlign w:val="bottom"/>
            <w:shd w:val="clear" w:color="auto" w:fill="CCEBF8"/>
          </w:tcPr>
          <w:p>
            <w:pPr>
              <w:jc w:val="center"/>
              <w:ind w:left="100"/>
              <w:spacing w:after="0"/>
              <w:rPr>
                <w:sz w:val="20"/>
                <w:szCs w:val="20"/>
                <w:color w:val="auto"/>
              </w:rPr>
            </w:pPr>
            <w:r>
              <w:rPr>
                <w:rFonts w:ascii="Arial" w:cs="Arial" w:eastAsia="Arial" w:hAnsi="Arial"/>
                <w:sz w:val="16"/>
                <w:szCs w:val="16"/>
                <w:b w:val="1"/>
                <w:bCs w:val="1"/>
                <w:color w:val="009BDE"/>
              </w:rPr>
              <w:t>Final</w:t>
            </w:r>
          </w:p>
        </w:tc>
        <w:tc>
          <w:tcPr>
            <w:tcW w:w="40" w:type="dxa"/>
            <w:vAlign w:val="bottom"/>
          </w:tcPr>
          <w:p>
            <w:pPr>
              <w:spacing w:after="0"/>
              <w:rPr>
                <w:sz w:val="20"/>
                <w:szCs w:val="20"/>
                <w:color w:val="auto"/>
              </w:rPr>
            </w:pPr>
          </w:p>
        </w:tc>
      </w:tr>
      <w:tr>
        <w:trPr>
          <w:trHeight w:val="221"/>
        </w:trPr>
        <w:tc>
          <w:tcPr>
            <w:tcW w:w="4900" w:type="dxa"/>
            <w:vAlign w:val="bottom"/>
            <w:shd w:val="clear" w:color="auto" w:fill="CCEBF8"/>
          </w:tcPr>
          <w:p>
            <w:pPr>
              <w:spacing w:after="0"/>
              <w:rPr>
                <w:sz w:val="19"/>
                <w:szCs w:val="19"/>
                <w:color w:val="auto"/>
              </w:rPr>
            </w:pPr>
          </w:p>
        </w:tc>
        <w:tc>
          <w:tcPr>
            <w:tcW w:w="640" w:type="dxa"/>
            <w:vAlign w:val="bottom"/>
            <w:shd w:val="clear" w:color="auto" w:fill="CCEBF8"/>
          </w:tcPr>
          <w:p>
            <w:pPr>
              <w:spacing w:after="0"/>
              <w:rPr>
                <w:sz w:val="19"/>
                <w:szCs w:val="19"/>
                <w:color w:val="auto"/>
              </w:rPr>
            </w:pPr>
          </w:p>
        </w:tc>
        <w:tc>
          <w:tcPr>
            <w:tcW w:w="1660" w:type="dxa"/>
            <w:vAlign w:val="bottom"/>
            <w:shd w:val="clear" w:color="auto" w:fill="CCEBF8"/>
          </w:tcPr>
          <w:p>
            <w:pPr>
              <w:jc w:val="center"/>
              <w:ind w:left="60"/>
              <w:spacing w:after="0"/>
              <w:rPr>
                <w:sz w:val="20"/>
                <w:szCs w:val="20"/>
                <w:color w:val="auto"/>
              </w:rPr>
            </w:pPr>
            <w:r>
              <w:rPr>
                <w:rFonts w:ascii="Arial" w:cs="Arial" w:eastAsia="Arial" w:hAnsi="Arial"/>
                <w:sz w:val="16"/>
                <w:szCs w:val="16"/>
                <w:b w:val="1"/>
                <w:bCs w:val="1"/>
                <w:color w:val="009BDE"/>
              </w:rPr>
              <w:t>Goal</w:t>
            </w:r>
          </w:p>
        </w:tc>
        <w:tc>
          <w:tcPr>
            <w:tcW w:w="1520" w:type="dxa"/>
            <w:vAlign w:val="bottom"/>
            <w:shd w:val="clear" w:color="auto" w:fill="CCEBF8"/>
          </w:tcPr>
          <w:p>
            <w:pPr>
              <w:jc w:val="right"/>
              <w:ind w:right="600"/>
              <w:spacing w:after="0"/>
              <w:rPr>
                <w:sz w:val="20"/>
                <w:szCs w:val="20"/>
                <w:color w:val="auto"/>
              </w:rPr>
            </w:pPr>
            <w:r>
              <w:rPr>
                <w:rFonts w:ascii="Arial" w:cs="Arial" w:eastAsia="Arial" w:hAnsi="Arial"/>
                <w:sz w:val="16"/>
                <w:szCs w:val="16"/>
                <w:b w:val="1"/>
                <w:bCs w:val="1"/>
                <w:color w:val="009BDE"/>
              </w:rPr>
              <w:t>Actual</w:t>
            </w:r>
          </w:p>
        </w:tc>
        <w:tc>
          <w:tcPr>
            <w:tcW w:w="1240" w:type="dxa"/>
            <w:vAlign w:val="bottom"/>
            <w:shd w:val="clear" w:color="auto" w:fill="CCEBF8"/>
          </w:tcPr>
          <w:p>
            <w:pPr>
              <w:jc w:val="center"/>
              <w:ind w:right="80"/>
              <w:spacing w:after="0"/>
              <w:rPr>
                <w:sz w:val="20"/>
                <w:szCs w:val="20"/>
                <w:color w:val="auto"/>
              </w:rPr>
            </w:pPr>
            <w:r>
              <w:rPr>
                <w:rFonts w:ascii="Arial" w:cs="Arial" w:eastAsia="Arial" w:hAnsi="Arial"/>
                <w:sz w:val="16"/>
                <w:szCs w:val="16"/>
                <w:b w:val="1"/>
                <w:bCs w:val="1"/>
                <w:color w:val="009BDE"/>
              </w:rPr>
              <w:t>Achievement</w:t>
            </w:r>
          </w:p>
        </w:tc>
        <w:tc>
          <w:tcPr>
            <w:tcW w:w="960" w:type="dxa"/>
            <w:vAlign w:val="bottom"/>
            <w:shd w:val="clear" w:color="auto" w:fill="CCEBF8"/>
          </w:tcPr>
          <w:p>
            <w:pPr>
              <w:jc w:val="center"/>
              <w:ind w:left="100"/>
              <w:spacing w:after="0"/>
              <w:rPr>
                <w:sz w:val="20"/>
                <w:szCs w:val="20"/>
                <w:color w:val="auto"/>
              </w:rPr>
            </w:pPr>
            <w:r>
              <w:rPr>
                <w:rFonts w:ascii="Arial" w:cs="Arial" w:eastAsia="Arial" w:hAnsi="Arial"/>
                <w:sz w:val="16"/>
                <w:szCs w:val="16"/>
                <w:b w:val="1"/>
                <w:bCs w:val="1"/>
                <w:color w:val="009BDE"/>
                <w:w w:val="99"/>
              </w:rPr>
              <w:t>Payout %  </w:t>
            </w:r>
          </w:p>
        </w:tc>
        <w:tc>
          <w:tcPr>
            <w:tcW w:w="40" w:type="dxa"/>
            <w:vAlign w:val="bottom"/>
          </w:tcPr>
          <w:p>
            <w:pPr>
              <w:spacing w:after="0"/>
              <w:rPr>
                <w:sz w:val="19"/>
                <w:szCs w:val="19"/>
                <w:color w:val="auto"/>
              </w:rPr>
            </w:pPr>
          </w:p>
        </w:tc>
      </w:tr>
      <w:tr>
        <w:trPr>
          <w:trHeight w:val="60"/>
        </w:trPr>
        <w:tc>
          <w:tcPr>
            <w:tcW w:w="4900" w:type="dxa"/>
            <w:vAlign w:val="bottom"/>
            <w:tcBorders>
              <w:bottom w:val="single" w:sz="8" w:color="009BDE"/>
            </w:tcBorders>
            <w:shd w:val="clear" w:color="auto" w:fill="CCEBF8"/>
          </w:tcPr>
          <w:p>
            <w:pPr>
              <w:spacing w:after="0"/>
              <w:rPr>
                <w:sz w:val="5"/>
                <w:szCs w:val="5"/>
                <w:color w:val="auto"/>
              </w:rPr>
            </w:pPr>
          </w:p>
        </w:tc>
        <w:tc>
          <w:tcPr>
            <w:tcW w:w="640" w:type="dxa"/>
            <w:vAlign w:val="bottom"/>
            <w:tcBorders>
              <w:bottom w:val="single" w:sz="8" w:color="009BDE"/>
            </w:tcBorders>
            <w:shd w:val="clear" w:color="auto" w:fill="CCEBF8"/>
          </w:tcPr>
          <w:p>
            <w:pPr>
              <w:spacing w:after="0"/>
              <w:rPr>
                <w:sz w:val="5"/>
                <w:szCs w:val="5"/>
                <w:color w:val="auto"/>
              </w:rPr>
            </w:pPr>
          </w:p>
        </w:tc>
        <w:tc>
          <w:tcPr>
            <w:tcW w:w="1660" w:type="dxa"/>
            <w:vAlign w:val="bottom"/>
            <w:tcBorders>
              <w:bottom w:val="single" w:sz="8" w:color="009BDE"/>
            </w:tcBorders>
            <w:shd w:val="clear" w:color="auto" w:fill="CCEBF8"/>
          </w:tcPr>
          <w:p>
            <w:pPr>
              <w:spacing w:after="0"/>
              <w:rPr>
                <w:sz w:val="5"/>
                <w:szCs w:val="5"/>
                <w:color w:val="auto"/>
              </w:rPr>
            </w:pPr>
          </w:p>
        </w:tc>
        <w:tc>
          <w:tcPr>
            <w:tcW w:w="1520" w:type="dxa"/>
            <w:vAlign w:val="bottom"/>
            <w:tcBorders>
              <w:bottom w:val="single" w:sz="8" w:color="009BDE"/>
            </w:tcBorders>
            <w:shd w:val="clear" w:color="auto" w:fill="CCEBF8"/>
          </w:tcPr>
          <w:p>
            <w:pPr>
              <w:spacing w:after="0"/>
              <w:rPr>
                <w:sz w:val="5"/>
                <w:szCs w:val="5"/>
                <w:color w:val="auto"/>
              </w:rPr>
            </w:pPr>
          </w:p>
        </w:tc>
        <w:tc>
          <w:tcPr>
            <w:tcW w:w="1240" w:type="dxa"/>
            <w:vAlign w:val="bottom"/>
            <w:tcBorders>
              <w:bottom w:val="single" w:sz="8" w:color="009BDE"/>
            </w:tcBorders>
            <w:shd w:val="clear" w:color="auto" w:fill="CCEBF8"/>
          </w:tcPr>
          <w:p>
            <w:pPr>
              <w:spacing w:after="0"/>
              <w:rPr>
                <w:sz w:val="5"/>
                <w:szCs w:val="5"/>
                <w:color w:val="auto"/>
              </w:rPr>
            </w:pPr>
          </w:p>
        </w:tc>
        <w:tc>
          <w:tcPr>
            <w:tcW w:w="960" w:type="dxa"/>
            <w:vAlign w:val="bottom"/>
            <w:tcBorders>
              <w:bottom w:val="single" w:sz="8" w:color="009BDE"/>
            </w:tcBorders>
            <w:shd w:val="clear" w:color="auto" w:fill="CCEBF8"/>
          </w:tcPr>
          <w:p>
            <w:pPr>
              <w:spacing w:after="0"/>
              <w:rPr>
                <w:sz w:val="5"/>
                <w:szCs w:val="5"/>
                <w:color w:val="auto"/>
              </w:rPr>
            </w:pPr>
          </w:p>
        </w:tc>
        <w:tc>
          <w:tcPr>
            <w:tcW w:w="40" w:type="dxa"/>
            <w:vAlign w:val="bottom"/>
          </w:tcPr>
          <w:p>
            <w:pPr>
              <w:spacing w:after="0"/>
              <w:rPr>
                <w:sz w:val="5"/>
                <w:szCs w:val="5"/>
                <w:color w:val="auto"/>
              </w:rPr>
            </w:pPr>
          </w:p>
        </w:tc>
      </w:tr>
      <w:tr>
        <w:trPr>
          <w:trHeight w:val="284"/>
        </w:trPr>
        <w:tc>
          <w:tcPr>
            <w:tcW w:w="5540" w:type="dxa"/>
            <w:vAlign w:val="bottom"/>
            <w:gridSpan w:val="2"/>
          </w:tcPr>
          <w:p>
            <w:pPr>
              <w:ind w:left="80"/>
              <w:spacing w:after="0"/>
              <w:rPr>
                <w:sz w:val="20"/>
                <w:szCs w:val="20"/>
                <w:color w:val="auto"/>
              </w:rPr>
            </w:pPr>
            <w:r>
              <w:rPr>
                <w:rFonts w:ascii="Arial" w:cs="Arial" w:eastAsia="Arial" w:hAnsi="Arial"/>
                <w:sz w:val="16"/>
                <w:szCs w:val="16"/>
                <w:color w:val="auto"/>
              </w:rPr>
              <w:t>Company Net Revenue (Weighted 50%)</w:t>
            </w:r>
          </w:p>
        </w:tc>
        <w:tc>
          <w:tcPr>
            <w:tcW w:w="1660" w:type="dxa"/>
            <w:vAlign w:val="bottom"/>
          </w:tcPr>
          <w:p>
            <w:pPr>
              <w:jc w:val="center"/>
              <w:ind w:left="40"/>
              <w:spacing w:after="0"/>
              <w:rPr>
                <w:sz w:val="20"/>
                <w:szCs w:val="20"/>
                <w:color w:val="auto"/>
              </w:rPr>
            </w:pPr>
            <w:r>
              <w:rPr>
                <w:rFonts w:ascii="Arial" w:cs="Arial" w:eastAsia="Arial" w:hAnsi="Arial"/>
                <w:sz w:val="16"/>
                <w:szCs w:val="16"/>
                <w:color w:val="auto"/>
                <w:w w:val="97"/>
              </w:rPr>
              <w:t>$4,111,000</w:t>
            </w:r>
          </w:p>
        </w:tc>
        <w:tc>
          <w:tcPr>
            <w:tcW w:w="1520" w:type="dxa"/>
            <w:vAlign w:val="bottom"/>
          </w:tcPr>
          <w:p>
            <w:pPr>
              <w:jc w:val="right"/>
              <w:ind w:right="440"/>
              <w:spacing w:after="0"/>
              <w:rPr>
                <w:sz w:val="20"/>
                <w:szCs w:val="20"/>
                <w:color w:val="auto"/>
              </w:rPr>
            </w:pPr>
            <w:r>
              <w:rPr>
                <w:rFonts w:ascii="Arial" w:cs="Arial" w:eastAsia="Arial" w:hAnsi="Arial"/>
                <w:sz w:val="16"/>
                <w:szCs w:val="16"/>
                <w:color w:val="auto"/>
              </w:rPr>
              <w:t>$4,607,000</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112%</w:t>
            </w:r>
          </w:p>
        </w:tc>
        <w:tc>
          <w:tcPr>
            <w:tcW w:w="1000" w:type="dxa"/>
            <w:vAlign w:val="bottom"/>
            <w:gridSpan w:val="2"/>
          </w:tcPr>
          <w:p>
            <w:pPr>
              <w:jc w:val="center"/>
              <w:ind w:left="80"/>
              <w:spacing w:after="0"/>
              <w:rPr>
                <w:sz w:val="20"/>
                <w:szCs w:val="20"/>
                <w:color w:val="auto"/>
              </w:rPr>
            </w:pPr>
            <w:r>
              <w:rPr>
                <w:rFonts w:ascii="Arial" w:cs="Arial" w:eastAsia="Arial" w:hAnsi="Arial"/>
                <w:sz w:val="16"/>
                <w:szCs w:val="16"/>
                <w:color w:val="auto"/>
              </w:rPr>
              <w:t>100%  </w:t>
            </w:r>
          </w:p>
        </w:tc>
      </w:tr>
      <w:tr>
        <w:trPr>
          <w:trHeight w:val="97"/>
        </w:trPr>
        <w:tc>
          <w:tcPr>
            <w:tcW w:w="490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1660" w:type="dxa"/>
            <w:vAlign w:val="bottom"/>
            <w:tcBorders>
              <w:bottom w:val="single" w:sz="8" w:color="009BDE"/>
            </w:tcBorders>
          </w:tcPr>
          <w:p>
            <w:pPr>
              <w:spacing w:after="0"/>
              <w:rPr>
                <w:sz w:val="8"/>
                <w:szCs w:val="8"/>
                <w:color w:val="auto"/>
              </w:rPr>
            </w:pPr>
          </w:p>
        </w:tc>
        <w:tc>
          <w:tcPr>
            <w:tcW w:w="152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r>
        <w:trPr>
          <w:trHeight w:val="284"/>
        </w:trPr>
        <w:tc>
          <w:tcPr>
            <w:tcW w:w="5540" w:type="dxa"/>
            <w:vAlign w:val="bottom"/>
            <w:gridSpan w:val="2"/>
          </w:tcPr>
          <w:p>
            <w:pPr>
              <w:ind w:left="80"/>
              <w:spacing w:after="0"/>
              <w:rPr>
                <w:sz w:val="20"/>
                <w:szCs w:val="20"/>
                <w:color w:val="auto"/>
              </w:rPr>
            </w:pPr>
            <w:r>
              <w:rPr>
                <w:rFonts w:ascii="Arial" w:cs="Arial" w:eastAsia="Arial" w:hAnsi="Arial"/>
                <w:sz w:val="16"/>
                <w:szCs w:val="16"/>
                <w:color w:val="auto"/>
              </w:rPr>
              <w:t>Company Operating Profit Dollars (Weighted 50%)</w:t>
            </w:r>
          </w:p>
        </w:tc>
        <w:tc>
          <w:tcPr>
            <w:tcW w:w="1660" w:type="dxa"/>
            <w:vAlign w:val="bottom"/>
          </w:tcPr>
          <w:p>
            <w:pPr>
              <w:jc w:val="center"/>
              <w:ind w:left="40"/>
              <w:spacing w:after="0"/>
              <w:rPr>
                <w:sz w:val="20"/>
                <w:szCs w:val="20"/>
                <w:color w:val="auto"/>
              </w:rPr>
            </w:pPr>
            <w:r>
              <w:rPr>
                <w:rFonts w:ascii="Arial" w:cs="Arial" w:eastAsia="Arial" w:hAnsi="Arial"/>
                <w:sz w:val="16"/>
                <w:szCs w:val="16"/>
                <w:color w:val="auto"/>
              </w:rPr>
              <w:t>$  892,000</w:t>
            </w:r>
          </w:p>
        </w:tc>
        <w:tc>
          <w:tcPr>
            <w:tcW w:w="1520" w:type="dxa"/>
            <w:vAlign w:val="bottom"/>
          </w:tcPr>
          <w:p>
            <w:pPr>
              <w:jc w:val="right"/>
              <w:ind w:right="440"/>
              <w:spacing w:after="0"/>
              <w:rPr>
                <w:sz w:val="20"/>
                <w:szCs w:val="20"/>
                <w:color w:val="auto"/>
              </w:rPr>
            </w:pPr>
            <w:r>
              <w:rPr>
                <w:rFonts w:ascii="Arial" w:cs="Arial" w:eastAsia="Arial" w:hAnsi="Arial"/>
                <w:sz w:val="16"/>
                <w:szCs w:val="16"/>
                <w:color w:val="auto"/>
              </w:rPr>
              <w:t>$ 1,114,000</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125%</w:t>
            </w:r>
          </w:p>
        </w:tc>
        <w:tc>
          <w:tcPr>
            <w:tcW w:w="1000" w:type="dxa"/>
            <w:vAlign w:val="bottom"/>
            <w:gridSpan w:val="2"/>
          </w:tcPr>
          <w:p>
            <w:pPr>
              <w:jc w:val="center"/>
              <w:ind w:left="80"/>
              <w:spacing w:after="0"/>
              <w:rPr>
                <w:sz w:val="20"/>
                <w:szCs w:val="20"/>
                <w:color w:val="auto"/>
              </w:rPr>
            </w:pPr>
            <w:r>
              <w:rPr>
                <w:rFonts w:ascii="Arial" w:cs="Arial" w:eastAsia="Arial" w:hAnsi="Arial"/>
                <w:sz w:val="16"/>
                <w:szCs w:val="16"/>
                <w:color w:val="auto"/>
              </w:rPr>
              <w:t>100%  </w:t>
            </w:r>
          </w:p>
        </w:tc>
      </w:tr>
      <w:tr>
        <w:trPr>
          <w:trHeight w:val="97"/>
        </w:trPr>
        <w:tc>
          <w:tcPr>
            <w:tcW w:w="490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4420" w:type="dxa"/>
            <w:vAlign w:val="bottom"/>
            <w:tcBorders>
              <w:bottom w:val="single" w:sz="8" w:color="009BDE"/>
            </w:tcBorders>
            <w:gridSpan w:val="3"/>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r>
        <w:trPr>
          <w:trHeight w:val="260"/>
        </w:trPr>
        <w:tc>
          <w:tcPr>
            <w:tcW w:w="5540" w:type="dxa"/>
            <w:vAlign w:val="bottom"/>
            <w:gridSpan w:val="2"/>
          </w:tcPr>
          <w:p>
            <w:pPr>
              <w:ind w:left="80"/>
              <w:spacing w:after="0"/>
              <w:rPr>
                <w:sz w:val="20"/>
                <w:szCs w:val="20"/>
                <w:color w:val="auto"/>
              </w:rPr>
            </w:pPr>
            <w:r>
              <w:rPr>
                <w:rFonts w:ascii="Arial" w:cs="Arial" w:eastAsia="Arial" w:hAnsi="Arial"/>
                <w:sz w:val="16"/>
                <w:szCs w:val="16"/>
                <w:i w:val="1"/>
                <w:iCs w:val="1"/>
                <w:color w:val="auto"/>
              </w:rPr>
              <w:t>All numbers are in thousands, except percentages</w:t>
            </w:r>
          </w:p>
        </w:tc>
        <w:tc>
          <w:tcPr>
            <w:tcW w:w="4420" w:type="dxa"/>
            <w:vAlign w:val="bottom"/>
            <w:gridSpan w:val="3"/>
          </w:tcPr>
          <w:p>
            <w:pPr>
              <w:jc w:val="right"/>
              <w:ind w:right="700"/>
              <w:spacing w:after="0"/>
              <w:rPr>
                <w:sz w:val="20"/>
                <w:szCs w:val="20"/>
                <w:color w:val="auto"/>
              </w:rPr>
            </w:pPr>
            <w:r>
              <w:rPr>
                <w:rFonts w:ascii="Arial" w:cs="Arial" w:eastAsia="Arial" w:hAnsi="Arial"/>
                <w:sz w:val="16"/>
                <w:szCs w:val="16"/>
                <w:color w:val="auto"/>
              </w:rPr>
              <w:t>Final Payout Percentage based on</w:t>
            </w: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11"/>
        </w:trPr>
        <w:tc>
          <w:tcPr>
            <w:tcW w:w="4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20" w:type="dxa"/>
            <w:vAlign w:val="bottom"/>
          </w:tcPr>
          <w:p>
            <w:pPr>
              <w:jc w:val="right"/>
              <w:ind w:right="420"/>
              <w:spacing w:after="0"/>
              <w:rPr>
                <w:sz w:val="20"/>
                <w:szCs w:val="20"/>
                <w:color w:val="auto"/>
              </w:rPr>
            </w:pPr>
            <w:r>
              <w:rPr>
                <w:rFonts w:ascii="Arial" w:cs="Arial" w:eastAsia="Arial" w:hAnsi="Arial"/>
                <w:sz w:val="16"/>
                <w:szCs w:val="16"/>
                <w:color w:val="auto"/>
              </w:rPr>
              <w:t>Metrics</w:t>
            </w:r>
          </w:p>
        </w:tc>
        <w:tc>
          <w:tcPr>
            <w:tcW w:w="1240" w:type="dxa"/>
            <w:vAlign w:val="bottom"/>
          </w:tcPr>
          <w:p>
            <w:pPr>
              <w:spacing w:after="0"/>
              <w:rPr>
                <w:sz w:val="18"/>
                <w:szCs w:val="18"/>
                <w:color w:val="auto"/>
              </w:rPr>
            </w:pPr>
          </w:p>
        </w:tc>
        <w:tc>
          <w:tcPr>
            <w:tcW w:w="1000" w:type="dxa"/>
            <w:vAlign w:val="bottom"/>
            <w:gridSpan w:val="2"/>
          </w:tcPr>
          <w:p>
            <w:pPr>
              <w:jc w:val="center"/>
              <w:ind w:left="80"/>
              <w:spacing w:after="0"/>
              <w:rPr>
                <w:sz w:val="20"/>
                <w:szCs w:val="20"/>
                <w:color w:val="auto"/>
              </w:rPr>
            </w:pPr>
            <w:r>
              <w:rPr>
                <w:rFonts w:ascii="Arial" w:cs="Arial" w:eastAsia="Arial" w:hAnsi="Arial"/>
                <w:sz w:val="16"/>
                <w:szCs w:val="16"/>
                <w:color w:val="auto"/>
              </w:rPr>
              <w:t>200%  </w:t>
            </w:r>
          </w:p>
        </w:tc>
      </w:tr>
      <w:tr>
        <w:trPr>
          <w:trHeight w:val="97"/>
        </w:trPr>
        <w:tc>
          <w:tcPr>
            <w:tcW w:w="490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1660" w:type="dxa"/>
            <w:vAlign w:val="bottom"/>
            <w:tcBorders>
              <w:bottom w:val="single" w:sz="8" w:color="009BDE"/>
            </w:tcBorders>
          </w:tcPr>
          <w:p>
            <w:pPr>
              <w:spacing w:after="0"/>
              <w:rPr>
                <w:sz w:val="8"/>
                <w:szCs w:val="8"/>
                <w:color w:val="auto"/>
              </w:rPr>
            </w:pPr>
          </w:p>
        </w:tc>
        <w:tc>
          <w:tcPr>
            <w:tcW w:w="152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r>
        <w:trPr>
          <w:trHeight w:val="475"/>
        </w:trPr>
        <w:tc>
          <w:tcPr>
            <w:tcW w:w="5540" w:type="dxa"/>
            <w:vAlign w:val="bottom"/>
            <w:gridSpan w:val="2"/>
          </w:tcPr>
          <w:p>
            <w:pPr>
              <w:spacing w:after="0"/>
              <w:rPr>
                <w:sz w:val="20"/>
                <w:szCs w:val="20"/>
                <w:color w:val="auto"/>
              </w:rPr>
            </w:pPr>
            <w:r>
              <w:rPr>
                <w:rFonts w:ascii="Arial" w:cs="Arial" w:eastAsia="Arial" w:hAnsi="Arial"/>
                <w:sz w:val="16"/>
                <w:szCs w:val="16"/>
                <w:b w:val="1"/>
                <w:bCs w:val="1"/>
                <w:i w:val="1"/>
                <w:iCs w:val="1"/>
                <w:color w:val="009BDE"/>
              </w:rPr>
              <w:t>Mr. Hight’s 2025 Calculated Annual Incentive Payout Percentage</w:t>
            </w: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7"/>
        </w:trPr>
        <w:tc>
          <w:tcPr>
            <w:tcW w:w="4900" w:type="dxa"/>
            <w:vAlign w:val="bottom"/>
            <w:tcBorders>
              <w:top w:val="single" w:sz="8" w:color="009BDE"/>
            </w:tcBorders>
          </w:tcPr>
          <w:p>
            <w:pPr>
              <w:spacing w:after="0"/>
              <w:rPr>
                <w:sz w:val="21"/>
                <w:szCs w:val="21"/>
                <w:color w:val="auto"/>
              </w:rPr>
            </w:pPr>
          </w:p>
        </w:tc>
        <w:tc>
          <w:tcPr>
            <w:tcW w:w="6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0"/>
        </w:trPr>
        <w:tc>
          <w:tcPr>
            <w:tcW w:w="4900" w:type="dxa"/>
            <w:vAlign w:val="bottom"/>
            <w:shd w:val="clear" w:color="auto" w:fill="CCEBF8"/>
          </w:tcPr>
          <w:p>
            <w:pPr>
              <w:spacing w:after="0"/>
              <w:rPr>
                <w:sz w:val="20"/>
                <w:szCs w:val="20"/>
                <w:color w:val="auto"/>
              </w:rPr>
            </w:pPr>
          </w:p>
        </w:tc>
        <w:tc>
          <w:tcPr>
            <w:tcW w:w="640" w:type="dxa"/>
            <w:vAlign w:val="bottom"/>
            <w:shd w:val="clear" w:color="auto" w:fill="CCEBF8"/>
          </w:tcPr>
          <w:p>
            <w:pPr>
              <w:spacing w:after="0"/>
              <w:rPr>
                <w:sz w:val="20"/>
                <w:szCs w:val="20"/>
                <w:color w:val="auto"/>
              </w:rPr>
            </w:pPr>
          </w:p>
        </w:tc>
        <w:tc>
          <w:tcPr>
            <w:tcW w:w="1660" w:type="dxa"/>
            <w:vAlign w:val="bottom"/>
            <w:shd w:val="clear" w:color="auto" w:fill="CCEBF8"/>
          </w:tcPr>
          <w:p>
            <w:pPr>
              <w:spacing w:after="0"/>
              <w:rPr>
                <w:sz w:val="20"/>
                <w:szCs w:val="20"/>
                <w:color w:val="auto"/>
              </w:rPr>
            </w:pPr>
          </w:p>
        </w:tc>
        <w:tc>
          <w:tcPr>
            <w:tcW w:w="1520" w:type="dxa"/>
            <w:vAlign w:val="bottom"/>
            <w:shd w:val="clear" w:color="auto" w:fill="CCEBF8"/>
          </w:tcPr>
          <w:p>
            <w:pPr>
              <w:spacing w:after="0"/>
              <w:rPr>
                <w:sz w:val="20"/>
                <w:szCs w:val="20"/>
                <w:color w:val="auto"/>
              </w:rPr>
            </w:pPr>
          </w:p>
        </w:tc>
        <w:tc>
          <w:tcPr>
            <w:tcW w:w="1240" w:type="dxa"/>
            <w:vAlign w:val="bottom"/>
            <w:shd w:val="clear" w:color="auto" w:fill="CCEBF8"/>
          </w:tcPr>
          <w:p>
            <w:pPr>
              <w:jc w:val="center"/>
              <w:ind w:right="60"/>
              <w:spacing w:after="0"/>
              <w:rPr>
                <w:sz w:val="20"/>
                <w:szCs w:val="20"/>
                <w:color w:val="auto"/>
              </w:rPr>
            </w:pPr>
            <w:r>
              <w:rPr>
                <w:rFonts w:ascii="Arial" w:cs="Arial" w:eastAsia="Arial" w:hAnsi="Arial"/>
                <w:sz w:val="16"/>
                <w:szCs w:val="16"/>
                <w:b w:val="1"/>
                <w:bCs w:val="1"/>
                <w:color w:val="009BDE"/>
                <w:w w:val="99"/>
              </w:rPr>
              <w:t>Percentage</w:t>
            </w:r>
          </w:p>
        </w:tc>
        <w:tc>
          <w:tcPr>
            <w:tcW w:w="960" w:type="dxa"/>
            <w:vAlign w:val="bottom"/>
            <w:shd w:val="clear" w:color="auto" w:fill="CCEBF8"/>
          </w:tcPr>
          <w:p>
            <w:pPr>
              <w:jc w:val="center"/>
              <w:ind w:left="100"/>
              <w:spacing w:after="0"/>
              <w:rPr>
                <w:sz w:val="20"/>
                <w:szCs w:val="20"/>
                <w:color w:val="auto"/>
              </w:rPr>
            </w:pPr>
            <w:r>
              <w:rPr>
                <w:rFonts w:ascii="Arial" w:cs="Arial" w:eastAsia="Arial" w:hAnsi="Arial"/>
                <w:sz w:val="16"/>
                <w:szCs w:val="16"/>
                <w:b w:val="1"/>
                <w:bCs w:val="1"/>
                <w:color w:val="009BDE"/>
              </w:rPr>
              <w:t>Final</w:t>
            </w:r>
          </w:p>
        </w:tc>
        <w:tc>
          <w:tcPr>
            <w:tcW w:w="40" w:type="dxa"/>
            <w:vAlign w:val="bottom"/>
          </w:tcPr>
          <w:p>
            <w:pPr>
              <w:spacing w:after="0"/>
              <w:rPr>
                <w:sz w:val="20"/>
                <w:szCs w:val="20"/>
                <w:color w:val="auto"/>
              </w:rPr>
            </w:pPr>
          </w:p>
        </w:tc>
      </w:tr>
      <w:tr>
        <w:trPr>
          <w:trHeight w:val="221"/>
        </w:trPr>
        <w:tc>
          <w:tcPr>
            <w:tcW w:w="4900" w:type="dxa"/>
            <w:vAlign w:val="bottom"/>
            <w:shd w:val="clear" w:color="auto" w:fill="CCEBF8"/>
          </w:tcPr>
          <w:p>
            <w:pPr>
              <w:spacing w:after="0"/>
              <w:rPr>
                <w:sz w:val="19"/>
                <w:szCs w:val="19"/>
                <w:color w:val="auto"/>
              </w:rPr>
            </w:pPr>
          </w:p>
        </w:tc>
        <w:tc>
          <w:tcPr>
            <w:tcW w:w="640" w:type="dxa"/>
            <w:vAlign w:val="bottom"/>
            <w:shd w:val="clear" w:color="auto" w:fill="CCEBF8"/>
          </w:tcPr>
          <w:p>
            <w:pPr>
              <w:spacing w:after="0"/>
              <w:rPr>
                <w:sz w:val="19"/>
                <w:szCs w:val="19"/>
                <w:color w:val="auto"/>
              </w:rPr>
            </w:pPr>
          </w:p>
        </w:tc>
        <w:tc>
          <w:tcPr>
            <w:tcW w:w="1660" w:type="dxa"/>
            <w:vAlign w:val="bottom"/>
            <w:shd w:val="clear" w:color="auto" w:fill="CCEBF8"/>
          </w:tcPr>
          <w:p>
            <w:pPr>
              <w:jc w:val="center"/>
              <w:ind w:left="380"/>
              <w:spacing w:after="0"/>
              <w:rPr>
                <w:sz w:val="20"/>
                <w:szCs w:val="20"/>
                <w:color w:val="auto"/>
              </w:rPr>
            </w:pPr>
            <w:r>
              <w:rPr>
                <w:rFonts w:ascii="Arial" w:cs="Arial" w:eastAsia="Arial" w:hAnsi="Arial"/>
                <w:sz w:val="16"/>
                <w:szCs w:val="16"/>
                <w:b w:val="1"/>
                <w:bCs w:val="1"/>
                <w:color w:val="009BDE"/>
              </w:rPr>
              <w:t>Goal</w:t>
            </w:r>
          </w:p>
        </w:tc>
        <w:tc>
          <w:tcPr>
            <w:tcW w:w="1520" w:type="dxa"/>
            <w:vAlign w:val="bottom"/>
            <w:shd w:val="clear" w:color="auto" w:fill="CCEBF8"/>
          </w:tcPr>
          <w:p>
            <w:pPr>
              <w:jc w:val="right"/>
              <w:ind w:right="520"/>
              <w:spacing w:after="0"/>
              <w:rPr>
                <w:sz w:val="20"/>
                <w:szCs w:val="20"/>
                <w:color w:val="auto"/>
              </w:rPr>
            </w:pPr>
            <w:r>
              <w:rPr>
                <w:rFonts w:ascii="Arial" w:cs="Arial" w:eastAsia="Arial" w:hAnsi="Arial"/>
                <w:sz w:val="16"/>
                <w:szCs w:val="16"/>
                <w:b w:val="1"/>
                <w:bCs w:val="1"/>
                <w:color w:val="009BDE"/>
              </w:rPr>
              <w:t>Actual</w:t>
            </w:r>
          </w:p>
        </w:tc>
        <w:tc>
          <w:tcPr>
            <w:tcW w:w="1240" w:type="dxa"/>
            <w:vAlign w:val="bottom"/>
            <w:shd w:val="clear" w:color="auto" w:fill="CCEBF8"/>
          </w:tcPr>
          <w:p>
            <w:pPr>
              <w:jc w:val="center"/>
              <w:ind w:right="80"/>
              <w:spacing w:after="0"/>
              <w:rPr>
                <w:sz w:val="20"/>
                <w:szCs w:val="20"/>
                <w:color w:val="auto"/>
              </w:rPr>
            </w:pPr>
            <w:r>
              <w:rPr>
                <w:rFonts w:ascii="Arial" w:cs="Arial" w:eastAsia="Arial" w:hAnsi="Arial"/>
                <w:sz w:val="16"/>
                <w:szCs w:val="16"/>
                <w:b w:val="1"/>
                <w:bCs w:val="1"/>
                <w:color w:val="009BDE"/>
              </w:rPr>
              <w:t>Achievement</w:t>
            </w:r>
          </w:p>
        </w:tc>
        <w:tc>
          <w:tcPr>
            <w:tcW w:w="960" w:type="dxa"/>
            <w:vAlign w:val="bottom"/>
            <w:shd w:val="clear" w:color="auto" w:fill="CCEBF8"/>
          </w:tcPr>
          <w:p>
            <w:pPr>
              <w:jc w:val="center"/>
              <w:ind w:left="100"/>
              <w:spacing w:after="0"/>
              <w:rPr>
                <w:sz w:val="20"/>
                <w:szCs w:val="20"/>
                <w:color w:val="auto"/>
              </w:rPr>
            </w:pPr>
            <w:r>
              <w:rPr>
                <w:rFonts w:ascii="Arial" w:cs="Arial" w:eastAsia="Arial" w:hAnsi="Arial"/>
                <w:sz w:val="16"/>
                <w:szCs w:val="16"/>
                <w:b w:val="1"/>
                <w:bCs w:val="1"/>
                <w:color w:val="009BDE"/>
                <w:w w:val="99"/>
              </w:rPr>
              <w:t>Payout %  </w:t>
            </w:r>
          </w:p>
        </w:tc>
        <w:tc>
          <w:tcPr>
            <w:tcW w:w="40" w:type="dxa"/>
            <w:vAlign w:val="bottom"/>
          </w:tcPr>
          <w:p>
            <w:pPr>
              <w:spacing w:after="0"/>
              <w:rPr>
                <w:sz w:val="19"/>
                <w:szCs w:val="19"/>
                <w:color w:val="auto"/>
              </w:rPr>
            </w:pPr>
          </w:p>
        </w:tc>
      </w:tr>
      <w:tr>
        <w:trPr>
          <w:trHeight w:val="60"/>
        </w:trPr>
        <w:tc>
          <w:tcPr>
            <w:tcW w:w="4900" w:type="dxa"/>
            <w:vAlign w:val="bottom"/>
            <w:tcBorders>
              <w:bottom w:val="single" w:sz="8" w:color="009BDE"/>
            </w:tcBorders>
            <w:shd w:val="clear" w:color="auto" w:fill="CCEBF8"/>
          </w:tcPr>
          <w:p>
            <w:pPr>
              <w:spacing w:after="0"/>
              <w:rPr>
                <w:sz w:val="5"/>
                <w:szCs w:val="5"/>
                <w:color w:val="auto"/>
              </w:rPr>
            </w:pPr>
          </w:p>
        </w:tc>
        <w:tc>
          <w:tcPr>
            <w:tcW w:w="640" w:type="dxa"/>
            <w:vAlign w:val="bottom"/>
            <w:tcBorders>
              <w:bottom w:val="single" w:sz="8" w:color="009BDE"/>
            </w:tcBorders>
            <w:shd w:val="clear" w:color="auto" w:fill="CCEBF8"/>
          </w:tcPr>
          <w:p>
            <w:pPr>
              <w:spacing w:after="0"/>
              <w:rPr>
                <w:sz w:val="5"/>
                <w:szCs w:val="5"/>
                <w:color w:val="auto"/>
              </w:rPr>
            </w:pPr>
          </w:p>
        </w:tc>
        <w:tc>
          <w:tcPr>
            <w:tcW w:w="1660" w:type="dxa"/>
            <w:vAlign w:val="bottom"/>
            <w:tcBorders>
              <w:bottom w:val="single" w:sz="8" w:color="009BDE"/>
            </w:tcBorders>
            <w:shd w:val="clear" w:color="auto" w:fill="CCEBF8"/>
          </w:tcPr>
          <w:p>
            <w:pPr>
              <w:spacing w:after="0"/>
              <w:rPr>
                <w:sz w:val="5"/>
                <w:szCs w:val="5"/>
                <w:color w:val="auto"/>
              </w:rPr>
            </w:pPr>
          </w:p>
        </w:tc>
        <w:tc>
          <w:tcPr>
            <w:tcW w:w="1520" w:type="dxa"/>
            <w:vAlign w:val="bottom"/>
            <w:tcBorders>
              <w:bottom w:val="single" w:sz="8" w:color="009BDE"/>
            </w:tcBorders>
            <w:shd w:val="clear" w:color="auto" w:fill="CCEBF8"/>
          </w:tcPr>
          <w:p>
            <w:pPr>
              <w:spacing w:after="0"/>
              <w:rPr>
                <w:sz w:val="5"/>
                <w:szCs w:val="5"/>
                <w:color w:val="auto"/>
              </w:rPr>
            </w:pPr>
          </w:p>
        </w:tc>
        <w:tc>
          <w:tcPr>
            <w:tcW w:w="1240" w:type="dxa"/>
            <w:vAlign w:val="bottom"/>
            <w:tcBorders>
              <w:bottom w:val="single" w:sz="8" w:color="009BDE"/>
            </w:tcBorders>
            <w:shd w:val="clear" w:color="auto" w:fill="CCEBF8"/>
          </w:tcPr>
          <w:p>
            <w:pPr>
              <w:spacing w:after="0"/>
              <w:rPr>
                <w:sz w:val="5"/>
                <w:szCs w:val="5"/>
                <w:color w:val="auto"/>
              </w:rPr>
            </w:pPr>
          </w:p>
        </w:tc>
        <w:tc>
          <w:tcPr>
            <w:tcW w:w="960" w:type="dxa"/>
            <w:vAlign w:val="bottom"/>
            <w:tcBorders>
              <w:bottom w:val="single" w:sz="8" w:color="009BDE"/>
            </w:tcBorders>
            <w:shd w:val="clear" w:color="auto" w:fill="CCEBF8"/>
          </w:tcPr>
          <w:p>
            <w:pPr>
              <w:spacing w:after="0"/>
              <w:rPr>
                <w:sz w:val="5"/>
                <w:szCs w:val="5"/>
                <w:color w:val="auto"/>
              </w:rPr>
            </w:pPr>
          </w:p>
        </w:tc>
        <w:tc>
          <w:tcPr>
            <w:tcW w:w="40" w:type="dxa"/>
            <w:vAlign w:val="bottom"/>
          </w:tcPr>
          <w:p>
            <w:pPr>
              <w:spacing w:after="0"/>
              <w:rPr>
                <w:sz w:val="5"/>
                <w:szCs w:val="5"/>
                <w:color w:val="auto"/>
              </w:rPr>
            </w:pPr>
          </w:p>
        </w:tc>
      </w:tr>
      <w:tr>
        <w:trPr>
          <w:trHeight w:val="284"/>
        </w:trPr>
        <w:tc>
          <w:tcPr>
            <w:tcW w:w="5540" w:type="dxa"/>
            <w:vAlign w:val="bottom"/>
            <w:gridSpan w:val="2"/>
          </w:tcPr>
          <w:p>
            <w:pPr>
              <w:ind w:left="80"/>
              <w:spacing w:after="0"/>
              <w:rPr>
                <w:sz w:val="20"/>
                <w:szCs w:val="20"/>
                <w:color w:val="auto"/>
              </w:rPr>
            </w:pPr>
            <w:r>
              <w:rPr>
                <w:rFonts w:ascii="Arial" w:cs="Arial" w:eastAsia="Arial" w:hAnsi="Arial"/>
                <w:sz w:val="16"/>
                <w:szCs w:val="16"/>
                <w:color w:val="auto"/>
              </w:rPr>
              <w:t>Wizards Business Area Net Revenue (Weighted 40%)</w:t>
            </w:r>
          </w:p>
        </w:tc>
        <w:tc>
          <w:tcPr>
            <w:tcW w:w="1660" w:type="dxa"/>
            <w:vAlign w:val="bottom"/>
          </w:tcPr>
          <w:p>
            <w:pPr>
              <w:jc w:val="right"/>
              <w:ind w:right="100"/>
              <w:spacing w:after="0"/>
              <w:rPr>
                <w:sz w:val="20"/>
                <w:szCs w:val="20"/>
                <w:color w:val="auto"/>
              </w:rPr>
            </w:pPr>
            <w:r>
              <w:rPr>
                <w:rFonts w:ascii="Arial" w:cs="Arial" w:eastAsia="Arial" w:hAnsi="Arial"/>
                <w:sz w:val="16"/>
                <w:szCs w:val="16"/>
                <w:color w:val="auto"/>
              </w:rPr>
              <w:t>$1,601,000</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$ 2,150,000</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134%</w:t>
            </w:r>
          </w:p>
        </w:tc>
        <w:tc>
          <w:tcPr>
            <w:tcW w:w="1000" w:type="dxa"/>
            <w:vAlign w:val="bottom"/>
            <w:gridSpan w:val="2"/>
          </w:tcPr>
          <w:p>
            <w:pPr>
              <w:jc w:val="center"/>
              <w:ind w:left="80"/>
              <w:spacing w:after="0"/>
              <w:rPr>
                <w:sz w:val="20"/>
                <w:szCs w:val="20"/>
                <w:color w:val="auto"/>
              </w:rPr>
            </w:pPr>
            <w:r>
              <w:rPr>
                <w:rFonts w:ascii="Arial" w:cs="Arial" w:eastAsia="Arial" w:hAnsi="Arial"/>
                <w:sz w:val="16"/>
                <w:szCs w:val="16"/>
                <w:color w:val="auto"/>
                <w:w w:val="99"/>
              </w:rPr>
              <w:t>  80%  </w:t>
            </w:r>
          </w:p>
        </w:tc>
      </w:tr>
      <w:tr>
        <w:trPr>
          <w:trHeight w:val="97"/>
        </w:trPr>
        <w:tc>
          <w:tcPr>
            <w:tcW w:w="490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1660" w:type="dxa"/>
            <w:vAlign w:val="bottom"/>
            <w:tcBorders>
              <w:bottom w:val="single" w:sz="8" w:color="009BDE"/>
            </w:tcBorders>
          </w:tcPr>
          <w:p>
            <w:pPr>
              <w:spacing w:after="0"/>
              <w:rPr>
                <w:sz w:val="8"/>
                <w:szCs w:val="8"/>
                <w:color w:val="auto"/>
              </w:rPr>
            </w:pPr>
          </w:p>
        </w:tc>
        <w:tc>
          <w:tcPr>
            <w:tcW w:w="152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r>
        <w:trPr>
          <w:trHeight w:val="284"/>
        </w:trPr>
        <w:tc>
          <w:tcPr>
            <w:tcW w:w="5540" w:type="dxa"/>
            <w:vAlign w:val="bottom"/>
            <w:gridSpan w:val="2"/>
          </w:tcPr>
          <w:p>
            <w:pPr>
              <w:ind w:left="80"/>
              <w:spacing w:after="0"/>
              <w:rPr>
                <w:sz w:val="20"/>
                <w:szCs w:val="20"/>
                <w:color w:val="auto"/>
              </w:rPr>
            </w:pPr>
            <w:r>
              <w:rPr>
                <w:rFonts w:ascii="Arial" w:cs="Arial" w:eastAsia="Arial" w:hAnsi="Arial"/>
                <w:sz w:val="16"/>
                <w:szCs w:val="16"/>
                <w:color w:val="auto"/>
              </w:rPr>
              <w:t>Wizards Business Area Operating Profit Dollars (Weighted 40%)</w:t>
            </w:r>
          </w:p>
        </w:tc>
        <w:tc>
          <w:tcPr>
            <w:tcW w:w="1660" w:type="dxa"/>
            <w:vAlign w:val="bottom"/>
          </w:tcPr>
          <w:p>
            <w:pPr>
              <w:jc w:val="right"/>
              <w:ind w:right="140"/>
              <w:spacing w:after="0"/>
              <w:rPr>
                <w:sz w:val="20"/>
                <w:szCs w:val="20"/>
                <w:color w:val="auto"/>
              </w:rPr>
            </w:pPr>
            <w:r>
              <w:rPr>
                <w:rFonts w:ascii="Arial" w:cs="Arial" w:eastAsia="Arial" w:hAnsi="Arial"/>
                <w:sz w:val="16"/>
                <w:szCs w:val="16"/>
                <w:color w:val="auto"/>
              </w:rPr>
              <w:t>$650,000</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  985,000</w:t>
            </w:r>
          </w:p>
        </w:tc>
        <w:tc>
          <w:tcPr>
            <w:tcW w:w="1240" w:type="dxa"/>
            <w:vAlign w:val="bottom"/>
          </w:tcPr>
          <w:p>
            <w:pPr>
              <w:jc w:val="right"/>
              <w:ind w:right="360"/>
              <w:spacing w:after="0"/>
              <w:rPr>
                <w:sz w:val="20"/>
                <w:szCs w:val="20"/>
                <w:color w:val="auto"/>
              </w:rPr>
            </w:pPr>
            <w:r>
              <w:rPr>
                <w:rFonts w:ascii="Arial" w:cs="Arial" w:eastAsia="Arial" w:hAnsi="Arial"/>
                <w:sz w:val="16"/>
                <w:szCs w:val="16"/>
                <w:color w:val="auto"/>
              </w:rPr>
              <w:t>152%</w:t>
            </w:r>
          </w:p>
        </w:tc>
        <w:tc>
          <w:tcPr>
            <w:tcW w:w="1000" w:type="dxa"/>
            <w:vAlign w:val="bottom"/>
            <w:gridSpan w:val="2"/>
          </w:tcPr>
          <w:p>
            <w:pPr>
              <w:jc w:val="center"/>
              <w:ind w:left="80"/>
              <w:spacing w:after="0"/>
              <w:rPr>
                <w:sz w:val="20"/>
                <w:szCs w:val="20"/>
                <w:color w:val="auto"/>
              </w:rPr>
            </w:pPr>
            <w:r>
              <w:rPr>
                <w:rFonts w:ascii="Arial" w:cs="Arial" w:eastAsia="Arial" w:hAnsi="Arial"/>
                <w:sz w:val="16"/>
                <w:szCs w:val="16"/>
                <w:color w:val="auto"/>
                <w:w w:val="99"/>
              </w:rPr>
              <w:t>  80%  </w:t>
            </w:r>
          </w:p>
        </w:tc>
      </w:tr>
      <w:tr>
        <w:trPr>
          <w:trHeight w:val="97"/>
        </w:trPr>
        <w:tc>
          <w:tcPr>
            <w:tcW w:w="490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1660" w:type="dxa"/>
            <w:vAlign w:val="bottom"/>
            <w:tcBorders>
              <w:bottom w:val="single" w:sz="8" w:color="009BDE"/>
            </w:tcBorders>
          </w:tcPr>
          <w:p>
            <w:pPr>
              <w:spacing w:after="0"/>
              <w:rPr>
                <w:sz w:val="8"/>
                <w:szCs w:val="8"/>
                <w:color w:val="auto"/>
              </w:rPr>
            </w:pPr>
          </w:p>
        </w:tc>
        <w:tc>
          <w:tcPr>
            <w:tcW w:w="152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r>
        <w:trPr>
          <w:trHeight w:val="284"/>
        </w:trPr>
        <w:tc>
          <w:tcPr>
            <w:tcW w:w="5540" w:type="dxa"/>
            <w:vAlign w:val="bottom"/>
            <w:gridSpan w:val="2"/>
          </w:tcPr>
          <w:p>
            <w:pPr>
              <w:ind w:left="80"/>
              <w:spacing w:after="0"/>
              <w:rPr>
                <w:sz w:val="20"/>
                <w:szCs w:val="20"/>
                <w:color w:val="auto"/>
              </w:rPr>
            </w:pPr>
            <w:r>
              <w:rPr>
                <w:rFonts w:ascii="Arial" w:cs="Arial" w:eastAsia="Arial" w:hAnsi="Arial"/>
                <w:sz w:val="16"/>
                <w:szCs w:val="16"/>
                <w:color w:val="auto"/>
              </w:rPr>
              <w:t>Company Operating Profit Dollars (Weighted 20%)</w:t>
            </w:r>
          </w:p>
        </w:tc>
        <w:tc>
          <w:tcPr>
            <w:tcW w:w="1660" w:type="dxa"/>
            <w:vAlign w:val="bottom"/>
          </w:tcPr>
          <w:p>
            <w:pPr>
              <w:spacing w:after="0"/>
              <w:rPr>
                <w:sz w:val="24"/>
                <w:szCs w:val="24"/>
                <w:color w:val="auto"/>
              </w:rPr>
            </w:pPr>
          </w:p>
        </w:tc>
        <w:tc>
          <w:tcPr>
            <w:tcW w:w="1520" w:type="dxa"/>
            <w:vAlign w:val="bottom"/>
          </w:tcPr>
          <w:p>
            <w:pPr>
              <w:jc w:val="center"/>
              <w:ind w:left="60"/>
              <w:spacing w:after="0"/>
              <w:rPr>
                <w:sz w:val="20"/>
                <w:szCs w:val="20"/>
                <w:color w:val="auto"/>
              </w:rPr>
            </w:pPr>
            <w:r>
              <w:rPr>
                <w:rFonts w:ascii="Arial" w:cs="Arial" w:eastAsia="Arial" w:hAnsi="Arial"/>
                <w:sz w:val="16"/>
                <w:szCs w:val="16"/>
                <w:color w:val="auto"/>
                <w:w w:val="99"/>
              </w:rPr>
              <w:t>See details above</w:t>
            </w:r>
          </w:p>
        </w:tc>
        <w:tc>
          <w:tcPr>
            <w:tcW w:w="1240" w:type="dxa"/>
            <w:vAlign w:val="bottom"/>
          </w:tcPr>
          <w:p>
            <w:pPr>
              <w:spacing w:after="0"/>
              <w:rPr>
                <w:sz w:val="24"/>
                <w:szCs w:val="24"/>
                <w:color w:val="auto"/>
              </w:rPr>
            </w:pPr>
          </w:p>
        </w:tc>
        <w:tc>
          <w:tcPr>
            <w:tcW w:w="1000" w:type="dxa"/>
            <w:vAlign w:val="bottom"/>
            <w:gridSpan w:val="2"/>
          </w:tcPr>
          <w:p>
            <w:pPr>
              <w:jc w:val="center"/>
              <w:ind w:left="80"/>
              <w:spacing w:after="0"/>
              <w:rPr>
                <w:sz w:val="20"/>
                <w:szCs w:val="20"/>
                <w:color w:val="auto"/>
              </w:rPr>
            </w:pPr>
            <w:r>
              <w:rPr>
                <w:rFonts w:ascii="Arial" w:cs="Arial" w:eastAsia="Arial" w:hAnsi="Arial"/>
                <w:sz w:val="16"/>
                <w:szCs w:val="16"/>
                <w:color w:val="auto"/>
                <w:w w:val="99"/>
              </w:rPr>
              <w:t>  40%  </w:t>
            </w:r>
          </w:p>
        </w:tc>
      </w:tr>
      <w:tr>
        <w:trPr>
          <w:trHeight w:val="97"/>
        </w:trPr>
        <w:tc>
          <w:tcPr>
            <w:tcW w:w="490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4420" w:type="dxa"/>
            <w:vAlign w:val="bottom"/>
            <w:tcBorders>
              <w:bottom w:val="single" w:sz="8" w:color="009BDE"/>
            </w:tcBorders>
            <w:gridSpan w:val="3"/>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r>
        <w:trPr>
          <w:trHeight w:val="260"/>
        </w:trPr>
        <w:tc>
          <w:tcPr>
            <w:tcW w:w="5540" w:type="dxa"/>
            <w:vAlign w:val="bottom"/>
            <w:gridSpan w:val="2"/>
          </w:tcPr>
          <w:p>
            <w:pPr>
              <w:ind w:left="80"/>
              <w:spacing w:after="0"/>
              <w:rPr>
                <w:sz w:val="20"/>
                <w:szCs w:val="20"/>
                <w:color w:val="auto"/>
              </w:rPr>
            </w:pPr>
            <w:r>
              <w:rPr>
                <w:rFonts w:ascii="Arial" w:cs="Arial" w:eastAsia="Arial" w:hAnsi="Arial"/>
                <w:sz w:val="16"/>
                <w:szCs w:val="16"/>
                <w:i w:val="1"/>
                <w:iCs w:val="1"/>
                <w:color w:val="auto"/>
              </w:rPr>
              <w:t>All numbers are in thousands, except percentages</w:t>
            </w:r>
          </w:p>
        </w:tc>
        <w:tc>
          <w:tcPr>
            <w:tcW w:w="4420" w:type="dxa"/>
            <w:vAlign w:val="bottom"/>
            <w:gridSpan w:val="3"/>
          </w:tcPr>
          <w:p>
            <w:pPr>
              <w:jc w:val="center"/>
              <w:ind w:left="480"/>
              <w:spacing w:after="0"/>
              <w:rPr>
                <w:sz w:val="20"/>
                <w:szCs w:val="20"/>
                <w:color w:val="auto"/>
              </w:rPr>
            </w:pPr>
            <w:r>
              <w:rPr>
                <w:rFonts w:ascii="Arial" w:cs="Arial" w:eastAsia="Arial" w:hAnsi="Arial"/>
                <w:sz w:val="16"/>
                <w:szCs w:val="16"/>
                <w:color w:val="auto"/>
              </w:rPr>
              <w:t>Final Payout Percentage based on</w:t>
            </w: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11"/>
        </w:trPr>
        <w:tc>
          <w:tcPr>
            <w:tcW w:w="4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20" w:type="dxa"/>
            <w:vAlign w:val="bottom"/>
          </w:tcPr>
          <w:p>
            <w:pPr>
              <w:jc w:val="center"/>
              <w:ind w:left="80"/>
              <w:spacing w:after="0"/>
              <w:rPr>
                <w:sz w:val="20"/>
                <w:szCs w:val="20"/>
                <w:color w:val="auto"/>
              </w:rPr>
            </w:pPr>
            <w:r>
              <w:rPr>
                <w:rFonts w:ascii="Arial" w:cs="Arial" w:eastAsia="Arial" w:hAnsi="Arial"/>
                <w:sz w:val="16"/>
                <w:szCs w:val="16"/>
                <w:color w:val="auto"/>
              </w:rPr>
              <w:t>Metrics</w:t>
            </w:r>
          </w:p>
        </w:tc>
        <w:tc>
          <w:tcPr>
            <w:tcW w:w="1240" w:type="dxa"/>
            <w:vAlign w:val="bottom"/>
          </w:tcPr>
          <w:p>
            <w:pPr>
              <w:spacing w:after="0"/>
              <w:rPr>
                <w:sz w:val="18"/>
                <w:szCs w:val="18"/>
                <w:color w:val="auto"/>
              </w:rPr>
            </w:pPr>
          </w:p>
        </w:tc>
        <w:tc>
          <w:tcPr>
            <w:tcW w:w="1000" w:type="dxa"/>
            <w:vAlign w:val="bottom"/>
            <w:gridSpan w:val="2"/>
          </w:tcPr>
          <w:p>
            <w:pPr>
              <w:jc w:val="center"/>
              <w:ind w:left="80"/>
              <w:spacing w:after="0"/>
              <w:rPr>
                <w:sz w:val="20"/>
                <w:szCs w:val="20"/>
                <w:color w:val="auto"/>
              </w:rPr>
            </w:pPr>
            <w:r>
              <w:rPr>
                <w:rFonts w:ascii="Arial" w:cs="Arial" w:eastAsia="Arial" w:hAnsi="Arial"/>
                <w:sz w:val="16"/>
                <w:szCs w:val="16"/>
                <w:color w:val="auto"/>
              </w:rPr>
              <w:t>200%  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61595</wp:posOffset>
            </wp:positionV>
            <wp:extent cx="69297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Note: For the business area to have a payout on the business area component both business area metrics must achieve the minimum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257175</wp:posOffset>
            </wp:positionV>
            <wp:extent cx="6964045" cy="39052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  32</w:t>
      </w:r>
    </w:p>
    <w:p>
      <w:pPr>
        <w:sectPr>
          <w:pgSz w:w="11900" w:h="16838" w:orient="portrait"/>
          <w:cols w:equalWidth="0" w:num="1">
            <w:col w:w="11120"/>
          </w:cols>
          <w:pgMar w:left="320" w:top="478"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5820" w:type="dxa"/>
            <w:vAlign w:val="bottom"/>
            <w:gridSpan w:val="2"/>
          </w:tcPr>
          <w:p>
            <w:pPr>
              <w:spacing w:after="0"/>
              <w:rPr>
                <w:sz w:val="20"/>
                <w:szCs w:val="20"/>
                <w:color w:val="auto"/>
              </w:rPr>
            </w:pPr>
            <w:r>
              <w:rPr>
                <w:rFonts w:ascii="Arial" w:cs="Arial" w:eastAsia="Arial" w:hAnsi="Arial"/>
                <w:sz w:val="16"/>
                <w:szCs w:val="16"/>
                <w:b w:val="1"/>
                <w:bCs w:val="1"/>
                <w:i w:val="1"/>
                <w:iCs w:val="1"/>
                <w:color w:val="009BDE"/>
              </w:rPr>
              <w:t>Mr. Kilpin’s 2025 Calculated Annual Incentive Payout Percentage</w:t>
            </w: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7"/>
        </w:trPr>
        <w:tc>
          <w:tcPr>
            <w:tcW w:w="4940" w:type="dxa"/>
            <w:vAlign w:val="bottom"/>
            <w:tcBorders>
              <w:top w:val="single" w:sz="8" w:color="009BDE"/>
            </w:tcBorders>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0"/>
        </w:trPr>
        <w:tc>
          <w:tcPr>
            <w:tcW w:w="4940" w:type="dxa"/>
            <w:vAlign w:val="bottom"/>
            <w:shd w:val="clear" w:color="auto" w:fill="CCEBF8"/>
          </w:tcPr>
          <w:p>
            <w:pPr>
              <w:spacing w:after="0"/>
              <w:rPr>
                <w:sz w:val="20"/>
                <w:szCs w:val="20"/>
                <w:color w:val="auto"/>
              </w:rPr>
            </w:pPr>
          </w:p>
        </w:tc>
        <w:tc>
          <w:tcPr>
            <w:tcW w:w="880" w:type="dxa"/>
            <w:vAlign w:val="bottom"/>
            <w:shd w:val="clear" w:color="auto" w:fill="CCEBF8"/>
          </w:tcPr>
          <w:p>
            <w:pPr>
              <w:spacing w:after="0"/>
              <w:rPr>
                <w:sz w:val="20"/>
                <w:szCs w:val="20"/>
                <w:color w:val="auto"/>
              </w:rPr>
            </w:pPr>
          </w:p>
        </w:tc>
        <w:tc>
          <w:tcPr>
            <w:tcW w:w="480" w:type="dxa"/>
            <w:vAlign w:val="bottom"/>
            <w:shd w:val="clear" w:color="auto" w:fill="CCEBF8"/>
          </w:tcPr>
          <w:p>
            <w:pPr>
              <w:spacing w:after="0"/>
              <w:rPr>
                <w:sz w:val="20"/>
                <w:szCs w:val="20"/>
                <w:color w:val="auto"/>
              </w:rPr>
            </w:pPr>
          </w:p>
        </w:tc>
        <w:tc>
          <w:tcPr>
            <w:tcW w:w="900" w:type="dxa"/>
            <w:vAlign w:val="bottom"/>
            <w:shd w:val="clear" w:color="auto" w:fill="CCEBF8"/>
          </w:tcPr>
          <w:p>
            <w:pPr>
              <w:spacing w:after="0"/>
              <w:rPr>
                <w:sz w:val="20"/>
                <w:szCs w:val="20"/>
                <w:color w:val="auto"/>
              </w:rPr>
            </w:pPr>
          </w:p>
        </w:tc>
        <w:tc>
          <w:tcPr>
            <w:tcW w:w="360" w:type="dxa"/>
            <w:vAlign w:val="bottom"/>
            <w:shd w:val="clear" w:color="auto" w:fill="CCEBF8"/>
          </w:tcPr>
          <w:p>
            <w:pPr>
              <w:spacing w:after="0"/>
              <w:rPr>
                <w:sz w:val="20"/>
                <w:szCs w:val="20"/>
                <w:color w:val="auto"/>
              </w:rPr>
            </w:pPr>
          </w:p>
        </w:tc>
        <w:tc>
          <w:tcPr>
            <w:tcW w:w="1120" w:type="dxa"/>
            <w:vAlign w:val="bottom"/>
            <w:shd w:val="clear" w:color="auto" w:fill="CCEBF8"/>
          </w:tcPr>
          <w:p>
            <w:pPr>
              <w:spacing w:after="0"/>
              <w:rPr>
                <w:sz w:val="20"/>
                <w:szCs w:val="20"/>
                <w:color w:val="auto"/>
              </w:rPr>
            </w:pPr>
          </w:p>
        </w:tc>
        <w:tc>
          <w:tcPr>
            <w:tcW w:w="1220" w:type="dxa"/>
            <w:vAlign w:val="bottom"/>
            <w:shd w:val="clear" w:color="auto" w:fill="CCEBF8"/>
          </w:tcPr>
          <w:p>
            <w:pPr>
              <w:jc w:val="right"/>
              <w:ind w:right="160"/>
              <w:spacing w:after="0"/>
              <w:rPr>
                <w:sz w:val="20"/>
                <w:szCs w:val="20"/>
                <w:color w:val="auto"/>
              </w:rPr>
            </w:pPr>
            <w:r>
              <w:rPr>
                <w:rFonts w:ascii="Arial" w:cs="Arial" w:eastAsia="Arial" w:hAnsi="Arial"/>
                <w:sz w:val="16"/>
                <w:szCs w:val="16"/>
                <w:b w:val="1"/>
                <w:bCs w:val="1"/>
                <w:color w:val="009BDE"/>
              </w:rPr>
              <w:t>Percentage</w:t>
            </w:r>
          </w:p>
        </w:tc>
        <w:tc>
          <w:tcPr>
            <w:tcW w:w="1020" w:type="dxa"/>
            <w:vAlign w:val="bottom"/>
            <w:shd w:val="clear" w:color="auto" w:fill="CCEBF8"/>
          </w:tcPr>
          <w:p>
            <w:pPr>
              <w:jc w:val="right"/>
              <w:ind w:right="200"/>
              <w:spacing w:after="0"/>
              <w:rPr>
                <w:sz w:val="20"/>
                <w:szCs w:val="20"/>
                <w:color w:val="auto"/>
              </w:rPr>
            </w:pPr>
            <w:r>
              <w:rPr>
                <w:rFonts w:ascii="Arial" w:cs="Arial" w:eastAsia="Arial" w:hAnsi="Arial"/>
                <w:sz w:val="16"/>
                <w:szCs w:val="16"/>
                <w:b w:val="1"/>
                <w:bCs w:val="1"/>
                <w:color w:val="009BDE"/>
              </w:rPr>
              <w:t>Final</w:t>
            </w:r>
          </w:p>
        </w:tc>
      </w:tr>
      <w:tr>
        <w:trPr>
          <w:trHeight w:val="221"/>
        </w:trPr>
        <w:tc>
          <w:tcPr>
            <w:tcW w:w="4940" w:type="dxa"/>
            <w:vAlign w:val="bottom"/>
            <w:shd w:val="clear" w:color="auto" w:fill="CCEBF8"/>
          </w:tcPr>
          <w:p>
            <w:pPr>
              <w:spacing w:after="0"/>
              <w:rPr>
                <w:sz w:val="19"/>
                <w:szCs w:val="19"/>
                <w:color w:val="auto"/>
              </w:rPr>
            </w:pPr>
          </w:p>
        </w:tc>
        <w:tc>
          <w:tcPr>
            <w:tcW w:w="880" w:type="dxa"/>
            <w:vAlign w:val="bottom"/>
            <w:shd w:val="clear" w:color="auto" w:fill="CCEBF8"/>
          </w:tcPr>
          <w:p>
            <w:pPr>
              <w:spacing w:after="0"/>
              <w:rPr>
                <w:sz w:val="19"/>
                <w:szCs w:val="19"/>
                <w:color w:val="auto"/>
              </w:rPr>
            </w:pPr>
          </w:p>
        </w:tc>
        <w:tc>
          <w:tcPr>
            <w:tcW w:w="480" w:type="dxa"/>
            <w:vAlign w:val="bottom"/>
            <w:shd w:val="clear" w:color="auto" w:fill="CCEBF8"/>
          </w:tcPr>
          <w:p>
            <w:pPr>
              <w:spacing w:after="0"/>
              <w:rPr>
                <w:sz w:val="19"/>
                <w:szCs w:val="19"/>
                <w:color w:val="auto"/>
              </w:rPr>
            </w:pPr>
          </w:p>
        </w:tc>
        <w:tc>
          <w:tcPr>
            <w:tcW w:w="900" w:type="dxa"/>
            <w:vAlign w:val="bottom"/>
            <w:shd w:val="clear" w:color="auto" w:fill="CCEBF8"/>
          </w:tcPr>
          <w:p>
            <w:pPr>
              <w:jc w:val="right"/>
              <w:ind w:right="340"/>
              <w:spacing w:after="0"/>
              <w:rPr>
                <w:sz w:val="20"/>
                <w:szCs w:val="20"/>
                <w:color w:val="auto"/>
              </w:rPr>
            </w:pPr>
            <w:r>
              <w:rPr>
                <w:rFonts w:ascii="Arial" w:cs="Arial" w:eastAsia="Arial" w:hAnsi="Arial"/>
                <w:sz w:val="16"/>
                <w:szCs w:val="16"/>
                <w:b w:val="1"/>
                <w:bCs w:val="1"/>
                <w:color w:val="009BDE"/>
              </w:rPr>
              <w:t>Goal</w:t>
            </w:r>
          </w:p>
        </w:tc>
        <w:tc>
          <w:tcPr>
            <w:tcW w:w="360" w:type="dxa"/>
            <w:vAlign w:val="bottom"/>
            <w:shd w:val="clear" w:color="auto" w:fill="CCEBF8"/>
          </w:tcPr>
          <w:p>
            <w:pPr>
              <w:spacing w:after="0"/>
              <w:rPr>
                <w:sz w:val="19"/>
                <w:szCs w:val="19"/>
                <w:color w:val="auto"/>
              </w:rPr>
            </w:pPr>
          </w:p>
        </w:tc>
        <w:tc>
          <w:tcPr>
            <w:tcW w:w="1120" w:type="dxa"/>
            <w:vAlign w:val="bottom"/>
            <w:shd w:val="clear" w:color="auto" w:fill="CCEBF8"/>
          </w:tcPr>
          <w:p>
            <w:pPr>
              <w:jc w:val="right"/>
              <w:ind w:right="500"/>
              <w:spacing w:after="0"/>
              <w:rPr>
                <w:sz w:val="20"/>
                <w:szCs w:val="20"/>
                <w:color w:val="auto"/>
              </w:rPr>
            </w:pPr>
            <w:r>
              <w:rPr>
                <w:rFonts w:ascii="Arial" w:cs="Arial" w:eastAsia="Arial" w:hAnsi="Arial"/>
                <w:sz w:val="16"/>
                <w:szCs w:val="16"/>
                <w:b w:val="1"/>
                <w:bCs w:val="1"/>
                <w:color w:val="009BDE"/>
              </w:rPr>
              <w:t>Actual</w:t>
            </w:r>
          </w:p>
        </w:tc>
        <w:tc>
          <w:tcPr>
            <w:tcW w:w="1220" w:type="dxa"/>
            <w:vAlign w:val="bottom"/>
            <w:shd w:val="clear" w:color="auto" w:fill="CCEBF8"/>
          </w:tcPr>
          <w:p>
            <w:pPr>
              <w:jc w:val="right"/>
              <w:ind w:right="100"/>
              <w:spacing w:after="0"/>
              <w:rPr>
                <w:sz w:val="20"/>
                <w:szCs w:val="20"/>
                <w:color w:val="auto"/>
              </w:rPr>
            </w:pPr>
            <w:r>
              <w:rPr>
                <w:rFonts w:ascii="Arial" w:cs="Arial" w:eastAsia="Arial" w:hAnsi="Arial"/>
                <w:sz w:val="16"/>
                <w:szCs w:val="16"/>
                <w:b w:val="1"/>
                <w:bCs w:val="1"/>
                <w:color w:val="009BDE"/>
              </w:rPr>
              <w:t>Achievement</w:t>
            </w:r>
          </w:p>
        </w:tc>
        <w:tc>
          <w:tcPr>
            <w:tcW w:w="1020" w:type="dxa"/>
            <w:vAlign w:val="bottom"/>
            <w:shd w:val="clear" w:color="auto" w:fill="CCEBF8"/>
          </w:tcPr>
          <w:p>
            <w:pPr>
              <w:jc w:val="right"/>
              <w:ind w:right="40"/>
              <w:spacing w:after="0"/>
              <w:rPr>
                <w:sz w:val="20"/>
                <w:szCs w:val="20"/>
                <w:color w:val="auto"/>
              </w:rPr>
            </w:pPr>
            <w:r>
              <w:rPr>
                <w:rFonts w:ascii="Arial" w:cs="Arial" w:eastAsia="Arial" w:hAnsi="Arial"/>
                <w:sz w:val="16"/>
                <w:szCs w:val="16"/>
                <w:b w:val="1"/>
                <w:bCs w:val="1"/>
                <w:color w:val="009BDE"/>
              </w:rPr>
              <w:t>Payout %</w:t>
            </w:r>
          </w:p>
        </w:tc>
      </w:tr>
      <w:tr>
        <w:trPr>
          <w:trHeight w:val="60"/>
        </w:trPr>
        <w:tc>
          <w:tcPr>
            <w:tcW w:w="4940" w:type="dxa"/>
            <w:vAlign w:val="bottom"/>
            <w:tcBorders>
              <w:bottom w:val="single" w:sz="8" w:color="009BDE"/>
            </w:tcBorders>
            <w:shd w:val="clear" w:color="auto" w:fill="CCEBF8"/>
          </w:tcPr>
          <w:p>
            <w:pPr>
              <w:spacing w:after="0"/>
              <w:rPr>
                <w:sz w:val="5"/>
                <w:szCs w:val="5"/>
                <w:color w:val="auto"/>
              </w:rPr>
            </w:pPr>
          </w:p>
        </w:tc>
        <w:tc>
          <w:tcPr>
            <w:tcW w:w="880" w:type="dxa"/>
            <w:vAlign w:val="bottom"/>
            <w:tcBorders>
              <w:bottom w:val="single" w:sz="8" w:color="009BDE"/>
            </w:tcBorders>
            <w:shd w:val="clear" w:color="auto" w:fill="CCEBF8"/>
          </w:tcPr>
          <w:p>
            <w:pPr>
              <w:spacing w:after="0"/>
              <w:rPr>
                <w:sz w:val="5"/>
                <w:szCs w:val="5"/>
                <w:color w:val="auto"/>
              </w:rPr>
            </w:pPr>
          </w:p>
        </w:tc>
        <w:tc>
          <w:tcPr>
            <w:tcW w:w="480" w:type="dxa"/>
            <w:vAlign w:val="bottom"/>
            <w:tcBorders>
              <w:bottom w:val="single" w:sz="8" w:color="009BDE"/>
            </w:tcBorders>
            <w:shd w:val="clear" w:color="auto" w:fill="CCEBF8"/>
          </w:tcPr>
          <w:p>
            <w:pPr>
              <w:spacing w:after="0"/>
              <w:rPr>
                <w:sz w:val="5"/>
                <w:szCs w:val="5"/>
                <w:color w:val="auto"/>
              </w:rPr>
            </w:pPr>
          </w:p>
        </w:tc>
        <w:tc>
          <w:tcPr>
            <w:tcW w:w="900" w:type="dxa"/>
            <w:vAlign w:val="bottom"/>
            <w:tcBorders>
              <w:bottom w:val="single" w:sz="8" w:color="009BDE"/>
            </w:tcBorders>
            <w:shd w:val="clear" w:color="auto" w:fill="CCEBF8"/>
          </w:tcPr>
          <w:p>
            <w:pPr>
              <w:spacing w:after="0"/>
              <w:rPr>
                <w:sz w:val="5"/>
                <w:szCs w:val="5"/>
                <w:color w:val="auto"/>
              </w:rPr>
            </w:pPr>
          </w:p>
        </w:tc>
        <w:tc>
          <w:tcPr>
            <w:tcW w:w="360" w:type="dxa"/>
            <w:vAlign w:val="bottom"/>
            <w:tcBorders>
              <w:bottom w:val="single" w:sz="8" w:color="009BDE"/>
            </w:tcBorders>
            <w:shd w:val="clear" w:color="auto" w:fill="CCEBF8"/>
          </w:tcPr>
          <w:p>
            <w:pPr>
              <w:spacing w:after="0"/>
              <w:rPr>
                <w:sz w:val="5"/>
                <w:szCs w:val="5"/>
                <w:color w:val="auto"/>
              </w:rPr>
            </w:pPr>
          </w:p>
        </w:tc>
        <w:tc>
          <w:tcPr>
            <w:tcW w:w="1120" w:type="dxa"/>
            <w:vAlign w:val="bottom"/>
            <w:tcBorders>
              <w:bottom w:val="single" w:sz="8" w:color="009BDE"/>
            </w:tcBorders>
            <w:shd w:val="clear" w:color="auto" w:fill="CCEBF8"/>
          </w:tcPr>
          <w:p>
            <w:pPr>
              <w:spacing w:after="0"/>
              <w:rPr>
                <w:sz w:val="5"/>
                <w:szCs w:val="5"/>
                <w:color w:val="auto"/>
              </w:rPr>
            </w:pPr>
          </w:p>
        </w:tc>
        <w:tc>
          <w:tcPr>
            <w:tcW w:w="1220" w:type="dxa"/>
            <w:vAlign w:val="bottom"/>
            <w:tcBorders>
              <w:bottom w:val="single" w:sz="8" w:color="009BDE"/>
            </w:tcBorders>
            <w:shd w:val="clear" w:color="auto" w:fill="CCEBF8"/>
          </w:tcPr>
          <w:p>
            <w:pPr>
              <w:spacing w:after="0"/>
              <w:rPr>
                <w:sz w:val="5"/>
                <w:szCs w:val="5"/>
                <w:color w:val="auto"/>
              </w:rPr>
            </w:pPr>
          </w:p>
        </w:tc>
        <w:tc>
          <w:tcPr>
            <w:tcW w:w="1020" w:type="dxa"/>
            <w:vAlign w:val="bottom"/>
            <w:tcBorders>
              <w:bottom w:val="single" w:sz="8" w:color="009BDE"/>
            </w:tcBorders>
            <w:shd w:val="clear" w:color="auto" w:fill="CCEBF8"/>
          </w:tcPr>
          <w:p>
            <w:pPr>
              <w:spacing w:after="0"/>
              <w:rPr>
                <w:sz w:val="5"/>
                <w:szCs w:val="5"/>
                <w:color w:val="auto"/>
              </w:rPr>
            </w:pPr>
          </w:p>
        </w:tc>
      </w:tr>
      <w:tr>
        <w:trPr>
          <w:trHeight w:val="284"/>
        </w:trPr>
        <w:tc>
          <w:tcPr>
            <w:tcW w:w="5820" w:type="dxa"/>
            <w:vAlign w:val="bottom"/>
            <w:gridSpan w:val="2"/>
          </w:tcPr>
          <w:p>
            <w:pPr>
              <w:ind w:left="80"/>
              <w:spacing w:after="0"/>
              <w:rPr>
                <w:sz w:val="20"/>
                <w:szCs w:val="20"/>
                <w:color w:val="auto"/>
              </w:rPr>
            </w:pPr>
            <w:r>
              <w:rPr>
                <w:rFonts w:ascii="Arial" w:cs="Arial" w:eastAsia="Arial" w:hAnsi="Arial"/>
                <w:sz w:val="16"/>
                <w:szCs w:val="16"/>
                <w:color w:val="auto"/>
              </w:rPr>
              <w:t>TGLE Business Area Net Revenue (Weighted 40%)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w w:val="98"/>
              </w:rPr>
              <w:t>2,610,000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20"/>
              <w:spacing w:after="0"/>
              <w:rPr>
                <w:sz w:val="20"/>
                <w:szCs w:val="20"/>
                <w:color w:val="auto"/>
              </w:rPr>
            </w:pPr>
            <w:r>
              <w:rPr>
                <w:rFonts w:ascii="Arial" w:cs="Arial" w:eastAsia="Arial" w:hAnsi="Arial"/>
                <w:sz w:val="16"/>
                <w:szCs w:val="16"/>
                <w:color w:val="auto"/>
                <w:w w:val="98"/>
              </w:rPr>
              <w:t>2,457,000</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94%</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97"/>
        </w:trPr>
        <w:tc>
          <w:tcPr>
            <w:tcW w:w="494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48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2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4"/>
        </w:trPr>
        <w:tc>
          <w:tcPr>
            <w:tcW w:w="5820" w:type="dxa"/>
            <w:vAlign w:val="bottom"/>
            <w:gridSpan w:val="2"/>
          </w:tcPr>
          <w:p>
            <w:pPr>
              <w:ind w:left="80"/>
              <w:spacing w:after="0"/>
              <w:rPr>
                <w:sz w:val="20"/>
                <w:szCs w:val="20"/>
                <w:color w:val="auto"/>
              </w:rPr>
            </w:pPr>
            <w:r>
              <w:rPr>
                <w:rFonts w:ascii="Arial" w:cs="Arial" w:eastAsia="Arial" w:hAnsi="Arial"/>
                <w:sz w:val="16"/>
                <w:szCs w:val="16"/>
                <w:color w:val="auto"/>
              </w:rPr>
              <w:t>TGLE Business Area Operating Profit Dollars (Weighted 40%)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322,000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20"/>
              <w:spacing w:after="0"/>
              <w:rPr>
                <w:sz w:val="20"/>
                <w:szCs w:val="20"/>
                <w:color w:val="auto"/>
              </w:rPr>
            </w:pPr>
            <w:r>
              <w:rPr>
                <w:rFonts w:ascii="Arial" w:cs="Arial" w:eastAsia="Arial" w:hAnsi="Arial"/>
                <w:sz w:val="16"/>
                <w:szCs w:val="16"/>
                <w:color w:val="auto"/>
              </w:rPr>
              <w:t>157,000</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49%</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97"/>
        </w:trPr>
        <w:tc>
          <w:tcPr>
            <w:tcW w:w="494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48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1480" w:type="dxa"/>
            <w:vAlign w:val="bottom"/>
            <w:tcBorders>
              <w:bottom w:val="single" w:sz="8" w:color="009BDE"/>
            </w:tcBorders>
            <w:gridSpan w:val="2"/>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4"/>
        </w:trPr>
        <w:tc>
          <w:tcPr>
            <w:tcW w:w="5820" w:type="dxa"/>
            <w:vAlign w:val="bottom"/>
            <w:gridSpan w:val="2"/>
          </w:tcPr>
          <w:p>
            <w:pPr>
              <w:ind w:left="80"/>
              <w:spacing w:after="0"/>
              <w:rPr>
                <w:sz w:val="20"/>
                <w:szCs w:val="20"/>
                <w:color w:val="auto"/>
              </w:rPr>
            </w:pPr>
            <w:r>
              <w:rPr>
                <w:rFonts w:ascii="Arial" w:cs="Arial" w:eastAsia="Arial" w:hAnsi="Arial"/>
                <w:sz w:val="16"/>
                <w:szCs w:val="16"/>
                <w:color w:val="auto"/>
              </w:rPr>
              <w:t>Company Operating Profit Dollars (Weighted 20%)</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gridSpan w:val="2"/>
          </w:tcPr>
          <w:p>
            <w:pPr>
              <w:jc w:val="center"/>
              <w:ind w:left="60"/>
              <w:spacing w:after="0"/>
              <w:rPr>
                <w:sz w:val="20"/>
                <w:szCs w:val="20"/>
                <w:color w:val="auto"/>
              </w:rPr>
            </w:pPr>
            <w:r>
              <w:rPr>
                <w:rFonts w:ascii="Arial" w:cs="Arial" w:eastAsia="Arial" w:hAnsi="Arial"/>
                <w:sz w:val="16"/>
                <w:szCs w:val="16"/>
                <w:color w:val="auto"/>
                <w:w w:val="99"/>
              </w:rPr>
              <w:t>See details above</w:t>
            </w:r>
          </w:p>
        </w:tc>
        <w:tc>
          <w:tcPr>
            <w:tcW w:w="122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40%</w:t>
            </w:r>
          </w:p>
        </w:tc>
      </w:tr>
      <w:tr>
        <w:trPr>
          <w:trHeight w:val="97"/>
        </w:trPr>
        <w:tc>
          <w:tcPr>
            <w:tcW w:w="494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480" w:type="dxa"/>
            <w:vAlign w:val="bottom"/>
            <w:tcBorders>
              <w:bottom w:val="single" w:sz="8" w:color="009BDE"/>
            </w:tcBorders>
          </w:tcPr>
          <w:p>
            <w:pPr>
              <w:spacing w:after="0"/>
              <w:rPr>
                <w:sz w:val="8"/>
                <w:szCs w:val="8"/>
                <w:color w:val="auto"/>
              </w:rPr>
            </w:pPr>
          </w:p>
        </w:tc>
        <w:tc>
          <w:tcPr>
            <w:tcW w:w="3600" w:type="dxa"/>
            <w:vAlign w:val="bottom"/>
            <w:tcBorders>
              <w:bottom w:val="single" w:sz="8" w:color="009BDE"/>
            </w:tcBorders>
            <w:gridSpan w:val="4"/>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60"/>
        </w:trPr>
        <w:tc>
          <w:tcPr>
            <w:tcW w:w="5820" w:type="dxa"/>
            <w:vAlign w:val="bottom"/>
            <w:gridSpan w:val="2"/>
          </w:tcPr>
          <w:p>
            <w:pPr>
              <w:ind w:left="80"/>
              <w:spacing w:after="0"/>
              <w:rPr>
                <w:sz w:val="20"/>
                <w:szCs w:val="20"/>
                <w:color w:val="auto"/>
              </w:rPr>
            </w:pPr>
            <w:r>
              <w:rPr>
                <w:rFonts w:ascii="Arial" w:cs="Arial" w:eastAsia="Arial" w:hAnsi="Arial"/>
                <w:sz w:val="16"/>
                <w:szCs w:val="16"/>
                <w:i w:val="1"/>
                <w:iCs w:val="1"/>
                <w:color w:val="auto"/>
              </w:rPr>
              <w:t>All numbers are in thousands, except percentages</w:t>
            </w:r>
          </w:p>
        </w:tc>
        <w:tc>
          <w:tcPr>
            <w:tcW w:w="480" w:type="dxa"/>
            <w:vAlign w:val="bottom"/>
          </w:tcPr>
          <w:p>
            <w:pPr>
              <w:spacing w:after="0"/>
              <w:rPr>
                <w:sz w:val="22"/>
                <w:szCs w:val="22"/>
                <w:color w:val="auto"/>
              </w:rPr>
            </w:pPr>
          </w:p>
        </w:tc>
        <w:tc>
          <w:tcPr>
            <w:tcW w:w="3600" w:type="dxa"/>
            <w:vAlign w:val="bottom"/>
            <w:gridSpan w:val="4"/>
          </w:tcPr>
          <w:p>
            <w:pPr>
              <w:jc w:val="center"/>
              <w:ind w:right="100"/>
              <w:spacing w:after="0"/>
              <w:rPr>
                <w:sz w:val="20"/>
                <w:szCs w:val="20"/>
                <w:color w:val="auto"/>
              </w:rPr>
            </w:pPr>
            <w:r>
              <w:rPr>
                <w:rFonts w:ascii="Arial" w:cs="Arial" w:eastAsia="Arial" w:hAnsi="Arial"/>
                <w:sz w:val="16"/>
                <w:szCs w:val="16"/>
                <w:color w:val="auto"/>
              </w:rPr>
              <w:t>Final Payout Percentage based on</w:t>
            </w:r>
          </w:p>
        </w:tc>
        <w:tc>
          <w:tcPr>
            <w:tcW w:w="1020" w:type="dxa"/>
            <w:vAlign w:val="bottom"/>
          </w:tcPr>
          <w:p>
            <w:pPr>
              <w:spacing w:after="0"/>
              <w:rPr>
                <w:sz w:val="22"/>
                <w:szCs w:val="22"/>
                <w:color w:val="auto"/>
              </w:rPr>
            </w:pPr>
          </w:p>
        </w:tc>
      </w:tr>
      <w:tr>
        <w:trPr>
          <w:trHeight w:val="211"/>
        </w:trPr>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center"/>
              <w:ind w:right="120"/>
              <w:spacing w:after="0"/>
              <w:rPr>
                <w:sz w:val="20"/>
                <w:szCs w:val="20"/>
                <w:color w:val="auto"/>
              </w:rPr>
            </w:pPr>
            <w:r>
              <w:rPr>
                <w:rFonts w:ascii="Arial" w:cs="Arial" w:eastAsia="Arial" w:hAnsi="Arial"/>
                <w:sz w:val="16"/>
                <w:szCs w:val="16"/>
                <w:color w:val="auto"/>
              </w:rPr>
              <w:t>Metrics</w:t>
            </w:r>
          </w:p>
        </w:tc>
        <w:tc>
          <w:tcPr>
            <w:tcW w:w="122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61595</wp:posOffset>
            </wp:positionV>
            <wp:extent cx="69297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Note: For the business area to have a payout on the business area component both business area metrics must achieve the minimum threshold.</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9BDE"/>
        </w:rPr>
        <w:t>Calculated 2025 Annual Incentive Payouts</w:t>
      </w:r>
    </w:p>
    <w:p>
      <w:pPr>
        <w:spacing w:after="0" w:line="110"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With respect to the 2025 annual incentive plan payouts, the Committee reviewed the performance of the Company and its business areas against the annual incentive plan target metrics for fiscal year 2025. The Committee reviewed the base incentive awards that would have been received by the NEOs using the Company and business area performance against the target metrics. The Committee then determined how the NEO performed in achieving the individual strategic objectives established at the beginning of the year to determine, what, if any, adjustments should be made to the base incentive award to arrive at the final payout amount for each executive. The Committee can adjust the base incentive award down to 0% or up to +35% of the applicable base incentive award based upon the executive’s performance against individual objectives.</w:t>
      </w:r>
    </w:p>
    <w:p>
      <w:pPr>
        <w:spacing w:after="0" w:line="183" w:lineRule="exact"/>
        <w:rPr>
          <w:sz w:val="20"/>
          <w:szCs w:val="20"/>
          <w:color w:val="auto"/>
        </w:rPr>
      </w:pPr>
    </w:p>
    <w:p>
      <w:pPr>
        <w:jc w:val="both"/>
        <w:ind w:left="160" w:right="260"/>
        <w:spacing w:after="0" w:line="256" w:lineRule="auto"/>
        <w:rPr>
          <w:sz w:val="20"/>
          <w:szCs w:val="20"/>
          <w:color w:val="auto"/>
        </w:rPr>
      </w:pPr>
      <w:r>
        <w:rPr>
          <w:rFonts w:ascii="Arial" w:cs="Arial" w:eastAsia="Arial" w:hAnsi="Arial"/>
          <w:sz w:val="16"/>
          <w:szCs w:val="16"/>
          <w:color w:val="auto"/>
        </w:rPr>
        <w:t>The Committee considered the formulaic calculation of each Named Executive Officer’s annual incentive bonus together with the performance of each such executive against his or her performance objectives. The Committee was pleased with the performance of each of the Named Executive Officers against objectives. After this review, the Committee believed that the formulaic calculation appropriately compensated the Named Executives for 2025, and accordingly, the Committee determined to not make individual performance modifications for the NEOs.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table below shows each eligible NEO’s final 2025 annual incentive payout.</w:t>
      </w:r>
    </w:p>
    <w:p>
      <w:pPr>
        <w:spacing w:after="0" w:line="258" w:lineRule="exact"/>
        <w:rPr>
          <w:sz w:val="20"/>
          <w:szCs w:val="20"/>
          <w:color w:val="auto"/>
        </w:rPr>
      </w:pPr>
    </w:p>
    <w:tbl>
      <w:tblPr>
        <w:tblLayout w:type="fixed"/>
        <w:tblInd w:w="1000" w:type="dxa"/>
        <w:tblCellMar>
          <w:top w:w="0" w:type="dxa"/>
          <w:left w:w="0" w:type="dxa"/>
          <w:bottom w:w="0" w:type="dxa"/>
          <w:right w:w="0" w:type="dxa"/>
        </w:tblCellMar>
      </w:tblPr>
      <w:tr>
        <w:trPr>
          <w:trHeight w:val="240"/>
        </w:trPr>
        <w:tc>
          <w:tcPr>
            <w:tcW w:w="4580" w:type="dxa"/>
            <w:vAlign w:val="bottom"/>
            <w:shd w:val="clear" w:color="auto" w:fill="CCEBF8"/>
          </w:tcPr>
          <w:p>
            <w:pPr>
              <w:spacing w:after="0"/>
              <w:rPr>
                <w:sz w:val="20"/>
                <w:szCs w:val="20"/>
                <w:color w:val="auto"/>
              </w:rPr>
            </w:pPr>
          </w:p>
        </w:tc>
        <w:tc>
          <w:tcPr>
            <w:tcW w:w="800" w:type="dxa"/>
            <w:vAlign w:val="bottom"/>
            <w:shd w:val="clear" w:color="auto" w:fill="CCEBF8"/>
          </w:tcPr>
          <w:p>
            <w:pPr>
              <w:spacing w:after="0"/>
              <w:rPr>
                <w:sz w:val="20"/>
                <w:szCs w:val="20"/>
                <w:color w:val="auto"/>
              </w:rPr>
            </w:pPr>
          </w:p>
        </w:tc>
        <w:tc>
          <w:tcPr>
            <w:tcW w:w="1060" w:type="dxa"/>
            <w:vAlign w:val="bottom"/>
            <w:shd w:val="clear" w:color="auto" w:fill="CCEBF8"/>
          </w:tcPr>
          <w:p>
            <w:pPr>
              <w:jc w:val="center"/>
              <w:ind w:right="460"/>
              <w:spacing w:after="0"/>
              <w:rPr>
                <w:sz w:val="20"/>
                <w:szCs w:val="20"/>
                <w:color w:val="auto"/>
              </w:rPr>
            </w:pPr>
            <w:r>
              <w:rPr>
                <w:rFonts w:ascii="Arial" w:cs="Arial" w:eastAsia="Arial" w:hAnsi="Arial"/>
                <w:sz w:val="16"/>
                <w:szCs w:val="16"/>
                <w:b w:val="1"/>
                <w:bCs w:val="1"/>
                <w:color w:val="009BDE"/>
              </w:rPr>
              <w:t>2025</w:t>
            </w:r>
          </w:p>
        </w:tc>
        <w:tc>
          <w:tcPr>
            <w:tcW w:w="440" w:type="dxa"/>
            <w:vAlign w:val="bottom"/>
            <w:shd w:val="clear" w:color="auto" w:fill="CCEBF8"/>
          </w:tcPr>
          <w:p>
            <w:pPr>
              <w:spacing w:after="0"/>
              <w:rPr>
                <w:sz w:val="20"/>
                <w:szCs w:val="20"/>
                <w:color w:val="auto"/>
              </w:rPr>
            </w:pPr>
          </w:p>
        </w:tc>
        <w:tc>
          <w:tcPr>
            <w:tcW w:w="1040" w:type="dxa"/>
            <w:vAlign w:val="bottom"/>
            <w:shd w:val="clear" w:color="auto" w:fill="CCEBF8"/>
          </w:tcPr>
          <w:p>
            <w:pPr>
              <w:spacing w:after="0"/>
              <w:rPr>
                <w:sz w:val="20"/>
                <w:szCs w:val="20"/>
                <w:color w:val="auto"/>
              </w:rPr>
            </w:pPr>
          </w:p>
        </w:tc>
        <w:tc>
          <w:tcPr>
            <w:tcW w:w="1340" w:type="dxa"/>
            <w:vAlign w:val="bottom"/>
            <w:shd w:val="clear" w:color="auto" w:fill="CCEBF8"/>
          </w:tcPr>
          <w:p>
            <w:pPr>
              <w:jc w:val="center"/>
              <w:ind w:left="240"/>
              <w:spacing w:after="0"/>
              <w:rPr>
                <w:sz w:val="20"/>
                <w:szCs w:val="20"/>
                <w:color w:val="auto"/>
              </w:rPr>
            </w:pPr>
            <w:r>
              <w:rPr>
                <w:rFonts w:ascii="Arial" w:cs="Arial" w:eastAsia="Arial" w:hAnsi="Arial"/>
                <w:sz w:val="16"/>
                <w:szCs w:val="16"/>
                <w:b w:val="1"/>
                <w:bCs w:val="1"/>
                <w:color w:val="009BDE"/>
              </w:rPr>
              <w:t>Final</w:t>
            </w:r>
          </w:p>
        </w:tc>
      </w:tr>
      <w:tr>
        <w:trPr>
          <w:trHeight w:val="187"/>
        </w:trPr>
        <w:tc>
          <w:tcPr>
            <w:tcW w:w="4580" w:type="dxa"/>
            <w:vAlign w:val="bottom"/>
            <w:shd w:val="clear" w:color="auto" w:fill="CCEBF8"/>
          </w:tcPr>
          <w:p>
            <w:pPr>
              <w:spacing w:after="0"/>
              <w:rPr>
                <w:sz w:val="16"/>
                <w:szCs w:val="16"/>
                <w:color w:val="auto"/>
              </w:rPr>
            </w:pPr>
          </w:p>
        </w:tc>
        <w:tc>
          <w:tcPr>
            <w:tcW w:w="800" w:type="dxa"/>
            <w:vAlign w:val="bottom"/>
            <w:shd w:val="clear" w:color="auto" w:fill="CCEBF8"/>
          </w:tcPr>
          <w:p>
            <w:pPr>
              <w:spacing w:after="0"/>
              <w:rPr>
                <w:sz w:val="16"/>
                <w:szCs w:val="16"/>
                <w:color w:val="auto"/>
              </w:rPr>
            </w:pPr>
          </w:p>
        </w:tc>
        <w:tc>
          <w:tcPr>
            <w:tcW w:w="1060" w:type="dxa"/>
            <w:vAlign w:val="bottom"/>
            <w:shd w:val="clear" w:color="auto" w:fill="CCEBF8"/>
          </w:tcPr>
          <w:p>
            <w:pPr>
              <w:jc w:val="center"/>
              <w:ind w:right="460"/>
              <w:spacing w:after="0"/>
              <w:rPr>
                <w:sz w:val="20"/>
                <w:szCs w:val="20"/>
                <w:color w:val="auto"/>
              </w:rPr>
            </w:pPr>
            <w:r>
              <w:rPr>
                <w:rFonts w:ascii="Arial" w:cs="Arial" w:eastAsia="Arial" w:hAnsi="Arial"/>
                <w:sz w:val="16"/>
                <w:szCs w:val="16"/>
                <w:b w:val="1"/>
                <w:bCs w:val="1"/>
                <w:color w:val="009BDE"/>
                <w:w w:val="98"/>
              </w:rPr>
              <w:t>Target</w:t>
            </w:r>
          </w:p>
        </w:tc>
        <w:tc>
          <w:tcPr>
            <w:tcW w:w="440" w:type="dxa"/>
            <w:vAlign w:val="bottom"/>
            <w:shd w:val="clear" w:color="auto" w:fill="CCEBF8"/>
          </w:tcPr>
          <w:p>
            <w:pPr>
              <w:spacing w:after="0"/>
              <w:rPr>
                <w:sz w:val="16"/>
                <w:szCs w:val="16"/>
                <w:color w:val="auto"/>
              </w:rPr>
            </w:pPr>
          </w:p>
        </w:tc>
        <w:tc>
          <w:tcPr>
            <w:tcW w:w="1040" w:type="dxa"/>
            <w:vAlign w:val="bottom"/>
            <w:shd w:val="clear" w:color="auto" w:fill="CCEBF8"/>
          </w:tcPr>
          <w:p>
            <w:pPr>
              <w:spacing w:after="0"/>
              <w:rPr>
                <w:sz w:val="16"/>
                <w:szCs w:val="16"/>
                <w:color w:val="auto"/>
              </w:rPr>
            </w:pPr>
          </w:p>
        </w:tc>
        <w:tc>
          <w:tcPr>
            <w:tcW w:w="1340" w:type="dxa"/>
            <w:vAlign w:val="bottom"/>
            <w:shd w:val="clear" w:color="auto" w:fill="CCEBF8"/>
          </w:tcPr>
          <w:p>
            <w:pPr>
              <w:jc w:val="right"/>
              <w:ind w:right="80"/>
              <w:spacing w:after="0"/>
              <w:rPr>
                <w:sz w:val="20"/>
                <w:szCs w:val="20"/>
                <w:color w:val="auto"/>
              </w:rPr>
            </w:pPr>
            <w:r>
              <w:rPr>
                <w:rFonts w:ascii="Arial" w:cs="Arial" w:eastAsia="Arial" w:hAnsi="Arial"/>
                <w:sz w:val="16"/>
                <w:szCs w:val="16"/>
                <w:b w:val="1"/>
                <w:bCs w:val="1"/>
                <w:color w:val="009BDE"/>
              </w:rPr>
              <w:t>   Incentive</w:t>
            </w:r>
          </w:p>
        </w:tc>
      </w:tr>
      <w:tr>
        <w:trPr>
          <w:trHeight w:val="187"/>
        </w:trPr>
        <w:tc>
          <w:tcPr>
            <w:tcW w:w="4580" w:type="dxa"/>
            <w:vAlign w:val="bottom"/>
            <w:shd w:val="clear" w:color="auto" w:fill="CCEBF8"/>
          </w:tcPr>
          <w:p>
            <w:pPr>
              <w:spacing w:after="0"/>
              <w:rPr>
                <w:sz w:val="16"/>
                <w:szCs w:val="16"/>
                <w:color w:val="auto"/>
              </w:rPr>
            </w:pPr>
          </w:p>
        </w:tc>
        <w:tc>
          <w:tcPr>
            <w:tcW w:w="1860" w:type="dxa"/>
            <w:vAlign w:val="bottom"/>
            <w:gridSpan w:val="2"/>
            <w:shd w:val="clear" w:color="auto" w:fill="CCEBF8"/>
          </w:tcPr>
          <w:p>
            <w:pPr>
              <w:ind w:left="720"/>
              <w:spacing w:after="0"/>
              <w:rPr>
                <w:sz w:val="20"/>
                <w:szCs w:val="20"/>
                <w:color w:val="auto"/>
              </w:rPr>
            </w:pPr>
            <w:r>
              <w:rPr>
                <w:rFonts w:ascii="Arial" w:cs="Arial" w:eastAsia="Arial" w:hAnsi="Arial"/>
                <w:sz w:val="16"/>
                <w:szCs w:val="16"/>
                <w:b w:val="1"/>
                <w:bCs w:val="1"/>
                <w:color w:val="009BDE"/>
              </w:rPr>
              <w:t>Incentive</w:t>
            </w:r>
          </w:p>
        </w:tc>
        <w:tc>
          <w:tcPr>
            <w:tcW w:w="1480" w:type="dxa"/>
            <w:vAlign w:val="bottom"/>
            <w:gridSpan w:val="2"/>
            <w:shd w:val="clear" w:color="auto" w:fill="CCEBF8"/>
          </w:tcPr>
          <w:p>
            <w:pPr>
              <w:ind w:left="340"/>
              <w:spacing w:after="0"/>
              <w:rPr>
                <w:sz w:val="20"/>
                <w:szCs w:val="20"/>
                <w:color w:val="auto"/>
              </w:rPr>
            </w:pPr>
            <w:r>
              <w:rPr>
                <w:rFonts w:ascii="Arial" w:cs="Arial" w:eastAsia="Arial" w:hAnsi="Arial"/>
                <w:sz w:val="16"/>
                <w:szCs w:val="16"/>
                <w:b w:val="1"/>
                <w:bCs w:val="1"/>
                <w:color w:val="009BDE"/>
              </w:rPr>
              <w:t>2025 Final</w:t>
            </w:r>
          </w:p>
        </w:tc>
        <w:tc>
          <w:tcPr>
            <w:tcW w:w="1340" w:type="dxa"/>
            <w:vAlign w:val="bottom"/>
            <w:shd w:val="clear" w:color="auto" w:fill="CCEBF8"/>
          </w:tcPr>
          <w:p>
            <w:pPr>
              <w:jc w:val="center"/>
              <w:ind w:left="220"/>
              <w:spacing w:after="0"/>
              <w:rPr>
                <w:sz w:val="20"/>
                <w:szCs w:val="20"/>
                <w:color w:val="auto"/>
              </w:rPr>
            </w:pPr>
            <w:r>
              <w:rPr>
                <w:rFonts w:ascii="Arial" w:cs="Arial" w:eastAsia="Arial" w:hAnsi="Arial"/>
                <w:sz w:val="16"/>
                <w:szCs w:val="16"/>
                <w:b w:val="1"/>
                <w:bCs w:val="1"/>
                <w:color w:val="009BDE"/>
                <w:w w:val="98"/>
              </w:rPr>
              <w:t>Award</w:t>
            </w:r>
          </w:p>
        </w:tc>
      </w:tr>
      <w:tr>
        <w:trPr>
          <w:trHeight w:val="187"/>
        </w:trPr>
        <w:tc>
          <w:tcPr>
            <w:tcW w:w="4580" w:type="dxa"/>
            <w:vAlign w:val="bottom"/>
            <w:shd w:val="clear" w:color="auto" w:fill="CCEBF8"/>
          </w:tcPr>
          <w:p>
            <w:pPr>
              <w:spacing w:after="0"/>
              <w:rPr>
                <w:sz w:val="16"/>
                <w:szCs w:val="16"/>
                <w:color w:val="auto"/>
              </w:rPr>
            </w:pPr>
          </w:p>
        </w:tc>
        <w:tc>
          <w:tcPr>
            <w:tcW w:w="800" w:type="dxa"/>
            <w:vAlign w:val="bottom"/>
            <w:shd w:val="clear" w:color="auto" w:fill="CCEBF8"/>
          </w:tcPr>
          <w:p>
            <w:pPr>
              <w:spacing w:after="0"/>
              <w:rPr>
                <w:sz w:val="16"/>
                <w:szCs w:val="16"/>
                <w:color w:val="auto"/>
              </w:rPr>
            </w:pPr>
          </w:p>
        </w:tc>
        <w:tc>
          <w:tcPr>
            <w:tcW w:w="1060" w:type="dxa"/>
            <w:vAlign w:val="bottom"/>
            <w:shd w:val="clear" w:color="auto" w:fill="CCEBF8"/>
          </w:tcPr>
          <w:p>
            <w:pPr>
              <w:jc w:val="center"/>
              <w:ind w:right="460"/>
              <w:spacing w:after="0"/>
              <w:rPr>
                <w:sz w:val="20"/>
                <w:szCs w:val="20"/>
                <w:color w:val="auto"/>
              </w:rPr>
            </w:pPr>
            <w:r>
              <w:rPr>
                <w:rFonts w:ascii="Arial" w:cs="Arial" w:eastAsia="Arial" w:hAnsi="Arial"/>
                <w:sz w:val="16"/>
                <w:szCs w:val="16"/>
                <w:b w:val="1"/>
                <w:bCs w:val="1"/>
                <w:color w:val="009BDE"/>
                <w:w w:val="98"/>
              </w:rPr>
              <w:t>Award</w:t>
            </w:r>
          </w:p>
        </w:tc>
        <w:tc>
          <w:tcPr>
            <w:tcW w:w="1480" w:type="dxa"/>
            <w:vAlign w:val="bottom"/>
            <w:gridSpan w:val="2"/>
            <w:shd w:val="clear" w:color="auto" w:fill="CCEBF8"/>
          </w:tcPr>
          <w:p>
            <w:pPr>
              <w:ind w:left="380"/>
              <w:spacing w:after="0"/>
              <w:rPr>
                <w:sz w:val="20"/>
                <w:szCs w:val="20"/>
                <w:color w:val="auto"/>
              </w:rPr>
            </w:pPr>
            <w:r>
              <w:rPr>
                <w:rFonts w:ascii="Arial" w:cs="Arial" w:eastAsia="Arial" w:hAnsi="Arial"/>
                <w:sz w:val="16"/>
                <w:szCs w:val="16"/>
                <w:b w:val="1"/>
                <w:bCs w:val="1"/>
                <w:color w:val="009BDE"/>
              </w:rPr>
              <w:t>Incentive</w:t>
            </w:r>
          </w:p>
        </w:tc>
        <w:tc>
          <w:tcPr>
            <w:tcW w:w="1340" w:type="dxa"/>
            <w:vAlign w:val="bottom"/>
            <w:shd w:val="clear" w:color="auto" w:fill="CCEBF8"/>
          </w:tcPr>
          <w:p>
            <w:pPr>
              <w:jc w:val="center"/>
              <w:ind w:left="240"/>
              <w:spacing w:after="0"/>
              <w:rPr>
                <w:sz w:val="20"/>
                <w:szCs w:val="20"/>
                <w:color w:val="auto"/>
              </w:rPr>
            </w:pPr>
            <w:r>
              <w:rPr>
                <w:rFonts w:ascii="Arial" w:cs="Arial" w:eastAsia="Arial" w:hAnsi="Arial"/>
                <w:sz w:val="16"/>
                <w:szCs w:val="16"/>
                <w:b w:val="1"/>
                <w:bCs w:val="1"/>
                <w:color w:val="009BDE"/>
              </w:rPr>
              <w:t>as a % of</w:t>
            </w:r>
          </w:p>
        </w:tc>
      </w:tr>
      <w:tr>
        <w:trPr>
          <w:trHeight w:val="287"/>
        </w:trPr>
        <w:tc>
          <w:tcPr>
            <w:tcW w:w="4580" w:type="dxa"/>
            <w:vAlign w:val="bottom"/>
            <w:tcBorders>
              <w:bottom w:val="single" w:sz="8" w:color="CCEBF8"/>
            </w:tcBorders>
            <w:shd w:val="clear" w:color="auto" w:fill="CCEBF8"/>
          </w:tcPr>
          <w:p>
            <w:pPr>
              <w:spacing w:after="0"/>
              <w:rPr>
                <w:sz w:val="20"/>
                <w:szCs w:val="20"/>
                <w:color w:val="auto"/>
              </w:rPr>
            </w:pPr>
            <w:r>
              <w:rPr>
                <w:rFonts w:ascii="Arial" w:cs="Arial" w:eastAsia="Arial" w:hAnsi="Arial"/>
                <w:sz w:val="16"/>
                <w:szCs w:val="16"/>
                <w:b w:val="1"/>
                <w:bCs w:val="1"/>
                <w:color w:val="009BDE"/>
              </w:rPr>
              <w:t>  Named Executive Officer</w:t>
            </w:r>
          </w:p>
        </w:tc>
        <w:tc>
          <w:tcPr>
            <w:tcW w:w="1860" w:type="dxa"/>
            <w:vAlign w:val="bottom"/>
            <w:tcBorders>
              <w:bottom w:val="single" w:sz="8" w:color="CCEBF8"/>
            </w:tcBorders>
            <w:gridSpan w:val="2"/>
            <w:shd w:val="clear" w:color="auto" w:fill="CCEBF8"/>
          </w:tcPr>
          <w:p>
            <w:pPr>
              <w:jc w:val="center"/>
              <w:ind w:left="180"/>
              <w:spacing w:after="0"/>
              <w:rPr>
                <w:sz w:val="20"/>
                <w:szCs w:val="20"/>
                <w:color w:val="auto"/>
              </w:rPr>
            </w:pPr>
            <w:r>
              <w:rPr>
                <w:rFonts w:ascii="Arial" w:cs="Arial" w:eastAsia="Arial" w:hAnsi="Arial"/>
                <w:sz w:val="16"/>
                <w:szCs w:val="16"/>
                <w:b w:val="1"/>
                <w:bCs w:val="1"/>
                <w:color w:val="009BDE"/>
              </w:rPr>
              <w:t>Opportunity</w:t>
            </w:r>
          </w:p>
        </w:tc>
        <w:tc>
          <w:tcPr>
            <w:tcW w:w="440" w:type="dxa"/>
            <w:vAlign w:val="bottom"/>
            <w:tcBorders>
              <w:bottom w:val="single" w:sz="8" w:color="CCEBF8"/>
            </w:tcBorders>
            <w:shd w:val="clear" w:color="auto" w:fill="CCEBF8"/>
          </w:tcPr>
          <w:p>
            <w:pPr>
              <w:spacing w:after="0"/>
              <w:rPr>
                <w:sz w:val="24"/>
                <w:szCs w:val="24"/>
                <w:color w:val="auto"/>
              </w:rPr>
            </w:pPr>
          </w:p>
        </w:tc>
        <w:tc>
          <w:tcPr>
            <w:tcW w:w="1040" w:type="dxa"/>
            <w:vAlign w:val="bottom"/>
            <w:tcBorders>
              <w:bottom w:val="single" w:sz="8" w:color="CCEBF8"/>
            </w:tcBorders>
            <w:shd w:val="clear" w:color="auto" w:fill="CCEBF8"/>
          </w:tcPr>
          <w:p>
            <w:pPr>
              <w:jc w:val="right"/>
              <w:ind w:right="440"/>
              <w:spacing w:after="0"/>
              <w:rPr>
                <w:sz w:val="20"/>
                <w:szCs w:val="20"/>
                <w:color w:val="auto"/>
              </w:rPr>
            </w:pPr>
            <w:r>
              <w:rPr>
                <w:rFonts w:ascii="Arial" w:cs="Arial" w:eastAsia="Arial" w:hAnsi="Arial"/>
                <w:sz w:val="16"/>
                <w:szCs w:val="16"/>
                <w:b w:val="1"/>
                <w:bCs w:val="1"/>
                <w:color w:val="009BDE"/>
              </w:rPr>
              <w:t>Award</w:t>
            </w:r>
          </w:p>
        </w:tc>
        <w:tc>
          <w:tcPr>
            <w:tcW w:w="1340" w:type="dxa"/>
            <w:vAlign w:val="bottom"/>
            <w:tcBorders>
              <w:bottom w:val="single" w:sz="8" w:color="CCEBF8"/>
            </w:tcBorders>
            <w:shd w:val="clear" w:color="auto" w:fill="CCEBF8"/>
          </w:tcPr>
          <w:p>
            <w:pPr>
              <w:jc w:val="center"/>
              <w:ind w:left="220"/>
              <w:spacing w:after="0"/>
              <w:rPr>
                <w:sz w:val="20"/>
                <w:szCs w:val="20"/>
                <w:color w:val="auto"/>
              </w:rPr>
            </w:pPr>
            <w:r>
              <w:rPr>
                <w:rFonts w:ascii="Arial" w:cs="Arial" w:eastAsia="Arial" w:hAnsi="Arial"/>
                <w:sz w:val="16"/>
                <w:szCs w:val="16"/>
                <w:b w:val="1"/>
                <w:bCs w:val="1"/>
                <w:color w:val="009BDE"/>
                <w:w w:val="98"/>
              </w:rPr>
              <w:t>Target</w:t>
            </w:r>
          </w:p>
        </w:tc>
      </w:tr>
      <w:tr>
        <w:trPr>
          <w:trHeight w:val="284"/>
        </w:trPr>
        <w:tc>
          <w:tcPr>
            <w:tcW w:w="4580" w:type="dxa"/>
            <w:vAlign w:val="bottom"/>
            <w:tcBorders>
              <w:top w:val="single" w:sz="8" w:color="009BDE"/>
            </w:tcBorders>
          </w:tcPr>
          <w:p>
            <w:pPr>
              <w:ind w:left="60"/>
              <w:spacing w:after="0"/>
              <w:rPr>
                <w:sz w:val="20"/>
                <w:szCs w:val="20"/>
                <w:color w:val="auto"/>
              </w:rPr>
            </w:pPr>
            <w:r>
              <w:rPr>
                <w:rFonts w:ascii="Arial" w:cs="Arial" w:eastAsia="Arial" w:hAnsi="Arial"/>
                <w:sz w:val="16"/>
                <w:szCs w:val="16"/>
                <w:color w:val="auto"/>
              </w:rPr>
              <w:t>Chris Cocks</w:t>
            </w:r>
          </w:p>
        </w:tc>
        <w:tc>
          <w:tcPr>
            <w:tcW w:w="800" w:type="dxa"/>
            <w:vAlign w:val="bottom"/>
            <w:tcBorders>
              <w:top w:val="single" w:sz="8" w:color="009BDE"/>
            </w:tcBorders>
          </w:tcPr>
          <w:p>
            <w:pPr>
              <w:ind w:left="70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009BDE"/>
            </w:tcBorders>
          </w:tcPr>
          <w:p>
            <w:pPr>
              <w:jc w:val="right"/>
              <w:ind w:right="260"/>
              <w:spacing w:after="0"/>
              <w:rPr>
                <w:sz w:val="20"/>
                <w:szCs w:val="20"/>
                <w:color w:val="auto"/>
              </w:rPr>
            </w:pPr>
            <w:r>
              <w:rPr>
                <w:rFonts w:ascii="Arial" w:cs="Arial" w:eastAsia="Arial" w:hAnsi="Arial"/>
                <w:sz w:val="16"/>
                <w:szCs w:val="16"/>
                <w:color w:val="auto"/>
                <w:w w:val="98"/>
              </w:rPr>
              <w:t>3,000,000</w:t>
            </w:r>
          </w:p>
        </w:tc>
        <w:tc>
          <w:tcPr>
            <w:tcW w:w="440" w:type="dxa"/>
            <w:vAlign w:val="bottom"/>
            <w:tcBorders>
              <w:top w:val="single" w:sz="8" w:color="009BDE"/>
            </w:tcBorders>
          </w:tcPr>
          <w:p>
            <w:pPr>
              <w:ind w:left="3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009BDE"/>
            </w:tcBorders>
          </w:tcPr>
          <w:p>
            <w:pPr>
              <w:jc w:val="right"/>
              <w:ind w:right="240"/>
              <w:spacing w:after="0"/>
              <w:rPr>
                <w:sz w:val="20"/>
                <w:szCs w:val="20"/>
                <w:color w:val="auto"/>
              </w:rPr>
            </w:pPr>
            <w:r>
              <w:rPr>
                <w:rFonts w:ascii="Arial" w:cs="Arial" w:eastAsia="Arial" w:hAnsi="Arial"/>
                <w:sz w:val="16"/>
                <w:szCs w:val="16"/>
                <w:color w:val="auto"/>
                <w:w w:val="98"/>
              </w:rPr>
              <w:t>6,000,000</w:t>
            </w:r>
          </w:p>
        </w:tc>
        <w:tc>
          <w:tcPr>
            <w:tcW w:w="1340" w:type="dxa"/>
            <w:vAlign w:val="bottom"/>
            <w:tcBorders>
              <w:top w:val="single" w:sz="8" w:color="009BDE"/>
            </w:tcBorders>
          </w:tcPr>
          <w:p>
            <w:pPr>
              <w:jc w:val="right"/>
              <w:ind w:right="80"/>
              <w:spacing w:after="0"/>
              <w:rPr>
                <w:sz w:val="20"/>
                <w:szCs w:val="20"/>
                <w:color w:val="auto"/>
              </w:rPr>
            </w:pPr>
            <w:r>
              <w:rPr>
                <w:rFonts w:ascii="Arial" w:cs="Arial" w:eastAsia="Arial" w:hAnsi="Arial"/>
                <w:sz w:val="16"/>
                <w:szCs w:val="16"/>
                <w:color w:val="auto"/>
              </w:rPr>
              <w:t>200%</w:t>
            </w:r>
          </w:p>
        </w:tc>
      </w:tr>
      <w:tr>
        <w:trPr>
          <w:trHeight w:val="97"/>
        </w:trPr>
        <w:tc>
          <w:tcPr>
            <w:tcW w:w="458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1340" w:type="dxa"/>
            <w:vAlign w:val="bottom"/>
            <w:tcBorders>
              <w:bottom w:val="single" w:sz="8" w:color="009BDE"/>
            </w:tcBorders>
          </w:tcPr>
          <w:p>
            <w:pPr>
              <w:spacing w:after="0"/>
              <w:rPr>
                <w:sz w:val="8"/>
                <w:szCs w:val="8"/>
                <w:color w:val="auto"/>
              </w:rPr>
            </w:pPr>
          </w:p>
        </w:tc>
      </w:tr>
      <w:tr>
        <w:trPr>
          <w:trHeight w:val="284"/>
        </w:trPr>
        <w:tc>
          <w:tcPr>
            <w:tcW w:w="4580" w:type="dxa"/>
            <w:vAlign w:val="bottom"/>
          </w:tcPr>
          <w:p>
            <w:pPr>
              <w:ind w:left="60"/>
              <w:spacing w:after="0"/>
              <w:rPr>
                <w:sz w:val="20"/>
                <w:szCs w:val="20"/>
                <w:color w:val="auto"/>
              </w:rPr>
            </w:pPr>
            <w:r>
              <w:rPr>
                <w:rFonts w:ascii="Arial" w:cs="Arial" w:eastAsia="Arial" w:hAnsi="Arial"/>
                <w:sz w:val="16"/>
                <w:szCs w:val="16"/>
                <w:color w:val="auto"/>
              </w:rPr>
              <w:t>Gina Goetter</w:t>
            </w:r>
          </w:p>
        </w:tc>
        <w:tc>
          <w:tcPr>
            <w:tcW w:w="800" w:type="dxa"/>
            <w:vAlign w:val="bottom"/>
          </w:tcPr>
          <w:p>
            <w:pPr>
              <w:ind w:left="70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auto"/>
                <w:w w:val="98"/>
              </w:rPr>
              <w:t>1,000,000</w:t>
            </w:r>
          </w:p>
        </w:tc>
        <w:tc>
          <w:tcPr>
            <w:tcW w:w="440" w:type="dxa"/>
            <w:vAlign w:val="bottom"/>
          </w:tcPr>
          <w:p>
            <w:pPr>
              <w:ind w:left="3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w w:val="98"/>
              </w:rPr>
              <w:t>2,000,000</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200%</w:t>
            </w:r>
          </w:p>
        </w:tc>
      </w:tr>
      <w:tr>
        <w:trPr>
          <w:trHeight w:val="97"/>
        </w:trPr>
        <w:tc>
          <w:tcPr>
            <w:tcW w:w="458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1340" w:type="dxa"/>
            <w:vAlign w:val="bottom"/>
            <w:tcBorders>
              <w:bottom w:val="single" w:sz="8" w:color="009BDE"/>
            </w:tcBorders>
          </w:tcPr>
          <w:p>
            <w:pPr>
              <w:spacing w:after="0"/>
              <w:rPr>
                <w:sz w:val="8"/>
                <w:szCs w:val="8"/>
                <w:color w:val="auto"/>
              </w:rPr>
            </w:pPr>
          </w:p>
        </w:tc>
      </w:tr>
      <w:tr>
        <w:trPr>
          <w:trHeight w:val="284"/>
        </w:trPr>
        <w:tc>
          <w:tcPr>
            <w:tcW w:w="4580" w:type="dxa"/>
            <w:vAlign w:val="bottom"/>
          </w:tcPr>
          <w:p>
            <w:pPr>
              <w:ind w:left="60"/>
              <w:spacing w:after="0"/>
              <w:rPr>
                <w:sz w:val="20"/>
                <w:szCs w:val="20"/>
                <w:color w:val="auto"/>
              </w:rPr>
            </w:pPr>
            <w:r>
              <w:rPr>
                <w:rFonts w:ascii="Arial" w:cs="Arial" w:eastAsia="Arial" w:hAnsi="Arial"/>
                <w:sz w:val="16"/>
                <w:szCs w:val="16"/>
                <w:color w:val="auto"/>
              </w:rPr>
              <w:t>John Hight</w:t>
            </w:r>
          </w:p>
        </w:tc>
        <w:tc>
          <w:tcPr>
            <w:tcW w:w="800" w:type="dxa"/>
            <w:vAlign w:val="bottom"/>
          </w:tcPr>
          <w:p>
            <w:pPr>
              <w:ind w:left="70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auto"/>
              </w:rPr>
              <w:t>725,000</w:t>
            </w:r>
          </w:p>
        </w:tc>
        <w:tc>
          <w:tcPr>
            <w:tcW w:w="440" w:type="dxa"/>
            <w:vAlign w:val="bottom"/>
          </w:tcPr>
          <w:p>
            <w:pPr>
              <w:ind w:left="3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w w:val="98"/>
              </w:rPr>
              <w:t>1,450,000</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200%</w:t>
            </w:r>
          </w:p>
        </w:tc>
      </w:tr>
      <w:tr>
        <w:trPr>
          <w:trHeight w:val="97"/>
        </w:trPr>
        <w:tc>
          <w:tcPr>
            <w:tcW w:w="458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1340" w:type="dxa"/>
            <w:vAlign w:val="bottom"/>
            <w:tcBorders>
              <w:bottom w:val="single" w:sz="8" w:color="009BDE"/>
            </w:tcBorders>
          </w:tcPr>
          <w:p>
            <w:pPr>
              <w:spacing w:after="0"/>
              <w:rPr>
                <w:sz w:val="8"/>
                <w:szCs w:val="8"/>
                <w:color w:val="auto"/>
              </w:rPr>
            </w:pPr>
          </w:p>
        </w:tc>
      </w:tr>
      <w:tr>
        <w:trPr>
          <w:trHeight w:val="284"/>
        </w:trPr>
        <w:tc>
          <w:tcPr>
            <w:tcW w:w="4580" w:type="dxa"/>
            <w:vAlign w:val="bottom"/>
          </w:tcPr>
          <w:p>
            <w:pPr>
              <w:ind w:left="60"/>
              <w:spacing w:after="0"/>
              <w:rPr>
                <w:sz w:val="20"/>
                <w:szCs w:val="20"/>
                <w:color w:val="auto"/>
              </w:rPr>
            </w:pPr>
            <w:r>
              <w:rPr>
                <w:rFonts w:ascii="Arial" w:cs="Arial" w:eastAsia="Arial" w:hAnsi="Arial"/>
                <w:sz w:val="16"/>
                <w:szCs w:val="16"/>
                <w:color w:val="auto"/>
              </w:rPr>
              <w:t>Tim Kilpin</w:t>
            </w:r>
          </w:p>
        </w:tc>
        <w:tc>
          <w:tcPr>
            <w:tcW w:w="800" w:type="dxa"/>
            <w:vAlign w:val="bottom"/>
          </w:tcPr>
          <w:p>
            <w:pPr>
              <w:ind w:left="70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auto"/>
              </w:rPr>
              <w:t>850,000</w:t>
            </w:r>
          </w:p>
        </w:tc>
        <w:tc>
          <w:tcPr>
            <w:tcW w:w="440" w:type="dxa"/>
            <w:vAlign w:val="bottom"/>
          </w:tcPr>
          <w:p>
            <w:pPr>
              <w:ind w:left="3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340,000</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40%</w:t>
            </w:r>
          </w:p>
        </w:tc>
      </w:tr>
      <w:tr>
        <w:trPr>
          <w:trHeight w:val="97"/>
        </w:trPr>
        <w:tc>
          <w:tcPr>
            <w:tcW w:w="458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1340" w:type="dxa"/>
            <w:vAlign w:val="bottom"/>
            <w:tcBorders>
              <w:bottom w:val="single" w:sz="8" w:color="009BDE"/>
            </w:tcBorders>
          </w:tcPr>
          <w:p>
            <w:pPr>
              <w:spacing w:after="0"/>
              <w:rPr>
                <w:sz w:val="8"/>
                <w:szCs w:val="8"/>
                <w:color w:val="auto"/>
              </w:rPr>
            </w:pPr>
          </w:p>
        </w:tc>
      </w:tr>
      <w:tr>
        <w:trPr>
          <w:trHeight w:val="284"/>
        </w:trPr>
        <w:tc>
          <w:tcPr>
            <w:tcW w:w="4580" w:type="dxa"/>
            <w:vAlign w:val="bottom"/>
          </w:tcPr>
          <w:p>
            <w:pPr>
              <w:ind w:left="60"/>
              <w:spacing w:after="0"/>
              <w:rPr>
                <w:sz w:val="20"/>
                <w:szCs w:val="20"/>
                <w:color w:val="auto"/>
              </w:rPr>
            </w:pPr>
            <w:r>
              <w:rPr>
                <w:rFonts w:ascii="Arial" w:cs="Arial" w:eastAsia="Arial" w:hAnsi="Arial"/>
                <w:sz w:val="16"/>
                <w:szCs w:val="16"/>
                <w:color w:val="auto"/>
              </w:rPr>
              <w:t>Tarrant Sibley</w:t>
            </w:r>
          </w:p>
        </w:tc>
        <w:tc>
          <w:tcPr>
            <w:tcW w:w="800" w:type="dxa"/>
            <w:vAlign w:val="bottom"/>
          </w:tcPr>
          <w:p>
            <w:pPr>
              <w:ind w:left="70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auto"/>
              </w:rPr>
              <w:t>586,827</w:t>
            </w:r>
          </w:p>
        </w:tc>
        <w:tc>
          <w:tcPr>
            <w:tcW w:w="440" w:type="dxa"/>
            <w:vAlign w:val="bottom"/>
          </w:tcPr>
          <w:p>
            <w:pPr>
              <w:ind w:left="3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w w:val="98"/>
              </w:rPr>
              <w:t>1,173,654</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61595</wp:posOffset>
            </wp:positionV>
            <wp:extent cx="5885180"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5885180" cy="8255"/>
                    </a:xfrm>
                    <a:prstGeom prst="rect">
                      <a:avLst/>
                    </a:prstGeom>
                    <a:noFill/>
                  </pic:spPr>
                </pic:pic>
              </a:graphicData>
            </a:graphic>
          </wp:anchor>
        </w:drawing>
      </w:r>
    </w:p>
    <w:p>
      <w:pPr>
        <w:spacing w:after="0" w:line="17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Note: Incentive amounts shown above are calculated using fiscal year 2025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334010</wp:posOffset>
            </wp:positionV>
            <wp:extent cx="6964045" cy="39052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  33</w:t>
      </w:r>
    </w:p>
    <w:p>
      <w:pPr>
        <w:sectPr>
          <w:pgSz w:w="11900" w:h="16838" w:orient="portrait"/>
          <w:cols w:equalWidth="0" w:num="1">
            <w:col w:w="11080"/>
          </w:cols>
          <w:pgMar w:left="320" w:top="478"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Long-Term Incentive Compensation</w:t>
      </w:r>
    </w:p>
    <w:p>
      <w:pPr>
        <w:spacing w:after="0" w:line="100" w:lineRule="exact"/>
        <w:rPr>
          <w:sz w:val="20"/>
          <w:szCs w:val="20"/>
          <w:color w:val="auto"/>
        </w:rPr>
      </w:pPr>
    </w:p>
    <w:p>
      <w:pPr>
        <w:jc w:val="both"/>
        <w:ind w:left="160" w:right="340"/>
        <w:spacing w:after="0" w:line="262" w:lineRule="auto"/>
        <w:rPr>
          <w:sz w:val="20"/>
          <w:szCs w:val="20"/>
          <w:color w:val="auto"/>
        </w:rPr>
      </w:pPr>
      <w:r>
        <w:rPr>
          <w:rFonts w:ascii="Arial" w:cs="Arial" w:eastAsia="Arial" w:hAnsi="Arial"/>
          <w:sz w:val="16"/>
          <w:szCs w:val="16"/>
          <w:color w:val="auto"/>
        </w:rPr>
        <w:t>The long-term incentive plan is designed to incentivize our NEOs to achieve critical sustainable long-term shareholder value and align the NEOs with shareholder interests. The Committee is responsible for approving performance goals and related payout levels, setting each NEO’s target long-term incentive opportunity and approving payouts under the performance share units.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9BDE"/>
        </w:rPr>
        <w:t>Annual Long-Term Incentive Awards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Long-term incentive compensation is provided to our NEOs in the form of performance share units and time-based restricted stock units.</w:t>
      </w:r>
    </w:p>
    <w:p>
      <w:pPr>
        <w:spacing w:after="0" w:line="217" w:lineRule="exact"/>
        <w:rPr>
          <w:sz w:val="20"/>
          <w:szCs w:val="20"/>
          <w:color w:val="auto"/>
        </w:rPr>
      </w:pPr>
    </w:p>
    <w:p>
      <w:pPr>
        <w:ind w:left="160" w:right="320"/>
        <w:spacing w:after="0" w:line="253" w:lineRule="auto"/>
        <w:rPr>
          <w:sz w:val="20"/>
          <w:szCs w:val="20"/>
          <w:color w:val="auto"/>
        </w:rPr>
      </w:pPr>
      <w:r>
        <w:rPr>
          <w:rFonts w:ascii="Arial" w:cs="Arial" w:eastAsia="Arial" w:hAnsi="Arial"/>
          <w:sz w:val="16"/>
          <w:szCs w:val="16"/>
          <w:color w:val="auto"/>
        </w:rPr>
        <w:t>The Committee approves target annual equity award values for each of the Company’s executive officers and other eligible employees, which are designed to provide a strong pay-for-perfomance alignment. Targets are expressed as a percentage of each individual’s base salary. In 2025, the Committee working closely with Meridian, performed its annual review of each element of compensation for the CEO and each NEO on an individual basis and in totality as part of overall compensation. As a result, the Committee increased the LTI target value % for Mr. Sibley from 200% to 225% of base salary to more closely align total target direct compensation with the market.</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2025 LTI Award target value for our NEOs were as follows:</w:t>
      </w:r>
    </w:p>
    <w:p>
      <w:pPr>
        <w:spacing w:after="0" w:line="258" w:lineRule="exact"/>
        <w:rPr>
          <w:sz w:val="20"/>
          <w:szCs w:val="20"/>
          <w:color w:val="auto"/>
        </w:rPr>
      </w:pPr>
    </w:p>
    <w:tbl>
      <w:tblPr>
        <w:tblLayout w:type="fixed"/>
        <w:tblInd w:w="1260" w:type="dxa"/>
        <w:tblCellMar>
          <w:top w:w="0" w:type="dxa"/>
          <w:left w:w="0" w:type="dxa"/>
          <w:bottom w:w="0" w:type="dxa"/>
          <w:right w:w="0" w:type="dxa"/>
        </w:tblCellMar>
      </w:tblPr>
      <w:tr>
        <w:trPr>
          <w:trHeight w:val="67"/>
        </w:trPr>
        <w:tc>
          <w:tcPr>
            <w:tcW w:w="3620" w:type="dxa"/>
            <w:vAlign w:val="bottom"/>
            <w:shd w:val="clear" w:color="auto" w:fill="CCEBF8"/>
          </w:tcPr>
          <w:p>
            <w:pPr>
              <w:spacing w:after="0"/>
              <w:rPr>
                <w:sz w:val="5"/>
                <w:szCs w:val="5"/>
                <w:color w:val="auto"/>
              </w:rPr>
            </w:pPr>
          </w:p>
        </w:tc>
        <w:tc>
          <w:tcPr>
            <w:tcW w:w="5080" w:type="dxa"/>
            <w:vAlign w:val="bottom"/>
            <w:shd w:val="clear" w:color="auto" w:fill="CCEBF8"/>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73"/>
        </w:trPr>
        <w:tc>
          <w:tcPr>
            <w:tcW w:w="3620" w:type="dxa"/>
            <w:vAlign w:val="bottom"/>
            <w:shd w:val="clear" w:color="auto" w:fill="CCEBF8"/>
          </w:tcPr>
          <w:p>
            <w:pPr>
              <w:spacing w:after="0"/>
              <w:rPr>
                <w:sz w:val="15"/>
                <w:szCs w:val="15"/>
                <w:color w:val="auto"/>
              </w:rPr>
            </w:pPr>
          </w:p>
        </w:tc>
        <w:tc>
          <w:tcPr>
            <w:tcW w:w="5140" w:type="dxa"/>
            <w:vAlign w:val="bottom"/>
            <w:gridSpan w:val="3"/>
          </w:tcPr>
          <w:p>
            <w:pPr>
              <w:jc w:val="center"/>
              <w:ind w:left="2700"/>
              <w:spacing w:after="0" w:line="173" w:lineRule="exact"/>
              <w:rPr>
                <w:sz w:val="20"/>
                <w:szCs w:val="20"/>
                <w:color w:val="auto"/>
              </w:rPr>
            </w:pPr>
            <w:r>
              <w:rPr>
                <w:rFonts w:ascii="Arial" w:cs="Arial" w:eastAsia="Arial" w:hAnsi="Arial"/>
                <w:sz w:val="16"/>
                <w:szCs w:val="16"/>
                <w:b w:val="1"/>
                <w:bCs w:val="1"/>
                <w:color w:val="009BDE"/>
              </w:rPr>
              <w:t xml:space="preserve">2025 LTI Award Target Value    </w:t>
            </w:r>
          </w:p>
        </w:tc>
      </w:tr>
      <w:tr>
        <w:trPr>
          <w:trHeight w:val="235"/>
        </w:trPr>
        <w:tc>
          <w:tcPr>
            <w:tcW w:w="3620" w:type="dxa"/>
            <w:vAlign w:val="bottom"/>
            <w:shd w:val="clear" w:color="auto" w:fill="CCEBF8"/>
          </w:tcPr>
          <w:p>
            <w:pPr>
              <w:ind w:left="880"/>
              <w:spacing w:after="0"/>
              <w:rPr>
                <w:sz w:val="20"/>
                <w:szCs w:val="20"/>
                <w:color w:val="auto"/>
              </w:rPr>
            </w:pPr>
            <w:r>
              <w:rPr>
                <w:rFonts w:ascii="Arial" w:cs="Arial" w:eastAsia="Arial" w:hAnsi="Arial"/>
                <w:sz w:val="16"/>
                <w:szCs w:val="16"/>
                <w:b w:val="1"/>
                <w:bCs w:val="1"/>
                <w:color w:val="009BDE"/>
              </w:rPr>
              <w:t>Named Executive Officer</w:t>
            </w:r>
          </w:p>
        </w:tc>
        <w:tc>
          <w:tcPr>
            <w:tcW w:w="5140" w:type="dxa"/>
            <w:vAlign w:val="bottom"/>
            <w:gridSpan w:val="3"/>
          </w:tcPr>
          <w:p>
            <w:pPr>
              <w:jc w:val="center"/>
              <w:ind w:left="2660"/>
              <w:spacing w:after="0"/>
              <w:rPr>
                <w:sz w:val="20"/>
                <w:szCs w:val="20"/>
                <w:color w:val="auto"/>
              </w:rPr>
            </w:pPr>
            <w:r>
              <w:rPr>
                <w:rFonts w:ascii="Arial" w:cs="Arial" w:eastAsia="Arial" w:hAnsi="Arial"/>
                <w:sz w:val="16"/>
                <w:szCs w:val="16"/>
                <w:b w:val="1"/>
                <w:bCs w:val="1"/>
                <w:color w:val="009BDE"/>
                <w:w w:val="99"/>
              </w:rPr>
              <w:t>% of Base Salary</w:t>
            </w:r>
          </w:p>
        </w:tc>
      </w:tr>
      <w:tr>
        <w:trPr>
          <w:trHeight w:val="114"/>
        </w:trPr>
        <w:tc>
          <w:tcPr>
            <w:tcW w:w="3620" w:type="dxa"/>
            <w:vAlign w:val="bottom"/>
            <w:tcBorders>
              <w:bottom w:val="single" w:sz="8" w:color="009BDE"/>
            </w:tcBorders>
            <w:shd w:val="clear" w:color="auto" w:fill="CCEBF8"/>
          </w:tcPr>
          <w:p>
            <w:pPr>
              <w:spacing w:after="0"/>
              <w:rPr>
                <w:sz w:val="9"/>
                <w:szCs w:val="9"/>
                <w:color w:val="auto"/>
              </w:rPr>
            </w:pPr>
          </w:p>
        </w:tc>
        <w:tc>
          <w:tcPr>
            <w:tcW w:w="5080" w:type="dxa"/>
            <w:vAlign w:val="bottom"/>
            <w:tcBorders>
              <w:bottom w:val="single" w:sz="8" w:color="009BDE"/>
            </w:tcBorders>
          </w:tcPr>
          <w:p>
            <w:pPr>
              <w:spacing w:after="0"/>
              <w:rPr>
                <w:sz w:val="9"/>
                <w:szCs w:val="9"/>
                <w:color w:val="auto"/>
              </w:rPr>
            </w:pPr>
          </w:p>
        </w:tc>
        <w:tc>
          <w:tcPr>
            <w:tcW w:w="20" w:type="dxa"/>
            <w:vAlign w:val="bottom"/>
            <w:tcBorders>
              <w:bottom w:val="single" w:sz="8" w:color="009BDE"/>
            </w:tcBorders>
          </w:tcPr>
          <w:p>
            <w:pPr>
              <w:spacing w:after="0"/>
              <w:rPr>
                <w:sz w:val="9"/>
                <w:szCs w:val="9"/>
                <w:color w:val="auto"/>
              </w:rPr>
            </w:pPr>
          </w:p>
        </w:tc>
        <w:tc>
          <w:tcPr>
            <w:tcW w:w="40" w:type="dxa"/>
            <w:vAlign w:val="bottom"/>
          </w:tcPr>
          <w:p>
            <w:pPr>
              <w:spacing w:after="0"/>
              <w:rPr>
                <w:sz w:val="9"/>
                <w:szCs w:val="9"/>
                <w:color w:val="auto"/>
              </w:rPr>
            </w:pPr>
          </w:p>
        </w:tc>
      </w:tr>
      <w:tr>
        <w:trPr>
          <w:trHeight w:val="284"/>
        </w:trPr>
        <w:tc>
          <w:tcPr>
            <w:tcW w:w="3620" w:type="dxa"/>
            <w:vAlign w:val="bottom"/>
          </w:tcPr>
          <w:p>
            <w:pPr>
              <w:jc w:val="center"/>
              <w:spacing w:after="0"/>
              <w:rPr>
                <w:sz w:val="20"/>
                <w:szCs w:val="20"/>
                <w:color w:val="auto"/>
              </w:rPr>
            </w:pPr>
            <w:r>
              <w:rPr>
                <w:rFonts w:ascii="Arial" w:cs="Arial" w:eastAsia="Arial" w:hAnsi="Arial"/>
                <w:sz w:val="16"/>
                <w:szCs w:val="16"/>
                <w:color w:val="auto"/>
                <w:w w:val="99"/>
              </w:rPr>
              <w:t>Chris Cocks</w:t>
            </w:r>
          </w:p>
        </w:tc>
        <w:tc>
          <w:tcPr>
            <w:tcW w:w="5080" w:type="dxa"/>
            <w:vAlign w:val="bottom"/>
          </w:tcPr>
          <w:p>
            <w:pPr>
              <w:jc w:val="center"/>
              <w:ind w:left="2720"/>
              <w:spacing w:after="0"/>
              <w:rPr>
                <w:sz w:val="20"/>
                <w:szCs w:val="20"/>
                <w:color w:val="auto"/>
              </w:rPr>
            </w:pPr>
            <w:r>
              <w:rPr>
                <w:rFonts w:ascii="Arial" w:cs="Arial" w:eastAsia="Arial" w:hAnsi="Arial"/>
                <w:sz w:val="16"/>
                <w:szCs w:val="16"/>
                <w:color w:val="auto"/>
                <w:w w:val="97"/>
              </w:rPr>
              <w:t>700%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3620" w:type="dxa"/>
            <w:vAlign w:val="bottom"/>
            <w:tcBorders>
              <w:bottom w:val="single" w:sz="8" w:color="009BDE"/>
            </w:tcBorders>
          </w:tcPr>
          <w:p>
            <w:pPr>
              <w:spacing w:after="0"/>
              <w:rPr>
                <w:sz w:val="8"/>
                <w:szCs w:val="8"/>
                <w:color w:val="auto"/>
              </w:rPr>
            </w:pPr>
          </w:p>
        </w:tc>
        <w:tc>
          <w:tcPr>
            <w:tcW w:w="5080" w:type="dxa"/>
            <w:vAlign w:val="bottom"/>
            <w:tcBorders>
              <w:bottom w:val="single" w:sz="8" w:color="009BDE"/>
            </w:tcBorders>
          </w:tcPr>
          <w:p>
            <w:pPr>
              <w:spacing w:after="0"/>
              <w:rPr>
                <w:sz w:val="8"/>
                <w:szCs w:val="8"/>
                <w:color w:val="auto"/>
              </w:rPr>
            </w:pPr>
          </w:p>
        </w:tc>
        <w:tc>
          <w:tcPr>
            <w:tcW w:w="2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r>
        <w:trPr>
          <w:trHeight w:val="284"/>
        </w:trPr>
        <w:tc>
          <w:tcPr>
            <w:tcW w:w="3620" w:type="dxa"/>
            <w:vAlign w:val="bottom"/>
          </w:tcPr>
          <w:p>
            <w:pPr>
              <w:jc w:val="center"/>
              <w:ind w:left="20"/>
              <w:spacing w:after="0"/>
              <w:rPr>
                <w:sz w:val="20"/>
                <w:szCs w:val="20"/>
                <w:color w:val="auto"/>
              </w:rPr>
            </w:pPr>
            <w:r>
              <w:rPr>
                <w:rFonts w:ascii="Arial" w:cs="Arial" w:eastAsia="Arial" w:hAnsi="Arial"/>
                <w:sz w:val="16"/>
                <w:szCs w:val="16"/>
                <w:color w:val="auto"/>
              </w:rPr>
              <w:t>Gina Goetter</w:t>
            </w:r>
          </w:p>
        </w:tc>
        <w:tc>
          <w:tcPr>
            <w:tcW w:w="5080" w:type="dxa"/>
            <w:vAlign w:val="bottom"/>
          </w:tcPr>
          <w:p>
            <w:pPr>
              <w:jc w:val="center"/>
              <w:ind w:left="2720"/>
              <w:spacing w:after="0"/>
              <w:rPr>
                <w:sz w:val="20"/>
                <w:szCs w:val="20"/>
                <w:color w:val="auto"/>
              </w:rPr>
            </w:pPr>
            <w:r>
              <w:rPr>
                <w:rFonts w:ascii="Arial" w:cs="Arial" w:eastAsia="Arial" w:hAnsi="Arial"/>
                <w:sz w:val="16"/>
                <w:szCs w:val="16"/>
                <w:color w:val="auto"/>
                <w:w w:val="97"/>
              </w:rPr>
              <w:t>300%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3620" w:type="dxa"/>
            <w:vAlign w:val="bottom"/>
            <w:tcBorders>
              <w:bottom w:val="single" w:sz="8" w:color="009BDE"/>
            </w:tcBorders>
          </w:tcPr>
          <w:p>
            <w:pPr>
              <w:spacing w:after="0"/>
              <w:rPr>
                <w:sz w:val="8"/>
                <w:szCs w:val="8"/>
                <w:color w:val="auto"/>
              </w:rPr>
            </w:pPr>
          </w:p>
        </w:tc>
        <w:tc>
          <w:tcPr>
            <w:tcW w:w="5080" w:type="dxa"/>
            <w:vAlign w:val="bottom"/>
            <w:tcBorders>
              <w:bottom w:val="single" w:sz="8" w:color="009BDE"/>
            </w:tcBorders>
          </w:tcPr>
          <w:p>
            <w:pPr>
              <w:spacing w:after="0"/>
              <w:rPr>
                <w:sz w:val="8"/>
                <w:szCs w:val="8"/>
                <w:color w:val="auto"/>
              </w:rPr>
            </w:pPr>
          </w:p>
        </w:tc>
        <w:tc>
          <w:tcPr>
            <w:tcW w:w="2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r>
        <w:trPr>
          <w:trHeight w:val="284"/>
        </w:trPr>
        <w:tc>
          <w:tcPr>
            <w:tcW w:w="3620" w:type="dxa"/>
            <w:vAlign w:val="bottom"/>
          </w:tcPr>
          <w:p>
            <w:pPr>
              <w:jc w:val="center"/>
              <w:spacing w:after="0"/>
              <w:rPr>
                <w:sz w:val="20"/>
                <w:szCs w:val="20"/>
                <w:color w:val="auto"/>
              </w:rPr>
            </w:pPr>
            <w:r>
              <w:rPr>
                <w:rFonts w:ascii="Arial" w:cs="Arial" w:eastAsia="Arial" w:hAnsi="Arial"/>
                <w:sz w:val="16"/>
                <w:szCs w:val="16"/>
                <w:color w:val="auto"/>
              </w:rPr>
              <w:t>John Hight</w:t>
            </w:r>
          </w:p>
        </w:tc>
        <w:tc>
          <w:tcPr>
            <w:tcW w:w="5080" w:type="dxa"/>
            <w:vAlign w:val="bottom"/>
          </w:tcPr>
          <w:p>
            <w:pPr>
              <w:jc w:val="center"/>
              <w:ind w:left="2720"/>
              <w:spacing w:after="0"/>
              <w:rPr>
                <w:sz w:val="20"/>
                <w:szCs w:val="20"/>
                <w:color w:val="auto"/>
              </w:rPr>
            </w:pPr>
            <w:r>
              <w:rPr>
                <w:rFonts w:ascii="Arial" w:cs="Arial" w:eastAsia="Arial" w:hAnsi="Arial"/>
                <w:sz w:val="16"/>
                <w:szCs w:val="16"/>
                <w:color w:val="auto"/>
                <w:w w:val="97"/>
              </w:rPr>
              <w:t>250%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3620" w:type="dxa"/>
            <w:vAlign w:val="bottom"/>
            <w:tcBorders>
              <w:bottom w:val="single" w:sz="8" w:color="009BDE"/>
            </w:tcBorders>
          </w:tcPr>
          <w:p>
            <w:pPr>
              <w:spacing w:after="0"/>
              <w:rPr>
                <w:sz w:val="8"/>
                <w:szCs w:val="8"/>
                <w:color w:val="auto"/>
              </w:rPr>
            </w:pPr>
          </w:p>
        </w:tc>
        <w:tc>
          <w:tcPr>
            <w:tcW w:w="5080" w:type="dxa"/>
            <w:vAlign w:val="bottom"/>
            <w:tcBorders>
              <w:bottom w:val="single" w:sz="8" w:color="009BDE"/>
            </w:tcBorders>
          </w:tcPr>
          <w:p>
            <w:pPr>
              <w:spacing w:after="0"/>
              <w:rPr>
                <w:sz w:val="8"/>
                <w:szCs w:val="8"/>
                <w:color w:val="auto"/>
              </w:rPr>
            </w:pPr>
          </w:p>
        </w:tc>
        <w:tc>
          <w:tcPr>
            <w:tcW w:w="2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r>
        <w:trPr>
          <w:trHeight w:val="284"/>
        </w:trPr>
        <w:tc>
          <w:tcPr>
            <w:tcW w:w="3620" w:type="dxa"/>
            <w:vAlign w:val="bottom"/>
          </w:tcPr>
          <w:p>
            <w:pPr>
              <w:jc w:val="center"/>
              <w:spacing w:after="0"/>
              <w:rPr>
                <w:sz w:val="20"/>
                <w:szCs w:val="20"/>
                <w:color w:val="auto"/>
              </w:rPr>
            </w:pPr>
            <w:r>
              <w:rPr>
                <w:rFonts w:ascii="Arial" w:cs="Arial" w:eastAsia="Arial" w:hAnsi="Arial"/>
                <w:sz w:val="16"/>
                <w:szCs w:val="16"/>
                <w:color w:val="auto"/>
                <w:w w:val="99"/>
              </w:rPr>
              <w:t>Tim Kilpin</w:t>
            </w:r>
          </w:p>
        </w:tc>
        <w:tc>
          <w:tcPr>
            <w:tcW w:w="5080" w:type="dxa"/>
            <w:vAlign w:val="bottom"/>
          </w:tcPr>
          <w:p>
            <w:pPr>
              <w:jc w:val="center"/>
              <w:ind w:left="2720"/>
              <w:spacing w:after="0"/>
              <w:rPr>
                <w:sz w:val="20"/>
                <w:szCs w:val="20"/>
                <w:color w:val="auto"/>
              </w:rPr>
            </w:pPr>
            <w:r>
              <w:rPr>
                <w:rFonts w:ascii="Arial" w:cs="Arial" w:eastAsia="Arial" w:hAnsi="Arial"/>
                <w:sz w:val="16"/>
                <w:szCs w:val="16"/>
                <w:color w:val="auto"/>
                <w:w w:val="97"/>
              </w:rPr>
              <w:t>250%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3620" w:type="dxa"/>
            <w:vAlign w:val="bottom"/>
            <w:tcBorders>
              <w:bottom w:val="single" w:sz="8" w:color="009BDE"/>
            </w:tcBorders>
          </w:tcPr>
          <w:p>
            <w:pPr>
              <w:spacing w:after="0"/>
              <w:rPr>
                <w:sz w:val="8"/>
                <w:szCs w:val="8"/>
                <w:color w:val="auto"/>
              </w:rPr>
            </w:pPr>
          </w:p>
        </w:tc>
        <w:tc>
          <w:tcPr>
            <w:tcW w:w="5080" w:type="dxa"/>
            <w:vAlign w:val="bottom"/>
            <w:tcBorders>
              <w:bottom w:val="single" w:sz="8" w:color="009BDE"/>
            </w:tcBorders>
          </w:tcPr>
          <w:p>
            <w:pPr>
              <w:spacing w:after="0"/>
              <w:rPr>
                <w:sz w:val="8"/>
                <w:szCs w:val="8"/>
                <w:color w:val="auto"/>
              </w:rPr>
            </w:pPr>
          </w:p>
        </w:tc>
        <w:tc>
          <w:tcPr>
            <w:tcW w:w="2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r>
        <w:trPr>
          <w:trHeight w:val="284"/>
        </w:trPr>
        <w:tc>
          <w:tcPr>
            <w:tcW w:w="3620" w:type="dxa"/>
            <w:vAlign w:val="bottom"/>
          </w:tcPr>
          <w:p>
            <w:pPr>
              <w:jc w:val="center"/>
              <w:spacing w:after="0"/>
              <w:rPr>
                <w:sz w:val="20"/>
                <w:szCs w:val="20"/>
                <w:color w:val="auto"/>
              </w:rPr>
            </w:pPr>
            <w:r>
              <w:rPr>
                <w:rFonts w:ascii="Arial" w:cs="Arial" w:eastAsia="Arial" w:hAnsi="Arial"/>
                <w:sz w:val="16"/>
                <w:szCs w:val="16"/>
                <w:color w:val="auto"/>
                <w:w w:val="98"/>
              </w:rPr>
              <w:t>Tarrant Sibley</w:t>
            </w:r>
          </w:p>
        </w:tc>
        <w:tc>
          <w:tcPr>
            <w:tcW w:w="5080" w:type="dxa"/>
            <w:vAlign w:val="bottom"/>
          </w:tcPr>
          <w:p>
            <w:pPr>
              <w:jc w:val="center"/>
              <w:ind w:left="2720"/>
              <w:spacing w:after="0"/>
              <w:rPr>
                <w:sz w:val="20"/>
                <w:szCs w:val="20"/>
                <w:color w:val="auto"/>
              </w:rPr>
            </w:pPr>
            <w:r>
              <w:rPr>
                <w:rFonts w:ascii="Arial" w:cs="Arial" w:eastAsia="Arial" w:hAnsi="Arial"/>
                <w:sz w:val="16"/>
                <w:szCs w:val="16"/>
                <w:color w:val="auto"/>
                <w:w w:val="97"/>
              </w:rPr>
              <w:t>225%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3620" w:type="dxa"/>
            <w:vAlign w:val="bottom"/>
            <w:tcBorders>
              <w:bottom w:val="single" w:sz="8" w:color="009BDE"/>
            </w:tcBorders>
          </w:tcPr>
          <w:p>
            <w:pPr>
              <w:spacing w:after="0"/>
              <w:rPr>
                <w:sz w:val="8"/>
                <w:szCs w:val="8"/>
                <w:color w:val="auto"/>
              </w:rPr>
            </w:pPr>
          </w:p>
        </w:tc>
        <w:tc>
          <w:tcPr>
            <w:tcW w:w="5080" w:type="dxa"/>
            <w:vAlign w:val="bottom"/>
            <w:tcBorders>
              <w:bottom w:val="single" w:sz="8" w:color="009BDE"/>
            </w:tcBorders>
          </w:tcPr>
          <w:p>
            <w:pPr>
              <w:spacing w:after="0"/>
              <w:rPr>
                <w:sz w:val="8"/>
                <w:szCs w:val="8"/>
                <w:color w:val="auto"/>
              </w:rPr>
            </w:pPr>
          </w:p>
        </w:tc>
        <w:tc>
          <w:tcPr>
            <w:tcW w:w="20" w:type="dxa"/>
            <w:vAlign w:val="bottom"/>
            <w:tcBorders>
              <w:bottom w:val="single" w:sz="8" w:color="009BDE"/>
            </w:tcBorders>
          </w:tcPr>
          <w:p>
            <w:pPr>
              <w:spacing w:after="0"/>
              <w:rPr>
                <w:sz w:val="8"/>
                <w:szCs w:val="8"/>
                <w:color w:val="auto"/>
              </w:rPr>
            </w:pPr>
          </w:p>
        </w:tc>
        <w:tc>
          <w:tcPr>
            <w:tcW w:w="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-1612900</wp:posOffset>
            </wp:positionV>
            <wp:extent cx="3235325" cy="33147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3235325" cy="331470"/>
                    </a:xfrm>
                    <a:prstGeom prst="rect">
                      <a:avLst/>
                    </a:prstGeom>
                    <a:noFill/>
                  </pic:spPr>
                </pic:pic>
              </a:graphicData>
            </a:graphic>
          </wp:anchor>
        </w:drawing>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009BDE"/>
        </w:rPr>
        <w:t>Performance Share Units</w:t>
      </w:r>
    </w:p>
    <w:p>
      <w:pPr>
        <w:spacing w:after="0" w:line="98"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auto"/>
        </w:rPr>
        <w:t>Performance Share Units (“PSU Awards”) provide the recipient with the potential to earn shares of the Company’s common stock based on the Company’s achievement against financial performance metrics over a three-year performance period. For 2025, the Committee set the performance metric for the PSU Awards issued to our NEOs as cumulative diluted EPS (100%). The Committee selected this performance metric because it is an important driver of long-term sustainable Company performance with respect to effective profitability and balance sheet management. This metric is subject to +/- 25% modifier for the Company’s relative TSR performance against the S&amp;P 500 TSR comparator group. Beginning with awards granted in 2025, if our cumulative TSR at the end of the 3-year performance period is greater than or equal to 33%, the award vests at a minimum of 50% of target. This feature ensures that vesting is determined based on company value and provides direct alignment with the shareholder experience of value creation. The Committee believes these performance metrics are key factors in aligning pay with performance and the interests of our executives with those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238760</wp:posOffset>
            </wp:positionV>
            <wp:extent cx="6964045" cy="39052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  34</w:t>
      </w:r>
    </w:p>
    <w:p>
      <w:pPr>
        <w:sectPr>
          <w:pgSz w:w="11900" w:h="16838" w:orient="portrait"/>
          <w:cols w:equalWidth="0" w:num="1">
            <w:col w:w="11060"/>
          </w:cols>
          <w:pgMar w:left="320" w:top="478" w:right="5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outlines payout at threshold, target and maximum performance for the PSU Awards.</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301"/>
        </w:trPr>
        <w:tc>
          <w:tcPr>
            <w:tcW w:w="2120" w:type="dxa"/>
            <w:vAlign w:val="bottom"/>
            <w:tcBorders>
              <w:bottom w:val="single" w:sz="8" w:color="CCEBF8"/>
              <w:right w:val="single" w:sz="8" w:color="CCEBF8"/>
            </w:tcBorders>
            <w:shd w:val="clear" w:color="auto" w:fill="CCEBF8"/>
          </w:tcPr>
          <w:p>
            <w:pPr>
              <w:jc w:val="center"/>
              <w:spacing w:after="0"/>
              <w:rPr>
                <w:sz w:val="20"/>
                <w:szCs w:val="20"/>
                <w:color w:val="auto"/>
              </w:rPr>
            </w:pPr>
            <w:r>
              <w:rPr>
                <w:rFonts w:ascii="Arial" w:cs="Arial" w:eastAsia="Arial" w:hAnsi="Arial"/>
                <w:sz w:val="16"/>
                <w:szCs w:val="16"/>
                <w:b w:val="1"/>
                <w:bCs w:val="1"/>
                <w:color w:val="009BDE"/>
                <w:w w:val="97"/>
              </w:rPr>
              <w:t>Metric</w:t>
            </w:r>
          </w:p>
        </w:tc>
        <w:tc>
          <w:tcPr>
            <w:tcW w:w="2220" w:type="dxa"/>
            <w:vAlign w:val="bottom"/>
            <w:tcBorders>
              <w:bottom w:val="single" w:sz="8" w:color="CCEBF8"/>
            </w:tcBorders>
            <w:shd w:val="clear" w:color="auto" w:fill="CCEBF8"/>
          </w:tcPr>
          <w:p>
            <w:pPr>
              <w:jc w:val="center"/>
              <w:ind w:left="680"/>
              <w:spacing w:after="0"/>
              <w:rPr>
                <w:sz w:val="20"/>
                <w:szCs w:val="20"/>
                <w:color w:val="auto"/>
              </w:rPr>
            </w:pPr>
            <w:r>
              <w:rPr>
                <w:rFonts w:ascii="Arial" w:cs="Arial" w:eastAsia="Arial" w:hAnsi="Arial"/>
                <w:sz w:val="16"/>
                <w:szCs w:val="16"/>
                <w:b w:val="1"/>
                <w:bCs w:val="1"/>
                <w:color w:val="009BDE"/>
              </w:rPr>
              <w:t>Threshold</w:t>
            </w:r>
          </w:p>
        </w:tc>
        <w:tc>
          <w:tcPr>
            <w:tcW w:w="660" w:type="dxa"/>
            <w:vAlign w:val="bottom"/>
            <w:tcBorders>
              <w:bottom w:val="single" w:sz="8" w:color="CCEBF8"/>
              <w:right w:val="single" w:sz="8" w:color="CCEBF8"/>
            </w:tcBorders>
            <w:shd w:val="clear" w:color="auto" w:fill="CCEBF8"/>
          </w:tcPr>
          <w:p>
            <w:pPr>
              <w:spacing w:after="0"/>
              <w:rPr>
                <w:sz w:val="24"/>
                <w:szCs w:val="24"/>
                <w:color w:val="auto"/>
              </w:rPr>
            </w:pPr>
          </w:p>
        </w:tc>
        <w:tc>
          <w:tcPr>
            <w:tcW w:w="3600" w:type="dxa"/>
            <w:vAlign w:val="bottom"/>
            <w:tcBorders>
              <w:bottom w:val="single" w:sz="8" w:color="CCEBF8"/>
              <w:right w:val="single" w:sz="8" w:color="CCEBF8"/>
            </w:tcBorders>
            <w:shd w:val="clear" w:color="auto" w:fill="CCEBF8"/>
          </w:tcPr>
          <w:p>
            <w:pPr>
              <w:jc w:val="center"/>
              <w:ind w:left="40"/>
              <w:spacing w:after="0"/>
              <w:rPr>
                <w:sz w:val="20"/>
                <w:szCs w:val="20"/>
                <w:color w:val="auto"/>
              </w:rPr>
            </w:pPr>
            <w:r>
              <w:rPr>
                <w:rFonts w:ascii="Arial" w:cs="Arial" w:eastAsia="Arial" w:hAnsi="Arial"/>
                <w:sz w:val="16"/>
                <w:szCs w:val="16"/>
                <w:b w:val="1"/>
                <w:bCs w:val="1"/>
                <w:color w:val="009BDE"/>
                <w:w w:val="98"/>
              </w:rPr>
              <w:t>Target</w:t>
            </w:r>
          </w:p>
        </w:tc>
        <w:tc>
          <w:tcPr>
            <w:tcW w:w="2320" w:type="dxa"/>
            <w:vAlign w:val="bottom"/>
            <w:tcBorders>
              <w:bottom w:val="single" w:sz="8" w:color="CCEBF8"/>
            </w:tcBorders>
            <w:shd w:val="clear" w:color="auto" w:fill="CCEBF8"/>
          </w:tcPr>
          <w:p>
            <w:pPr>
              <w:jc w:val="center"/>
              <w:ind w:left="60"/>
              <w:spacing w:after="0"/>
              <w:rPr>
                <w:sz w:val="20"/>
                <w:szCs w:val="20"/>
                <w:color w:val="auto"/>
              </w:rPr>
            </w:pPr>
            <w:r>
              <w:rPr>
                <w:rFonts w:ascii="Arial" w:cs="Arial" w:eastAsia="Arial" w:hAnsi="Arial"/>
                <w:sz w:val="16"/>
                <w:szCs w:val="16"/>
                <w:b w:val="1"/>
                <w:bCs w:val="1"/>
                <w:color w:val="009BDE"/>
              </w:rPr>
              <w:t>Maximum</w:t>
            </w:r>
          </w:p>
        </w:tc>
      </w:tr>
      <w:tr>
        <w:trPr>
          <w:trHeight w:val="274"/>
        </w:trPr>
        <w:tc>
          <w:tcPr>
            <w:tcW w:w="2120" w:type="dxa"/>
            <w:vAlign w:val="bottom"/>
            <w:tcBorders>
              <w:right w:val="single" w:sz="8" w:color="009BDE"/>
            </w:tcBorders>
            <w:shd w:val="clear" w:color="auto" w:fill="009BDE"/>
          </w:tcPr>
          <w:p>
            <w:pPr>
              <w:spacing w:after="0"/>
              <w:rPr>
                <w:sz w:val="23"/>
                <w:szCs w:val="23"/>
                <w:color w:val="auto"/>
              </w:rPr>
            </w:pPr>
          </w:p>
        </w:tc>
        <w:tc>
          <w:tcPr>
            <w:tcW w:w="2220" w:type="dxa"/>
            <w:vAlign w:val="bottom"/>
            <w:shd w:val="clear" w:color="auto" w:fill="009BDE"/>
          </w:tcPr>
          <w:p>
            <w:pPr>
              <w:spacing w:after="0"/>
              <w:rPr>
                <w:sz w:val="23"/>
                <w:szCs w:val="23"/>
                <w:color w:val="auto"/>
              </w:rPr>
            </w:pPr>
          </w:p>
        </w:tc>
        <w:tc>
          <w:tcPr>
            <w:tcW w:w="660" w:type="dxa"/>
            <w:vAlign w:val="bottom"/>
            <w:tcBorders>
              <w:right w:val="single" w:sz="8" w:color="009BDE"/>
            </w:tcBorders>
            <w:shd w:val="clear" w:color="auto" w:fill="009BDE"/>
          </w:tcPr>
          <w:p>
            <w:pPr>
              <w:spacing w:after="0"/>
              <w:rPr>
                <w:sz w:val="23"/>
                <w:szCs w:val="23"/>
                <w:color w:val="auto"/>
              </w:rPr>
            </w:pPr>
          </w:p>
        </w:tc>
        <w:tc>
          <w:tcPr>
            <w:tcW w:w="3600" w:type="dxa"/>
            <w:vAlign w:val="bottom"/>
            <w:tcBorders>
              <w:right w:val="single" w:sz="8" w:color="009BDE"/>
            </w:tcBorders>
            <w:shd w:val="clear" w:color="auto" w:fill="009BDE"/>
          </w:tcPr>
          <w:p>
            <w:pPr>
              <w:jc w:val="center"/>
              <w:ind w:right="2600"/>
              <w:spacing w:after="0"/>
              <w:rPr>
                <w:sz w:val="20"/>
                <w:szCs w:val="20"/>
                <w:color w:val="auto"/>
              </w:rPr>
            </w:pPr>
            <w:r>
              <w:rPr>
                <w:rFonts w:ascii="Arial" w:cs="Arial" w:eastAsia="Arial" w:hAnsi="Arial"/>
                <w:sz w:val="16"/>
                <w:szCs w:val="16"/>
                <w:b w:val="1"/>
                <w:bCs w:val="1"/>
                <w:color w:val="FFFFFF"/>
                <w:w w:val="99"/>
              </w:rPr>
              <w:t>EPS</w:t>
            </w:r>
          </w:p>
        </w:tc>
        <w:tc>
          <w:tcPr>
            <w:tcW w:w="2320" w:type="dxa"/>
            <w:vAlign w:val="bottom"/>
            <w:shd w:val="clear" w:color="auto" w:fill="009BDE"/>
          </w:tcPr>
          <w:p>
            <w:pPr>
              <w:spacing w:after="0"/>
              <w:rPr>
                <w:sz w:val="23"/>
                <w:szCs w:val="23"/>
                <w:color w:val="auto"/>
              </w:rPr>
            </w:pPr>
          </w:p>
        </w:tc>
      </w:tr>
      <w:tr>
        <w:trPr>
          <w:trHeight w:val="60"/>
        </w:trPr>
        <w:tc>
          <w:tcPr>
            <w:tcW w:w="2120" w:type="dxa"/>
            <w:vAlign w:val="bottom"/>
            <w:tcBorders>
              <w:right w:val="single" w:sz="8" w:color="009BDE"/>
            </w:tcBorders>
            <w:shd w:val="clear" w:color="auto" w:fill="009BDE"/>
          </w:tcPr>
          <w:p>
            <w:pPr>
              <w:spacing w:after="0"/>
              <w:rPr>
                <w:sz w:val="5"/>
                <w:szCs w:val="5"/>
                <w:color w:val="auto"/>
              </w:rPr>
            </w:pPr>
          </w:p>
        </w:tc>
        <w:tc>
          <w:tcPr>
            <w:tcW w:w="2220" w:type="dxa"/>
            <w:vAlign w:val="bottom"/>
            <w:shd w:val="clear" w:color="auto" w:fill="009BDE"/>
          </w:tcPr>
          <w:p>
            <w:pPr>
              <w:spacing w:after="0"/>
              <w:rPr>
                <w:sz w:val="5"/>
                <w:szCs w:val="5"/>
                <w:color w:val="auto"/>
              </w:rPr>
            </w:pPr>
          </w:p>
        </w:tc>
        <w:tc>
          <w:tcPr>
            <w:tcW w:w="4260" w:type="dxa"/>
            <w:vAlign w:val="bottom"/>
            <w:tcBorders>
              <w:right w:val="single" w:sz="8" w:color="009BDE"/>
            </w:tcBorders>
            <w:gridSpan w:val="2"/>
            <w:shd w:val="clear" w:color="auto" w:fill="009BDE"/>
          </w:tcPr>
          <w:p>
            <w:pPr>
              <w:spacing w:after="0"/>
              <w:rPr>
                <w:sz w:val="5"/>
                <w:szCs w:val="5"/>
                <w:color w:val="auto"/>
              </w:rPr>
            </w:pPr>
          </w:p>
        </w:tc>
        <w:tc>
          <w:tcPr>
            <w:tcW w:w="2320" w:type="dxa"/>
            <w:vAlign w:val="bottom"/>
            <w:shd w:val="clear" w:color="auto" w:fill="009BDE"/>
          </w:tcPr>
          <w:p>
            <w:pPr>
              <w:spacing w:after="0"/>
              <w:rPr>
                <w:sz w:val="5"/>
                <w:szCs w:val="5"/>
                <w:color w:val="auto"/>
              </w:rPr>
            </w:pPr>
          </w:p>
        </w:tc>
      </w:tr>
      <w:tr>
        <w:trPr>
          <w:trHeight w:val="291"/>
        </w:trPr>
        <w:tc>
          <w:tcPr>
            <w:tcW w:w="2120" w:type="dxa"/>
            <w:vAlign w:val="bottom"/>
            <w:tcBorders>
              <w:right w:val="single" w:sz="8" w:color="009BDE"/>
            </w:tcBorders>
          </w:tcPr>
          <w:p>
            <w:pPr>
              <w:jc w:val="center"/>
              <w:spacing w:after="0"/>
              <w:rPr>
                <w:sz w:val="20"/>
                <w:szCs w:val="20"/>
                <w:color w:val="auto"/>
              </w:rPr>
            </w:pPr>
            <w:r>
              <w:rPr>
                <w:rFonts w:ascii="Arial" w:cs="Arial" w:eastAsia="Arial" w:hAnsi="Arial"/>
                <w:sz w:val="16"/>
                <w:szCs w:val="16"/>
                <w:color w:val="auto"/>
              </w:rPr>
              <w:t>Performance</w:t>
            </w:r>
          </w:p>
        </w:tc>
        <w:tc>
          <w:tcPr>
            <w:tcW w:w="2220" w:type="dxa"/>
            <w:vAlign w:val="bottom"/>
          </w:tcPr>
          <w:p>
            <w:pPr>
              <w:jc w:val="center"/>
              <w:ind w:left="700"/>
              <w:spacing w:after="0"/>
              <w:rPr>
                <w:sz w:val="20"/>
                <w:szCs w:val="20"/>
                <w:color w:val="auto"/>
              </w:rPr>
            </w:pPr>
            <w:r>
              <w:rPr>
                <w:rFonts w:ascii="Arial" w:cs="Arial" w:eastAsia="Arial" w:hAnsi="Arial"/>
                <w:sz w:val="16"/>
                <w:szCs w:val="16"/>
                <w:color w:val="auto"/>
                <w:w w:val="99"/>
              </w:rPr>
              <w:t>80%</w:t>
            </w:r>
          </w:p>
        </w:tc>
        <w:tc>
          <w:tcPr>
            <w:tcW w:w="660" w:type="dxa"/>
            <w:vAlign w:val="bottom"/>
            <w:tcBorders>
              <w:right w:val="single" w:sz="8" w:color="009BDE"/>
            </w:tcBorders>
          </w:tcPr>
          <w:p>
            <w:pPr>
              <w:spacing w:after="0"/>
              <w:rPr>
                <w:sz w:val="24"/>
                <w:szCs w:val="24"/>
                <w:color w:val="auto"/>
              </w:rPr>
            </w:pPr>
          </w:p>
        </w:tc>
        <w:tc>
          <w:tcPr>
            <w:tcW w:w="3600" w:type="dxa"/>
            <w:vAlign w:val="bottom"/>
            <w:tcBorders>
              <w:right w:val="single" w:sz="8" w:color="009BDE"/>
            </w:tcBorders>
          </w:tcPr>
          <w:p>
            <w:pPr>
              <w:jc w:val="center"/>
              <w:ind w:left="20"/>
              <w:spacing w:after="0"/>
              <w:rPr>
                <w:sz w:val="20"/>
                <w:szCs w:val="20"/>
                <w:color w:val="auto"/>
              </w:rPr>
            </w:pPr>
            <w:r>
              <w:rPr>
                <w:rFonts w:ascii="Arial" w:cs="Arial" w:eastAsia="Arial" w:hAnsi="Arial"/>
                <w:sz w:val="16"/>
                <w:szCs w:val="16"/>
                <w:color w:val="auto"/>
              </w:rPr>
              <w:t>100%</w:t>
            </w:r>
          </w:p>
        </w:tc>
        <w:tc>
          <w:tcPr>
            <w:tcW w:w="2320" w:type="dxa"/>
            <w:vAlign w:val="bottom"/>
          </w:tcPr>
          <w:p>
            <w:pPr>
              <w:jc w:val="center"/>
              <w:ind w:left="60"/>
              <w:spacing w:after="0"/>
              <w:rPr>
                <w:sz w:val="20"/>
                <w:szCs w:val="20"/>
                <w:color w:val="auto"/>
              </w:rPr>
            </w:pPr>
            <w:r>
              <w:rPr>
                <w:rFonts w:ascii="Arial" w:cs="Arial" w:eastAsia="Arial" w:hAnsi="Arial"/>
                <w:sz w:val="16"/>
                <w:szCs w:val="16"/>
                <w:color w:val="auto"/>
              </w:rPr>
              <w:t>125%</w:t>
            </w:r>
          </w:p>
        </w:tc>
      </w:tr>
      <w:tr>
        <w:trPr>
          <w:trHeight w:val="97"/>
        </w:trPr>
        <w:tc>
          <w:tcPr>
            <w:tcW w:w="2120" w:type="dxa"/>
            <w:vAlign w:val="bottom"/>
            <w:tcBorders>
              <w:bottom w:val="single" w:sz="8" w:color="009BDE"/>
              <w:right w:val="single" w:sz="8" w:color="009BDE"/>
            </w:tcBorders>
          </w:tcPr>
          <w:p>
            <w:pPr>
              <w:spacing w:after="0"/>
              <w:rPr>
                <w:sz w:val="8"/>
                <w:szCs w:val="8"/>
                <w:color w:val="auto"/>
              </w:rPr>
            </w:pPr>
          </w:p>
        </w:tc>
        <w:tc>
          <w:tcPr>
            <w:tcW w:w="2220" w:type="dxa"/>
            <w:vAlign w:val="bottom"/>
            <w:tcBorders>
              <w:bottom w:val="single" w:sz="8" w:color="009BDE"/>
            </w:tcBorders>
          </w:tcPr>
          <w:p>
            <w:pPr>
              <w:spacing w:after="0"/>
              <w:rPr>
                <w:sz w:val="8"/>
                <w:szCs w:val="8"/>
                <w:color w:val="auto"/>
              </w:rPr>
            </w:pPr>
          </w:p>
        </w:tc>
        <w:tc>
          <w:tcPr>
            <w:tcW w:w="660" w:type="dxa"/>
            <w:vAlign w:val="bottom"/>
            <w:tcBorders>
              <w:bottom w:val="single" w:sz="8" w:color="009BDE"/>
              <w:right w:val="single" w:sz="8" w:color="009BDE"/>
            </w:tcBorders>
          </w:tcPr>
          <w:p>
            <w:pPr>
              <w:spacing w:after="0"/>
              <w:rPr>
                <w:sz w:val="8"/>
                <w:szCs w:val="8"/>
                <w:color w:val="auto"/>
              </w:rPr>
            </w:pPr>
          </w:p>
        </w:tc>
        <w:tc>
          <w:tcPr>
            <w:tcW w:w="3600" w:type="dxa"/>
            <w:vAlign w:val="bottom"/>
            <w:tcBorders>
              <w:bottom w:val="single" w:sz="8" w:color="009BDE"/>
              <w:right w:val="single" w:sz="8" w:color="009BDE"/>
            </w:tcBorders>
          </w:tcPr>
          <w:p>
            <w:pPr>
              <w:spacing w:after="0"/>
              <w:rPr>
                <w:sz w:val="8"/>
                <w:szCs w:val="8"/>
                <w:color w:val="auto"/>
              </w:rPr>
            </w:pPr>
          </w:p>
        </w:tc>
        <w:tc>
          <w:tcPr>
            <w:tcW w:w="2320" w:type="dxa"/>
            <w:vAlign w:val="bottom"/>
            <w:tcBorders>
              <w:bottom w:val="single" w:sz="8" w:color="009BDE"/>
            </w:tcBorders>
          </w:tcPr>
          <w:p>
            <w:pPr>
              <w:spacing w:after="0"/>
              <w:rPr>
                <w:sz w:val="8"/>
                <w:szCs w:val="8"/>
                <w:color w:val="auto"/>
              </w:rPr>
            </w:pPr>
          </w:p>
        </w:tc>
      </w:tr>
      <w:tr>
        <w:trPr>
          <w:trHeight w:val="284"/>
        </w:trPr>
        <w:tc>
          <w:tcPr>
            <w:tcW w:w="2120" w:type="dxa"/>
            <w:vAlign w:val="bottom"/>
            <w:tcBorders>
              <w:right w:val="single" w:sz="8" w:color="009BDE"/>
            </w:tcBorders>
          </w:tcPr>
          <w:p>
            <w:pPr>
              <w:jc w:val="center"/>
              <w:spacing w:after="0"/>
              <w:rPr>
                <w:sz w:val="20"/>
                <w:szCs w:val="20"/>
                <w:color w:val="auto"/>
              </w:rPr>
            </w:pPr>
            <w:r>
              <w:rPr>
                <w:rFonts w:ascii="Arial" w:cs="Arial" w:eastAsia="Arial" w:hAnsi="Arial"/>
                <w:sz w:val="16"/>
                <w:szCs w:val="16"/>
                <w:color w:val="auto"/>
              </w:rPr>
              <w:t>Payout</w:t>
            </w:r>
          </w:p>
        </w:tc>
        <w:tc>
          <w:tcPr>
            <w:tcW w:w="2220" w:type="dxa"/>
            <w:vAlign w:val="bottom"/>
          </w:tcPr>
          <w:p>
            <w:pPr>
              <w:jc w:val="center"/>
              <w:ind w:left="700"/>
              <w:spacing w:after="0"/>
              <w:rPr>
                <w:sz w:val="20"/>
                <w:szCs w:val="20"/>
                <w:color w:val="auto"/>
              </w:rPr>
            </w:pPr>
            <w:r>
              <w:rPr>
                <w:rFonts w:ascii="Arial" w:cs="Arial" w:eastAsia="Arial" w:hAnsi="Arial"/>
                <w:sz w:val="16"/>
                <w:szCs w:val="16"/>
                <w:color w:val="auto"/>
                <w:w w:val="99"/>
              </w:rPr>
              <w:t>50%</w:t>
            </w:r>
          </w:p>
        </w:tc>
        <w:tc>
          <w:tcPr>
            <w:tcW w:w="660" w:type="dxa"/>
            <w:vAlign w:val="bottom"/>
            <w:tcBorders>
              <w:right w:val="single" w:sz="8" w:color="009BDE"/>
            </w:tcBorders>
          </w:tcPr>
          <w:p>
            <w:pPr>
              <w:spacing w:after="0"/>
              <w:rPr>
                <w:sz w:val="24"/>
                <w:szCs w:val="24"/>
                <w:color w:val="auto"/>
              </w:rPr>
            </w:pPr>
          </w:p>
        </w:tc>
        <w:tc>
          <w:tcPr>
            <w:tcW w:w="3600" w:type="dxa"/>
            <w:vAlign w:val="bottom"/>
            <w:tcBorders>
              <w:right w:val="single" w:sz="8" w:color="009BDE"/>
            </w:tcBorders>
          </w:tcPr>
          <w:p>
            <w:pPr>
              <w:jc w:val="center"/>
              <w:ind w:left="20"/>
              <w:spacing w:after="0"/>
              <w:rPr>
                <w:sz w:val="20"/>
                <w:szCs w:val="20"/>
                <w:color w:val="auto"/>
              </w:rPr>
            </w:pPr>
            <w:r>
              <w:rPr>
                <w:rFonts w:ascii="Arial" w:cs="Arial" w:eastAsia="Arial" w:hAnsi="Arial"/>
                <w:sz w:val="16"/>
                <w:szCs w:val="16"/>
                <w:color w:val="auto"/>
              </w:rPr>
              <w:t>100%</w:t>
            </w:r>
          </w:p>
        </w:tc>
        <w:tc>
          <w:tcPr>
            <w:tcW w:w="2320" w:type="dxa"/>
            <w:vAlign w:val="bottom"/>
          </w:tcPr>
          <w:p>
            <w:pPr>
              <w:jc w:val="center"/>
              <w:ind w:left="60"/>
              <w:spacing w:after="0"/>
              <w:rPr>
                <w:sz w:val="20"/>
                <w:szCs w:val="20"/>
                <w:color w:val="auto"/>
              </w:rPr>
            </w:pPr>
            <w:r>
              <w:rPr>
                <w:rFonts w:ascii="Arial" w:cs="Arial" w:eastAsia="Arial" w:hAnsi="Arial"/>
                <w:sz w:val="16"/>
                <w:szCs w:val="16"/>
                <w:color w:val="auto"/>
              </w:rPr>
              <w:t>200%</w:t>
            </w:r>
          </w:p>
        </w:tc>
      </w:tr>
      <w:tr>
        <w:trPr>
          <w:trHeight w:val="97"/>
        </w:trPr>
        <w:tc>
          <w:tcPr>
            <w:tcW w:w="2120" w:type="dxa"/>
            <w:vAlign w:val="bottom"/>
            <w:tcBorders>
              <w:right w:val="single" w:sz="8" w:color="009BDE"/>
            </w:tcBorders>
          </w:tcPr>
          <w:p>
            <w:pPr>
              <w:spacing w:after="0"/>
              <w:rPr>
                <w:sz w:val="8"/>
                <w:szCs w:val="8"/>
                <w:color w:val="auto"/>
              </w:rPr>
            </w:pPr>
          </w:p>
        </w:tc>
        <w:tc>
          <w:tcPr>
            <w:tcW w:w="2220" w:type="dxa"/>
            <w:vAlign w:val="bottom"/>
          </w:tcPr>
          <w:p>
            <w:pPr>
              <w:spacing w:after="0"/>
              <w:rPr>
                <w:sz w:val="8"/>
                <w:szCs w:val="8"/>
                <w:color w:val="auto"/>
              </w:rPr>
            </w:pPr>
          </w:p>
        </w:tc>
        <w:tc>
          <w:tcPr>
            <w:tcW w:w="660" w:type="dxa"/>
            <w:vAlign w:val="bottom"/>
            <w:tcBorders>
              <w:right w:val="single" w:sz="8" w:color="009BDE"/>
            </w:tcBorders>
          </w:tcPr>
          <w:p>
            <w:pPr>
              <w:spacing w:after="0"/>
              <w:rPr>
                <w:sz w:val="8"/>
                <w:szCs w:val="8"/>
                <w:color w:val="auto"/>
              </w:rPr>
            </w:pPr>
          </w:p>
        </w:tc>
        <w:tc>
          <w:tcPr>
            <w:tcW w:w="3600" w:type="dxa"/>
            <w:vAlign w:val="bottom"/>
            <w:tcBorders>
              <w:right w:val="single" w:sz="8" w:color="009BDE"/>
            </w:tcBorders>
          </w:tcPr>
          <w:p>
            <w:pPr>
              <w:spacing w:after="0"/>
              <w:rPr>
                <w:sz w:val="8"/>
                <w:szCs w:val="8"/>
                <w:color w:val="auto"/>
              </w:rPr>
            </w:pPr>
          </w:p>
        </w:tc>
        <w:tc>
          <w:tcPr>
            <w:tcW w:w="2320" w:type="dxa"/>
            <w:vAlign w:val="bottom"/>
          </w:tcPr>
          <w:p>
            <w:pPr>
              <w:spacing w:after="0"/>
              <w:rPr>
                <w:sz w:val="8"/>
                <w:szCs w:val="8"/>
                <w:color w:val="auto"/>
              </w:rPr>
            </w:pPr>
          </w:p>
        </w:tc>
      </w:tr>
      <w:tr>
        <w:trPr>
          <w:trHeight w:val="274"/>
        </w:trPr>
        <w:tc>
          <w:tcPr>
            <w:tcW w:w="2120" w:type="dxa"/>
            <w:vAlign w:val="bottom"/>
            <w:tcBorders>
              <w:right w:val="single" w:sz="8" w:color="009BDE"/>
            </w:tcBorders>
            <w:shd w:val="clear" w:color="auto" w:fill="009BDE"/>
          </w:tcPr>
          <w:p>
            <w:pPr>
              <w:spacing w:after="0"/>
              <w:rPr>
                <w:sz w:val="23"/>
                <w:szCs w:val="23"/>
                <w:color w:val="auto"/>
              </w:rPr>
            </w:pPr>
          </w:p>
        </w:tc>
        <w:tc>
          <w:tcPr>
            <w:tcW w:w="2220" w:type="dxa"/>
            <w:vAlign w:val="bottom"/>
            <w:shd w:val="clear" w:color="auto" w:fill="009BDE"/>
          </w:tcPr>
          <w:p>
            <w:pPr>
              <w:spacing w:after="0"/>
              <w:rPr>
                <w:sz w:val="23"/>
                <w:szCs w:val="23"/>
                <w:color w:val="auto"/>
              </w:rPr>
            </w:pPr>
          </w:p>
        </w:tc>
        <w:tc>
          <w:tcPr>
            <w:tcW w:w="4260" w:type="dxa"/>
            <w:vAlign w:val="bottom"/>
            <w:tcBorders>
              <w:right w:val="single" w:sz="8" w:color="009BDE"/>
            </w:tcBorders>
            <w:gridSpan w:val="2"/>
            <w:shd w:val="clear" w:color="auto" w:fill="009BDE"/>
          </w:tcPr>
          <w:p>
            <w:pPr>
              <w:jc w:val="center"/>
              <w:ind w:right="1920"/>
              <w:spacing w:after="0"/>
              <w:rPr>
                <w:sz w:val="20"/>
                <w:szCs w:val="20"/>
                <w:color w:val="auto"/>
              </w:rPr>
            </w:pPr>
            <w:r>
              <w:rPr>
                <w:rFonts w:ascii="Arial" w:cs="Arial" w:eastAsia="Arial" w:hAnsi="Arial"/>
                <w:sz w:val="16"/>
                <w:szCs w:val="16"/>
                <w:b w:val="1"/>
                <w:bCs w:val="1"/>
                <w:color w:val="FFFFFF"/>
                <w:w w:val="99"/>
              </w:rPr>
              <w:t>RELATIVE TSR MODIFIER</w:t>
            </w:r>
          </w:p>
        </w:tc>
        <w:tc>
          <w:tcPr>
            <w:tcW w:w="2320" w:type="dxa"/>
            <w:vAlign w:val="bottom"/>
            <w:shd w:val="clear" w:color="auto" w:fill="009BDE"/>
          </w:tcPr>
          <w:p>
            <w:pPr>
              <w:spacing w:after="0"/>
              <w:rPr>
                <w:sz w:val="23"/>
                <w:szCs w:val="23"/>
                <w:color w:val="auto"/>
              </w:rPr>
            </w:pPr>
          </w:p>
        </w:tc>
      </w:tr>
      <w:tr>
        <w:trPr>
          <w:trHeight w:val="127"/>
        </w:trPr>
        <w:tc>
          <w:tcPr>
            <w:tcW w:w="2120" w:type="dxa"/>
            <w:vAlign w:val="bottom"/>
            <w:tcBorders>
              <w:right w:val="single" w:sz="8" w:color="009BDE"/>
            </w:tcBorders>
            <w:shd w:val="clear" w:color="auto" w:fill="009BDE"/>
          </w:tcPr>
          <w:p>
            <w:pPr>
              <w:spacing w:after="0"/>
              <w:rPr>
                <w:sz w:val="11"/>
                <w:szCs w:val="11"/>
                <w:color w:val="auto"/>
              </w:rPr>
            </w:pPr>
          </w:p>
        </w:tc>
        <w:tc>
          <w:tcPr>
            <w:tcW w:w="2220" w:type="dxa"/>
            <w:vAlign w:val="bottom"/>
            <w:shd w:val="clear" w:color="auto" w:fill="009BDE"/>
          </w:tcPr>
          <w:p>
            <w:pPr>
              <w:spacing w:after="0"/>
              <w:rPr>
                <w:sz w:val="11"/>
                <w:szCs w:val="11"/>
                <w:color w:val="auto"/>
              </w:rPr>
            </w:pPr>
          </w:p>
        </w:tc>
        <w:tc>
          <w:tcPr>
            <w:tcW w:w="660" w:type="dxa"/>
            <w:vAlign w:val="bottom"/>
            <w:tcBorders>
              <w:right w:val="single" w:sz="8" w:color="009BDE"/>
            </w:tcBorders>
            <w:shd w:val="clear" w:color="auto" w:fill="009BDE"/>
          </w:tcPr>
          <w:p>
            <w:pPr>
              <w:spacing w:after="0"/>
              <w:rPr>
                <w:sz w:val="11"/>
                <w:szCs w:val="11"/>
                <w:color w:val="auto"/>
              </w:rPr>
            </w:pPr>
          </w:p>
        </w:tc>
        <w:tc>
          <w:tcPr>
            <w:tcW w:w="3600" w:type="dxa"/>
            <w:vAlign w:val="bottom"/>
            <w:tcBorders>
              <w:right w:val="single" w:sz="8" w:color="009BDE"/>
            </w:tcBorders>
            <w:shd w:val="clear" w:color="auto" w:fill="009BDE"/>
          </w:tcPr>
          <w:p>
            <w:pPr>
              <w:spacing w:after="0"/>
              <w:rPr>
                <w:sz w:val="11"/>
                <w:szCs w:val="11"/>
                <w:color w:val="auto"/>
              </w:rPr>
            </w:pPr>
          </w:p>
        </w:tc>
        <w:tc>
          <w:tcPr>
            <w:tcW w:w="2320" w:type="dxa"/>
            <w:vAlign w:val="bottom"/>
            <w:shd w:val="clear" w:color="auto" w:fill="009BDE"/>
          </w:tcPr>
          <w:p>
            <w:pPr>
              <w:spacing w:after="0"/>
              <w:rPr>
                <w:sz w:val="11"/>
                <w:szCs w:val="11"/>
                <w:color w:val="auto"/>
              </w:rPr>
            </w:pPr>
          </w:p>
        </w:tc>
      </w:tr>
      <w:tr>
        <w:trPr>
          <w:trHeight w:val="388"/>
        </w:trPr>
        <w:tc>
          <w:tcPr>
            <w:tcW w:w="2120" w:type="dxa"/>
            <w:vAlign w:val="bottom"/>
            <w:tcBorders>
              <w:bottom w:val="single" w:sz="8" w:color="009BDE"/>
              <w:right w:val="single" w:sz="8" w:color="009BDE"/>
            </w:tcBorders>
          </w:tcPr>
          <w:p>
            <w:pPr>
              <w:jc w:val="center"/>
              <w:spacing w:after="0"/>
              <w:rPr>
                <w:sz w:val="20"/>
                <w:szCs w:val="20"/>
                <w:color w:val="auto"/>
              </w:rPr>
            </w:pPr>
            <w:r>
              <w:rPr>
                <w:rFonts w:ascii="Arial" w:cs="Arial" w:eastAsia="Arial" w:hAnsi="Arial"/>
                <w:sz w:val="16"/>
                <w:szCs w:val="16"/>
                <w:color w:val="auto"/>
              </w:rPr>
              <w:t>Performance</w:t>
            </w:r>
          </w:p>
        </w:tc>
        <w:tc>
          <w:tcPr>
            <w:tcW w:w="2220" w:type="dxa"/>
            <w:vAlign w:val="bottom"/>
            <w:tcBorders>
              <w:bottom w:val="single" w:sz="8" w:color="009BDE"/>
            </w:tcBorders>
          </w:tcPr>
          <w:p>
            <w:pPr>
              <w:jc w:val="center"/>
              <w:ind w:left="680"/>
              <w:spacing w:after="0"/>
              <w:rPr>
                <w:sz w:val="20"/>
                <w:szCs w:val="20"/>
                <w:color w:val="auto"/>
              </w:rPr>
            </w:pPr>
            <w:r>
              <w:rPr>
                <w:rFonts w:ascii="Arial" w:cs="Arial" w:eastAsia="Arial" w:hAnsi="Arial"/>
                <w:sz w:val="16"/>
                <w:szCs w:val="16"/>
                <w:color w:val="auto"/>
                <w:w w:val="99"/>
              </w:rPr>
              <w:t>&lt; 25th percentile</w:t>
            </w:r>
          </w:p>
        </w:tc>
        <w:tc>
          <w:tcPr>
            <w:tcW w:w="660" w:type="dxa"/>
            <w:vAlign w:val="bottom"/>
            <w:tcBorders>
              <w:bottom w:val="single" w:sz="8" w:color="009BDE"/>
              <w:right w:val="single" w:sz="8" w:color="009BDE"/>
            </w:tcBorders>
          </w:tcPr>
          <w:p>
            <w:pPr>
              <w:spacing w:after="0"/>
              <w:rPr>
                <w:sz w:val="24"/>
                <w:szCs w:val="24"/>
                <w:color w:val="auto"/>
              </w:rPr>
            </w:pPr>
          </w:p>
        </w:tc>
        <w:tc>
          <w:tcPr>
            <w:tcW w:w="3600" w:type="dxa"/>
            <w:vAlign w:val="bottom"/>
            <w:tcBorders>
              <w:bottom w:val="single" w:sz="8" w:color="009BDE"/>
              <w:right w:val="single" w:sz="8" w:color="009BDE"/>
            </w:tcBorders>
          </w:tcPr>
          <w:p>
            <w:pPr>
              <w:jc w:val="center"/>
              <w:ind w:left="20"/>
              <w:spacing w:after="0"/>
              <w:rPr>
                <w:sz w:val="20"/>
                <w:szCs w:val="20"/>
                <w:color w:val="auto"/>
              </w:rPr>
            </w:pPr>
            <w:r>
              <w:rPr>
                <w:rFonts w:ascii="Arial" w:cs="Arial" w:eastAsia="Arial" w:hAnsi="Arial"/>
                <w:sz w:val="16"/>
                <w:szCs w:val="16"/>
                <w:color w:val="auto"/>
                <w:w w:val="99"/>
              </w:rPr>
              <w:t>25th - 75th percentile</w:t>
            </w:r>
          </w:p>
        </w:tc>
        <w:tc>
          <w:tcPr>
            <w:tcW w:w="2320" w:type="dxa"/>
            <w:vAlign w:val="bottom"/>
            <w:tcBorders>
              <w:bottom w:val="single" w:sz="8" w:color="009BDE"/>
            </w:tcBorders>
          </w:tcPr>
          <w:p>
            <w:pPr>
              <w:jc w:val="center"/>
              <w:ind w:left="60"/>
              <w:spacing w:after="0"/>
              <w:rPr>
                <w:sz w:val="20"/>
                <w:szCs w:val="20"/>
                <w:color w:val="auto"/>
              </w:rPr>
            </w:pPr>
            <w:r>
              <w:rPr>
                <w:rFonts w:ascii="Arial" w:cs="Arial" w:eastAsia="Arial" w:hAnsi="Arial"/>
                <w:sz w:val="16"/>
                <w:szCs w:val="16"/>
                <w:color w:val="auto"/>
                <w:w w:val="96"/>
              </w:rPr>
              <w:t>&gt;75</w:t>
            </w:r>
            <w:r>
              <w:rPr>
                <w:rFonts w:ascii="Arial" w:cs="Arial" w:eastAsia="Arial" w:hAnsi="Arial"/>
                <w:sz w:val="24"/>
                <w:szCs w:val="24"/>
                <w:color w:val="auto"/>
                <w:w w:val="96"/>
                <w:vertAlign w:val="superscript"/>
              </w:rPr>
              <w:t>th</w:t>
            </w:r>
            <w:r>
              <w:rPr>
                <w:rFonts w:ascii="Arial" w:cs="Arial" w:eastAsia="Arial" w:hAnsi="Arial"/>
                <w:sz w:val="16"/>
                <w:szCs w:val="16"/>
                <w:color w:val="auto"/>
                <w:w w:val="96"/>
              </w:rPr>
              <w:t xml:space="preserve"> percentile</w:t>
            </w:r>
          </w:p>
        </w:tc>
      </w:tr>
      <w:tr>
        <w:trPr>
          <w:trHeight w:val="284"/>
        </w:trPr>
        <w:tc>
          <w:tcPr>
            <w:tcW w:w="2120" w:type="dxa"/>
            <w:vAlign w:val="bottom"/>
            <w:tcBorders>
              <w:right w:val="single" w:sz="8" w:color="009BDE"/>
            </w:tcBorders>
          </w:tcPr>
          <w:p>
            <w:pPr>
              <w:jc w:val="center"/>
              <w:spacing w:after="0"/>
              <w:rPr>
                <w:sz w:val="20"/>
                <w:szCs w:val="20"/>
                <w:color w:val="auto"/>
              </w:rPr>
            </w:pPr>
            <w:r>
              <w:rPr>
                <w:rFonts w:ascii="Arial" w:cs="Arial" w:eastAsia="Arial" w:hAnsi="Arial"/>
                <w:sz w:val="16"/>
                <w:szCs w:val="16"/>
                <w:color w:val="auto"/>
              </w:rPr>
              <w:t>Payout</w:t>
            </w:r>
          </w:p>
        </w:tc>
        <w:tc>
          <w:tcPr>
            <w:tcW w:w="2220" w:type="dxa"/>
            <w:vAlign w:val="bottom"/>
          </w:tcPr>
          <w:p>
            <w:pPr>
              <w:jc w:val="center"/>
              <w:ind w:left="680"/>
              <w:spacing w:after="0"/>
              <w:rPr>
                <w:sz w:val="20"/>
                <w:szCs w:val="20"/>
                <w:color w:val="auto"/>
              </w:rPr>
            </w:pPr>
            <w:r>
              <w:rPr>
                <w:rFonts w:ascii="Arial" w:cs="Arial" w:eastAsia="Arial" w:hAnsi="Arial"/>
                <w:sz w:val="16"/>
                <w:szCs w:val="16"/>
                <w:color w:val="auto"/>
              </w:rPr>
              <w:t>-25%</w:t>
            </w:r>
          </w:p>
        </w:tc>
        <w:tc>
          <w:tcPr>
            <w:tcW w:w="660" w:type="dxa"/>
            <w:vAlign w:val="bottom"/>
            <w:tcBorders>
              <w:right w:val="single" w:sz="8" w:color="009BDE"/>
            </w:tcBorders>
          </w:tcPr>
          <w:p>
            <w:pPr>
              <w:spacing w:after="0"/>
              <w:rPr>
                <w:sz w:val="24"/>
                <w:szCs w:val="24"/>
                <w:color w:val="auto"/>
              </w:rPr>
            </w:pPr>
          </w:p>
        </w:tc>
        <w:tc>
          <w:tcPr>
            <w:tcW w:w="3600" w:type="dxa"/>
            <w:vAlign w:val="bottom"/>
            <w:tcBorders>
              <w:right w:val="single" w:sz="8" w:color="009BDE"/>
            </w:tcBorders>
          </w:tcPr>
          <w:p>
            <w:pPr>
              <w:jc w:val="center"/>
              <w:ind w:left="20"/>
              <w:spacing w:after="0"/>
              <w:rPr>
                <w:sz w:val="20"/>
                <w:szCs w:val="20"/>
                <w:color w:val="auto"/>
              </w:rPr>
            </w:pPr>
            <w:r>
              <w:rPr>
                <w:rFonts w:ascii="Arial" w:cs="Arial" w:eastAsia="Arial" w:hAnsi="Arial"/>
                <w:sz w:val="16"/>
                <w:szCs w:val="16"/>
                <w:color w:val="auto"/>
              </w:rPr>
              <w:t>No Adjustment</w:t>
            </w:r>
          </w:p>
        </w:tc>
        <w:tc>
          <w:tcPr>
            <w:tcW w:w="2320" w:type="dxa"/>
            <w:vAlign w:val="bottom"/>
          </w:tcPr>
          <w:p>
            <w:pPr>
              <w:jc w:val="center"/>
              <w:ind w:left="60"/>
              <w:spacing w:after="0"/>
              <w:rPr>
                <w:sz w:val="20"/>
                <w:szCs w:val="20"/>
                <w:color w:val="auto"/>
              </w:rPr>
            </w:pPr>
            <w:r>
              <w:rPr>
                <w:rFonts w:ascii="Arial" w:cs="Arial" w:eastAsia="Arial" w:hAnsi="Arial"/>
                <w:sz w:val="16"/>
                <w:szCs w:val="16"/>
                <w:color w:val="auto"/>
              </w:rPr>
              <w:t>+25%</w:t>
            </w:r>
          </w:p>
        </w:tc>
      </w:tr>
      <w:tr>
        <w:trPr>
          <w:trHeight w:val="97"/>
        </w:trPr>
        <w:tc>
          <w:tcPr>
            <w:tcW w:w="2120" w:type="dxa"/>
            <w:vAlign w:val="bottom"/>
            <w:tcBorders>
              <w:bottom w:val="single" w:sz="8" w:color="009BDE"/>
              <w:right w:val="single" w:sz="8" w:color="009BDE"/>
            </w:tcBorders>
          </w:tcPr>
          <w:p>
            <w:pPr>
              <w:spacing w:after="0"/>
              <w:rPr>
                <w:sz w:val="8"/>
                <w:szCs w:val="8"/>
                <w:color w:val="auto"/>
              </w:rPr>
            </w:pPr>
          </w:p>
        </w:tc>
        <w:tc>
          <w:tcPr>
            <w:tcW w:w="2220" w:type="dxa"/>
            <w:vAlign w:val="bottom"/>
            <w:tcBorders>
              <w:bottom w:val="single" w:sz="8" w:color="009BDE"/>
            </w:tcBorders>
          </w:tcPr>
          <w:p>
            <w:pPr>
              <w:spacing w:after="0"/>
              <w:rPr>
                <w:sz w:val="8"/>
                <w:szCs w:val="8"/>
                <w:color w:val="auto"/>
              </w:rPr>
            </w:pPr>
          </w:p>
        </w:tc>
        <w:tc>
          <w:tcPr>
            <w:tcW w:w="660" w:type="dxa"/>
            <w:vAlign w:val="bottom"/>
            <w:tcBorders>
              <w:bottom w:val="single" w:sz="8" w:color="009BDE"/>
              <w:right w:val="single" w:sz="8" w:color="009BDE"/>
            </w:tcBorders>
          </w:tcPr>
          <w:p>
            <w:pPr>
              <w:spacing w:after="0"/>
              <w:rPr>
                <w:sz w:val="8"/>
                <w:szCs w:val="8"/>
                <w:color w:val="auto"/>
              </w:rPr>
            </w:pPr>
          </w:p>
        </w:tc>
        <w:tc>
          <w:tcPr>
            <w:tcW w:w="3600" w:type="dxa"/>
            <w:vAlign w:val="bottom"/>
            <w:tcBorders>
              <w:bottom w:val="single" w:sz="8" w:color="009BDE"/>
              <w:right w:val="single" w:sz="8" w:color="009BDE"/>
            </w:tcBorders>
          </w:tcPr>
          <w:p>
            <w:pPr>
              <w:spacing w:after="0"/>
              <w:rPr>
                <w:sz w:val="8"/>
                <w:szCs w:val="8"/>
                <w:color w:val="auto"/>
              </w:rPr>
            </w:pPr>
          </w:p>
        </w:tc>
        <w:tc>
          <w:tcPr>
            <w:tcW w:w="2320" w:type="dxa"/>
            <w:vAlign w:val="bottom"/>
            <w:tcBorders>
              <w:bottom w:val="single" w:sz="8" w:color="009BDE"/>
            </w:tcBorders>
          </w:tcPr>
          <w:p>
            <w:pPr>
              <w:spacing w:after="0"/>
              <w:rPr>
                <w:sz w:val="8"/>
                <w:szCs w:val="8"/>
                <w:color w:val="auto"/>
              </w:rPr>
            </w:pPr>
          </w:p>
        </w:tc>
      </w:tr>
    </w:tbl>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009BDE"/>
        </w:rPr>
        <w:t>FY23-FY25 PSU Award</w:t>
      </w:r>
    </w:p>
    <w:p>
      <w:pPr>
        <w:spacing w:after="0" w:line="98" w:lineRule="exact"/>
        <w:rPr>
          <w:sz w:val="20"/>
          <w:szCs w:val="20"/>
          <w:color w:val="auto"/>
        </w:rPr>
      </w:pPr>
    </w:p>
    <w:p>
      <w:pPr>
        <w:ind w:left="160" w:right="300"/>
        <w:spacing w:after="0" w:line="253" w:lineRule="auto"/>
        <w:rPr>
          <w:sz w:val="20"/>
          <w:szCs w:val="20"/>
          <w:color w:val="auto"/>
        </w:rPr>
      </w:pPr>
      <w:r>
        <w:rPr>
          <w:rFonts w:ascii="Arial" w:cs="Arial" w:eastAsia="Arial" w:hAnsi="Arial"/>
          <w:sz w:val="16"/>
          <w:szCs w:val="16"/>
          <w:color w:val="auto"/>
        </w:rPr>
        <w:t>Each year the Committee reviews the PSU Awards whose performance period ends during such fiscal year to determine whether the applicable performance criteria have been satisfied. In fiscal 2023, the Committee issued a PSU Award for the three-year performance period that included fiscal 2023, 2024 and 2025 (the “FY23-FY25 PSU Award”). The Committee issued awards to Messrs. Cocks, Kilpin and Sibley. Ms. Goetter did not receive PSUs as part of her new hire award in 2023 and Mr. Hight joined Hasbro in 2024 so was not eligible for this award. After the end of the performance period, the Committee reviewed and determined that the FY23-FY25 PSU Award achieved 92% of target performance.</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compares the actual results achieved for the FY23-FY25 PSU against the targeted goals for the three-year performance period.</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5620" w:type="dxa"/>
            <w:vAlign w:val="bottom"/>
            <w:shd w:val="clear" w:color="auto" w:fill="CCEBF8"/>
          </w:tcPr>
          <w:p>
            <w:pPr>
              <w:spacing w:after="0"/>
              <w:rPr>
                <w:sz w:val="18"/>
                <w:szCs w:val="18"/>
                <w:color w:val="auto"/>
              </w:rPr>
            </w:pPr>
          </w:p>
        </w:tc>
        <w:tc>
          <w:tcPr>
            <w:tcW w:w="1100" w:type="dxa"/>
            <w:vAlign w:val="bottom"/>
            <w:shd w:val="clear" w:color="auto" w:fill="CCEBF8"/>
          </w:tcPr>
          <w:p>
            <w:pPr>
              <w:spacing w:after="0"/>
              <w:rPr>
                <w:sz w:val="18"/>
                <w:szCs w:val="18"/>
                <w:color w:val="auto"/>
              </w:rPr>
            </w:pPr>
          </w:p>
        </w:tc>
        <w:tc>
          <w:tcPr>
            <w:tcW w:w="1700" w:type="dxa"/>
            <w:vAlign w:val="bottom"/>
            <w:shd w:val="clear" w:color="auto" w:fill="CCEBF8"/>
          </w:tcPr>
          <w:p>
            <w:pPr>
              <w:spacing w:after="0"/>
              <w:rPr>
                <w:sz w:val="18"/>
                <w:szCs w:val="18"/>
                <w:color w:val="auto"/>
              </w:rPr>
            </w:pPr>
          </w:p>
        </w:tc>
        <w:tc>
          <w:tcPr>
            <w:tcW w:w="1380" w:type="dxa"/>
            <w:vAlign w:val="bottom"/>
            <w:shd w:val="clear" w:color="auto" w:fill="CCEBF8"/>
          </w:tcPr>
          <w:p>
            <w:pPr>
              <w:spacing w:after="0"/>
              <w:rPr>
                <w:sz w:val="18"/>
                <w:szCs w:val="18"/>
                <w:color w:val="auto"/>
              </w:rPr>
            </w:pPr>
          </w:p>
        </w:tc>
        <w:tc>
          <w:tcPr>
            <w:tcW w:w="1120" w:type="dxa"/>
            <w:vAlign w:val="bottom"/>
            <w:shd w:val="clear" w:color="auto" w:fill="CCEBF8"/>
          </w:tcPr>
          <w:p>
            <w:pPr>
              <w:jc w:val="center"/>
              <w:ind w:left="162"/>
              <w:spacing w:after="0"/>
              <w:rPr>
                <w:sz w:val="20"/>
                <w:szCs w:val="20"/>
                <w:color w:val="auto"/>
              </w:rPr>
            </w:pPr>
            <w:r>
              <w:rPr>
                <w:rFonts w:ascii="Arial" w:cs="Arial" w:eastAsia="Arial" w:hAnsi="Arial"/>
                <w:sz w:val="15"/>
                <w:szCs w:val="15"/>
                <w:b w:val="1"/>
                <w:bCs w:val="1"/>
                <w:color w:val="009BDE"/>
              </w:rPr>
              <w:t>Weighted</w:t>
            </w:r>
          </w:p>
        </w:tc>
        <w:tc>
          <w:tcPr>
            <w:tcW w:w="0" w:type="dxa"/>
            <w:vAlign w:val="bottom"/>
          </w:tcPr>
          <w:p>
            <w:pPr>
              <w:spacing w:after="0"/>
              <w:rPr>
                <w:sz w:val="1"/>
                <w:szCs w:val="1"/>
                <w:color w:val="auto"/>
              </w:rPr>
            </w:pPr>
          </w:p>
        </w:tc>
      </w:tr>
      <w:tr>
        <w:trPr>
          <w:trHeight w:val="160"/>
        </w:trPr>
        <w:tc>
          <w:tcPr>
            <w:tcW w:w="5620" w:type="dxa"/>
            <w:vAlign w:val="bottom"/>
            <w:vMerge w:val="restart"/>
            <w:shd w:val="clear" w:color="auto" w:fill="CCEBF8"/>
          </w:tcPr>
          <w:p>
            <w:pPr>
              <w:ind w:left="1680"/>
              <w:spacing w:after="0"/>
              <w:rPr>
                <w:sz w:val="20"/>
                <w:szCs w:val="20"/>
                <w:color w:val="auto"/>
              </w:rPr>
            </w:pPr>
            <w:r>
              <w:rPr>
                <w:rFonts w:ascii="Arial" w:cs="Arial" w:eastAsia="Arial" w:hAnsi="Arial"/>
                <w:sz w:val="15"/>
                <w:szCs w:val="15"/>
                <w:b w:val="1"/>
                <w:bCs w:val="1"/>
                <w:color w:val="009BDE"/>
              </w:rPr>
              <w:t>FY23-FY25 Performance Period</w:t>
            </w:r>
          </w:p>
        </w:tc>
        <w:tc>
          <w:tcPr>
            <w:tcW w:w="1100" w:type="dxa"/>
            <w:vAlign w:val="bottom"/>
            <w:vMerge w:val="restart"/>
            <w:shd w:val="clear" w:color="auto" w:fill="CCEBF8"/>
          </w:tcPr>
          <w:p>
            <w:pPr>
              <w:jc w:val="right"/>
              <w:spacing w:after="0"/>
              <w:rPr>
                <w:sz w:val="20"/>
                <w:szCs w:val="20"/>
                <w:color w:val="auto"/>
              </w:rPr>
            </w:pPr>
            <w:r>
              <w:rPr>
                <w:rFonts w:ascii="Arial" w:cs="Arial" w:eastAsia="Arial" w:hAnsi="Arial"/>
                <w:sz w:val="15"/>
                <w:szCs w:val="15"/>
                <w:b w:val="1"/>
                <w:bCs w:val="1"/>
                <w:color w:val="009BDE"/>
              </w:rPr>
              <w:t>Target</w:t>
            </w:r>
            <w:r>
              <w:rPr>
                <w:rFonts w:ascii="Arial" w:cs="Arial" w:eastAsia="Arial" w:hAnsi="Arial"/>
                <w:sz w:val="11"/>
                <w:szCs w:val="11"/>
                <w:b w:val="1"/>
                <w:bCs w:val="1"/>
                <w:color w:val="009BDE"/>
              </w:rPr>
              <w:t>2</w:t>
            </w:r>
          </w:p>
        </w:tc>
        <w:tc>
          <w:tcPr>
            <w:tcW w:w="1700" w:type="dxa"/>
            <w:vAlign w:val="bottom"/>
            <w:vMerge w:val="restart"/>
            <w:shd w:val="clear" w:color="auto" w:fill="CCEBF8"/>
          </w:tcPr>
          <w:p>
            <w:pPr>
              <w:ind w:left="600"/>
              <w:spacing w:after="0"/>
              <w:rPr>
                <w:sz w:val="20"/>
                <w:szCs w:val="20"/>
                <w:color w:val="auto"/>
              </w:rPr>
            </w:pPr>
            <w:r>
              <w:rPr>
                <w:rFonts w:ascii="Arial" w:cs="Arial" w:eastAsia="Arial" w:hAnsi="Arial"/>
                <w:sz w:val="15"/>
                <w:szCs w:val="15"/>
                <w:b w:val="1"/>
                <w:bCs w:val="1"/>
                <w:color w:val="009BDE"/>
              </w:rPr>
              <w:t>Results</w:t>
            </w:r>
            <w:r>
              <w:rPr>
                <w:rFonts w:ascii="Arial" w:cs="Arial" w:eastAsia="Arial" w:hAnsi="Arial"/>
                <w:sz w:val="11"/>
                <w:szCs w:val="11"/>
                <w:b w:val="1"/>
                <w:bCs w:val="1"/>
                <w:color w:val="009BDE"/>
              </w:rPr>
              <w:t>2</w:t>
            </w:r>
          </w:p>
        </w:tc>
        <w:tc>
          <w:tcPr>
            <w:tcW w:w="1380" w:type="dxa"/>
            <w:vAlign w:val="bottom"/>
            <w:vMerge w:val="restart"/>
            <w:shd w:val="clear" w:color="auto" w:fill="CCEBF8"/>
          </w:tcPr>
          <w:p>
            <w:pPr>
              <w:ind w:left="180"/>
              <w:spacing w:after="0"/>
              <w:rPr>
                <w:sz w:val="20"/>
                <w:szCs w:val="20"/>
                <w:color w:val="auto"/>
              </w:rPr>
            </w:pPr>
            <w:r>
              <w:rPr>
                <w:rFonts w:ascii="Arial" w:cs="Arial" w:eastAsia="Arial" w:hAnsi="Arial"/>
                <w:sz w:val="15"/>
                <w:szCs w:val="15"/>
                <w:b w:val="1"/>
                <w:bCs w:val="1"/>
                <w:color w:val="009BDE"/>
              </w:rPr>
              <w:t>Achievement</w:t>
            </w:r>
          </w:p>
        </w:tc>
        <w:tc>
          <w:tcPr>
            <w:tcW w:w="1120" w:type="dxa"/>
            <w:vAlign w:val="bottom"/>
            <w:shd w:val="clear" w:color="auto" w:fill="CCEBF8"/>
          </w:tcPr>
          <w:p>
            <w:pPr>
              <w:jc w:val="center"/>
              <w:ind w:left="182"/>
              <w:spacing w:after="0" w:line="161" w:lineRule="exact"/>
              <w:rPr>
                <w:sz w:val="20"/>
                <w:szCs w:val="20"/>
                <w:color w:val="auto"/>
              </w:rPr>
            </w:pPr>
            <w:r>
              <w:rPr>
                <w:rFonts w:ascii="Arial" w:cs="Arial" w:eastAsia="Arial" w:hAnsi="Arial"/>
                <w:sz w:val="15"/>
                <w:szCs w:val="15"/>
                <w:b w:val="1"/>
                <w:bCs w:val="1"/>
                <w:color w:val="009BDE"/>
                <w:w w:val="99"/>
              </w:rPr>
              <w:t>Payout</w:t>
            </w:r>
          </w:p>
        </w:tc>
        <w:tc>
          <w:tcPr>
            <w:tcW w:w="0" w:type="dxa"/>
            <w:vAlign w:val="bottom"/>
          </w:tcPr>
          <w:p>
            <w:pPr>
              <w:spacing w:after="0"/>
              <w:rPr>
                <w:sz w:val="1"/>
                <w:szCs w:val="1"/>
                <w:color w:val="auto"/>
              </w:rPr>
            </w:pPr>
          </w:p>
        </w:tc>
      </w:tr>
      <w:tr>
        <w:trPr>
          <w:trHeight w:val="207"/>
        </w:trPr>
        <w:tc>
          <w:tcPr>
            <w:tcW w:w="5620" w:type="dxa"/>
            <w:vAlign w:val="bottom"/>
            <w:vMerge w:val="continue"/>
            <w:shd w:val="clear" w:color="auto" w:fill="CCEBF8"/>
          </w:tcPr>
          <w:p>
            <w:pPr>
              <w:spacing w:after="0"/>
              <w:rPr>
                <w:sz w:val="18"/>
                <w:szCs w:val="18"/>
                <w:color w:val="auto"/>
              </w:rPr>
            </w:pPr>
          </w:p>
        </w:tc>
        <w:tc>
          <w:tcPr>
            <w:tcW w:w="1100" w:type="dxa"/>
            <w:vAlign w:val="bottom"/>
            <w:vMerge w:val="continue"/>
            <w:shd w:val="clear" w:color="auto" w:fill="CCEBF8"/>
          </w:tcPr>
          <w:p>
            <w:pPr>
              <w:spacing w:after="0"/>
              <w:rPr>
                <w:sz w:val="18"/>
                <w:szCs w:val="18"/>
                <w:color w:val="auto"/>
              </w:rPr>
            </w:pPr>
          </w:p>
        </w:tc>
        <w:tc>
          <w:tcPr>
            <w:tcW w:w="1700" w:type="dxa"/>
            <w:vAlign w:val="bottom"/>
            <w:vMerge w:val="continue"/>
            <w:shd w:val="clear" w:color="auto" w:fill="CCEBF8"/>
          </w:tcPr>
          <w:p>
            <w:pPr>
              <w:spacing w:after="0"/>
              <w:rPr>
                <w:sz w:val="18"/>
                <w:szCs w:val="18"/>
                <w:color w:val="auto"/>
              </w:rPr>
            </w:pPr>
          </w:p>
        </w:tc>
        <w:tc>
          <w:tcPr>
            <w:tcW w:w="1380" w:type="dxa"/>
            <w:vAlign w:val="bottom"/>
            <w:vMerge w:val="continue"/>
            <w:shd w:val="clear" w:color="auto" w:fill="CCEBF8"/>
          </w:tcPr>
          <w:p>
            <w:pPr>
              <w:spacing w:after="0"/>
              <w:rPr>
                <w:sz w:val="18"/>
                <w:szCs w:val="18"/>
                <w:color w:val="auto"/>
              </w:rPr>
            </w:pPr>
          </w:p>
        </w:tc>
        <w:tc>
          <w:tcPr>
            <w:tcW w:w="1120" w:type="dxa"/>
            <w:vAlign w:val="bottom"/>
            <w:shd w:val="clear" w:color="auto" w:fill="CCEBF8"/>
          </w:tcPr>
          <w:p>
            <w:pPr>
              <w:ind w:left="260"/>
              <w:spacing w:after="0"/>
              <w:rPr>
                <w:sz w:val="20"/>
                <w:szCs w:val="20"/>
                <w:color w:val="auto"/>
              </w:rPr>
            </w:pPr>
            <w:r>
              <w:rPr>
                <w:rFonts w:ascii="Arial" w:cs="Arial" w:eastAsia="Arial" w:hAnsi="Arial"/>
                <w:sz w:val="15"/>
                <w:szCs w:val="15"/>
                <w:b w:val="1"/>
                <w:bCs w:val="1"/>
                <w:color w:val="009BDE"/>
              </w:rPr>
              <w:t>Percentage</w:t>
            </w:r>
          </w:p>
        </w:tc>
        <w:tc>
          <w:tcPr>
            <w:tcW w:w="0" w:type="dxa"/>
            <w:vAlign w:val="bottom"/>
          </w:tcPr>
          <w:p>
            <w:pPr>
              <w:spacing w:after="0"/>
              <w:rPr>
                <w:sz w:val="1"/>
                <w:szCs w:val="1"/>
                <w:color w:val="auto"/>
              </w:rPr>
            </w:pPr>
          </w:p>
        </w:tc>
      </w:tr>
      <w:tr>
        <w:trPr>
          <w:trHeight w:val="104"/>
        </w:trPr>
        <w:tc>
          <w:tcPr>
            <w:tcW w:w="5620" w:type="dxa"/>
            <w:vAlign w:val="bottom"/>
            <w:tcBorders>
              <w:bottom w:val="single" w:sz="8" w:color="009BDE"/>
            </w:tcBorders>
            <w:shd w:val="clear" w:color="auto" w:fill="CCEBF8"/>
          </w:tcPr>
          <w:p>
            <w:pPr>
              <w:spacing w:after="0"/>
              <w:rPr>
                <w:sz w:val="9"/>
                <w:szCs w:val="9"/>
                <w:color w:val="auto"/>
              </w:rPr>
            </w:pPr>
          </w:p>
        </w:tc>
        <w:tc>
          <w:tcPr>
            <w:tcW w:w="1100" w:type="dxa"/>
            <w:vAlign w:val="bottom"/>
            <w:tcBorders>
              <w:bottom w:val="single" w:sz="8" w:color="009BDE"/>
            </w:tcBorders>
            <w:shd w:val="clear" w:color="auto" w:fill="CCEBF8"/>
          </w:tcPr>
          <w:p>
            <w:pPr>
              <w:spacing w:after="0"/>
              <w:rPr>
                <w:sz w:val="9"/>
                <w:szCs w:val="9"/>
                <w:color w:val="auto"/>
              </w:rPr>
            </w:pPr>
          </w:p>
        </w:tc>
        <w:tc>
          <w:tcPr>
            <w:tcW w:w="1700" w:type="dxa"/>
            <w:vAlign w:val="bottom"/>
            <w:tcBorders>
              <w:bottom w:val="single" w:sz="8" w:color="009BDE"/>
            </w:tcBorders>
            <w:shd w:val="clear" w:color="auto" w:fill="CCEBF8"/>
          </w:tcPr>
          <w:p>
            <w:pPr>
              <w:spacing w:after="0"/>
              <w:rPr>
                <w:sz w:val="9"/>
                <w:szCs w:val="9"/>
                <w:color w:val="auto"/>
              </w:rPr>
            </w:pPr>
          </w:p>
        </w:tc>
        <w:tc>
          <w:tcPr>
            <w:tcW w:w="1380" w:type="dxa"/>
            <w:vAlign w:val="bottom"/>
            <w:tcBorders>
              <w:bottom w:val="single" w:sz="8" w:color="009BDE"/>
            </w:tcBorders>
            <w:shd w:val="clear" w:color="auto" w:fill="CCEBF8"/>
          </w:tcPr>
          <w:p>
            <w:pPr>
              <w:spacing w:after="0"/>
              <w:rPr>
                <w:sz w:val="9"/>
                <w:szCs w:val="9"/>
                <w:color w:val="auto"/>
              </w:rPr>
            </w:pPr>
          </w:p>
        </w:tc>
        <w:tc>
          <w:tcPr>
            <w:tcW w:w="1120" w:type="dxa"/>
            <w:vAlign w:val="bottom"/>
            <w:tcBorders>
              <w:bottom w:val="single" w:sz="8" w:color="009BDE"/>
            </w:tcBorders>
            <w:shd w:val="clear" w:color="auto" w:fill="CCEBF8"/>
          </w:tcPr>
          <w:p>
            <w:pPr>
              <w:spacing w:after="0"/>
              <w:rPr>
                <w:sz w:val="9"/>
                <w:szCs w:val="9"/>
                <w:color w:val="auto"/>
              </w:rPr>
            </w:pPr>
          </w:p>
        </w:tc>
        <w:tc>
          <w:tcPr>
            <w:tcW w:w="0" w:type="dxa"/>
            <w:vAlign w:val="bottom"/>
          </w:tcPr>
          <w:p>
            <w:pPr>
              <w:spacing w:after="0"/>
              <w:rPr>
                <w:sz w:val="1"/>
                <w:szCs w:val="1"/>
                <w:color w:val="auto"/>
              </w:rPr>
            </w:pPr>
          </w:p>
        </w:tc>
      </w:tr>
      <w:tr>
        <w:trPr>
          <w:trHeight w:val="381"/>
        </w:trPr>
        <w:tc>
          <w:tcPr>
            <w:tcW w:w="5620" w:type="dxa"/>
            <w:vAlign w:val="bottom"/>
            <w:tcBorders>
              <w:bottom w:val="single" w:sz="8" w:color="009BDE"/>
            </w:tcBorders>
          </w:tcPr>
          <w:p>
            <w:pPr>
              <w:ind w:left="80"/>
              <w:spacing w:after="0"/>
              <w:rPr>
                <w:sz w:val="20"/>
                <w:szCs w:val="20"/>
                <w:color w:val="auto"/>
              </w:rPr>
            </w:pPr>
            <w:r>
              <w:rPr>
                <w:rFonts w:ascii="Arial" w:cs="Arial" w:eastAsia="Arial" w:hAnsi="Arial"/>
                <w:sz w:val="16"/>
                <w:szCs w:val="16"/>
                <w:color w:val="auto"/>
              </w:rPr>
              <w:t>Cumulative Diluted EPS</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(Weighted 50%)</w:t>
            </w:r>
          </w:p>
        </w:tc>
        <w:tc>
          <w:tcPr>
            <w:tcW w:w="1100" w:type="dxa"/>
            <w:vAlign w:val="bottom"/>
            <w:tcBorders>
              <w:bottom w:val="single" w:sz="8" w:color="009BDE"/>
            </w:tcBorders>
          </w:tcPr>
          <w:p>
            <w:pPr>
              <w:jc w:val="right"/>
              <w:spacing w:after="0"/>
              <w:rPr>
                <w:sz w:val="20"/>
                <w:szCs w:val="20"/>
                <w:color w:val="auto"/>
              </w:rPr>
            </w:pPr>
            <w:r>
              <w:rPr>
                <w:rFonts w:ascii="Arial" w:cs="Arial" w:eastAsia="Arial" w:hAnsi="Arial"/>
                <w:sz w:val="16"/>
                <w:szCs w:val="16"/>
                <w:color w:val="auto"/>
              </w:rPr>
              <w:t>$ 13.69</w:t>
            </w:r>
          </w:p>
        </w:tc>
        <w:tc>
          <w:tcPr>
            <w:tcW w:w="1700" w:type="dxa"/>
            <w:vAlign w:val="bottom"/>
            <w:tcBorders>
              <w:bottom w:val="single" w:sz="8" w:color="009BDE"/>
            </w:tcBorders>
          </w:tcPr>
          <w:p>
            <w:pPr>
              <w:ind w:left="600"/>
              <w:spacing w:after="0"/>
              <w:rPr>
                <w:sz w:val="20"/>
                <w:szCs w:val="20"/>
                <w:color w:val="auto"/>
              </w:rPr>
            </w:pPr>
            <w:r>
              <w:rPr>
                <w:rFonts w:ascii="Arial" w:cs="Arial" w:eastAsia="Arial" w:hAnsi="Arial"/>
                <w:sz w:val="16"/>
                <w:szCs w:val="16"/>
                <w:color w:val="auto"/>
              </w:rPr>
              <w:t>$  12.65</w:t>
            </w:r>
          </w:p>
        </w:tc>
        <w:tc>
          <w:tcPr>
            <w:tcW w:w="1380" w:type="dxa"/>
            <w:vAlign w:val="bottom"/>
            <w:tcBorders>
              <w:bottom w:val="single" w:sz="8" w:color="009BDE"/>
            </w:tcBorders>
          </w:tcPr>
          <w:p>
            <w:pPr>
              <w:jc w:val="right"/>
              <w:ind w:right="501"/>
              <w:spacing w:after="0"/>
              <w:rPr>
                <w:sz w:val="20"/>
                <w:szCs w:val="20"/>
                <w:color w:val="auto"/>
              </w:rPr>
            </w:pPr>
            <w:r>
              <w:rPr>
                <w:rFonts w:ascii="Arial" w:cs="Arial" w:eastAsia="Arial" w:hAnsi="Arial"/>
                <w:sz w:val="16"/>
                <w:szCs w:val="16"/>
                <w:color w:val="auto"/>
              </w:rPr>
              <w:t>92%</w:t>
            </w:r>
          </w:p>
        </w:tc>
        <w:tc>
          <w:tcPr>
            <w:tcW w:w="1120" w:type="dxa"/>
            <w:vAlign w:val="bottom"/>
            <w:tcBorders>
              <w:bottom w:val="single" w:sz="8" w:color="009BDE"/>
            </w:tcBorders>
          </w:tcPr>
          <w:p>
            <w:pPr>
              <w:jc w:val="center"/>
              <w:ind w:left="162"/>
              <w:spacing w:after="0"/>
              <w:rPr>
                <w:sz w:val="20"/>
                <w:szCs w:val="20"/>
                <w:color w:val="auto"/>
              </w:rPr>
            </w:pPr>
            <w:r>
              <w:rPr>
                <w:rFonts w:ascii="Arial" w:cs="Arial" w:eastAsia="Arial" w:hAnsi="Arial"/>
                <w:sz w:val="16"/>
                <w:szCs w:val="16"/>
                <w:color w:val="auto"/>
                <w:w w:val="99"/>
              </w:rPr>
              <w:t>40%</w:t>
            </w:r>
          </w:p>
        </w:tc>
        <w:tc>
          <w:tcPr>
            <w:tcW w:w="0" w:type="dxa"/>
            <w:vAlign w:val="bottom"/>
          </w:tcPr>
          <w:p>
            <w:pPr>
              <w:spacing w:after="0"/>
              <w:rPr>
                <w:sz w:val="1"/>
                <w:szCs w:val="1"/>
                <w:color w:val="auto"/>
              </w:rPr>
            </w:pPr>
          </w:p>
        </w:tc>
      </w:tr>
      <w:tr>
        <w:trPr>
          <w:trHeight w:val="284"/>
        </w:trPr>
        <w:tc>
          <w:tcPr>
            <w:tcW w:w="5620" w:type="dxa"/>
            <w:vAlign w:val="bottom"/>
          </w:tcPr>
          <w:p>
            <w:pPr>
              <w:ind w:left="80"/>
              <w:spacing w:after="0"/>
              <w:rPr>
                <w:sz w:val="20"/>
                <w:szCs w:val="20"/>
                <w:color w:val="auto"/>
              </w:rPr>
            </w:pPr>
            <w:r>
              <w:rPr>
                <w:rFonts w:ascii="Arial" w:cs="Arial" w:eastAsia="Arial" w:hAnsi="Arial"/>
                <w:sz w:val="16"/>
                <w:szCs w:val="16"/>
                <w:color w:val="auto"/>
              </w:rPr>
              <w:t>Average ROIC (Weighted 50%)</w:t>
            </w:r>
          </w:p>
        </w:tc>
        <w:tc>
          <w:tcPr>
            <w:tcW w:w="1100" w:type="dxa"/>
            <w:vAlign w:val="bottom"/>
          </w:tcPr>
          <w:p>
            <w:pPr>
              <w:jc w:val="right"/>
              <w:spacing w:after="0"/>
              <w:rPr>
                <w:sz w:val="20"/>
                <w:szCs w:val="20"/>
                <w:color w:val="auto"/>
              </w:rPr>
            </w:pPr>
            <w:r>
              <w:rPr>
                <w:rFonts w:ascii="Arial" w:cs="Arial" w:eastAsia="Arial" w:hAnsi="Arial"/>
                <w:sz w:val="16"/>
                <w:szCs w:val="16"/>
                <w:color w:val="auto"/>
              </w:rPr>
              <w:t>11.9%</w:t>
            </w:r>
          </w:p>
        </w:tc>
        <w:tc>
          <w:tcPr>
            <w:tcW w:w="1700" w:type="dxa"/>
            <w:vAlign w:val="bottom"/>
          </w:tcPr>
          <w:p>
            <w:pPr>
              <w:jc w:val="right"/>
              <w:ind w:right="441"/>
              <w:spacing w:after="0"/>
              <w:rPr>
                <w:sz w:val="20"/>
                <w:szCs w:val="20"/>
                <w:color w:val="auto"/>
              </w:rPr>
            </w:pPr>
            <w:r>
              <w:rPr>
                <w:rFonts w:ascii="Arial" w:cs="Arial" w:eastAsia="Arial" w:hAnsi="Arial"/>
                <w:sz w:val="16"/>
                <w:szCs w:val="16"/>
                <w:color w:val="auto"/>
              </w:rPr>
              <w:t>12.1%</w:t>
            </w:r>
          </w:p>
        </w:tc>
        <w:tc>
          <w:tcPr>
            <w:tcW w:w="1380" w:type="dxa"/>
            <w:vAlign w:val="bottom"/>
          </w:tcPr>
          <w:p>
            <w:pPr>
              <w:jc w:val="right"/>
              <w:ind w:right="441"/>
              <w:spacing w:after="0"/>
              <w:rPr>
                <w:sz w:val="20"/>
                <w:szCs w:val="20"/>
                <w:color w:val="auto"/>
              </w:rPr>
            </w:pPr>
            <w:r>
              <w:rPr>
                <w:rFonts w:ascii="Arial" w:cs="Arial" w:eastAsia="Arial" w:hAnsi="Arial"/>
                <w:sz w:val="16"/>
                <w:szCs w:val="16"/>
                <w:color w:val="auto"/>
              </w:rPr>
              <w:t>101%</w:t>
            </w:r>
          </w:p>
        </w:tc>
        <w:tc>
          <w:tcPr>
            <w:tcW w:w="1120" w:type="dxa"/>
            <w:vAlign w:val="bottom"/>
          </w:tcPr>
          <w:p>
            <w:pPr>
              <w:jc w:val="center"/>
              <w:ind w:left="162"/>
              <w:spacing w:after="0"/>
              <w:rPr>
                <w:sz w:val="20"/>
                <w:szCs w:val="20"/>
                <w:color w:val="auto"/>
              </w:rPr>
            </w:pPr>
            <w:r>
              <w:rPr>
                <w:rFonts w:ascii="Arial" w:cs="Arial" w:eastAsia="Arial" w:hAnsi="Arial"/>
                <w:sz w:val="16"/>
                <w:szCs w:val="16"/>
                <w:color w:val="auto"/>
                <w:w w:val="99"/>
              </w:rPr>
              <w:t>52%</w:t>
            </w:r>
          </w:p>
        </w:tc>
        <w:tc>
          <w:tcPr>
            <w:tcW w:w="0" w:type="dxa"/>
            <w:vAlign w:val="bottom"/>
          </w:tcPr>
          <w:p>
            <w:pPr>
              <w:spacing w:after="0"/>
              <w:rPr>
                <w:sz w:val="1"/>
                <w:szCs w:val="1"/>
                <w:color w:val="auto"/>
              </w:rPr>
            </w:pPr>
          </w:p>
        </w:tc>
      </w:tr>
      <w:tr>
        <w:trPr>
          <w:trHeight w:val="97"/>
        </w:trPr>
        <w:tc>
          <w:tcPr>
            <w:tcW w:w="562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3080" w:type="dxa"/>
            <w:vAlign w:val="bottom"/>
            <w:tcBorders>
              <w:bottom w:val="single" w:sz="8" w:color="009BDE"/>
            </w:tcBorders>
            <w:gridSpan w:val="2"/>
          </w:tcPr>
          <w:p>
            <w:pPr>
              <w:spacing w:after="0"/>
              <w:rPr>
                <w:sz w:val="8"/>
                <w:szCs w:val="8"/>
                <w:color w:val="auto"/>
              </w:rPr>
            </w:pPr>
          </w:p>
        </w:tc>
        <w:tc>
          <w:tcPr>
            <w:tcW w:w="11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5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80" w:type="dxa"/>
            <w:vAlign w:val="bottom"/>
            <w:gridSpan w:val="2"/>
          </w:tcPr>
          <w:p>
            <w:pPr>
              <w:jc w:val="center"/>
              <w:ind w:right="681"/>
              <w:spacing w:after="0"/>
              <w:rPr>
                <w:sz w:val="20"/>
                <w:szCs w:val="20"/>
                <w:color w:val="auto"/>
              </w:rPr>
            </w:pPr>
            <w:r>
              <w:rPr>
                <w:rFonts w:ascii="Arial" w:cs="Arial" w:eastAsia="Arial" w:hAnsi="Arial"/>
                <w:sz w:val="16"/>
                <w:szCs w:val="16"/>
                <w:color w:val="auto"/>
              </w:rPr>
              <w:t>Final Payout Percentage based</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tcPr>
          <w:p>
            <w:pPr>
              <w:jc w:val="center"/>
              <w:ind w:left="521"/>
              <w:spacing w:after="0"/>
              <w:rPr>
                <w:sz w:val="20"/>
                <w:szCs w:val="20"/>
                <w:color w:val="auto"/>
              </w:rPr>
            </w:pPr>
            <w:r>
              <w:rPr>
                <w:rFonts w:ascii="Arial" w:cs="Arial" w:eastAsia="Arial" w:hAnsi="Arial"/>
                <w:sz w:val="16"/>
                <w:szCs w:val="16"/>
                <w:color w:val="auto"/>
              </w:rPr>
              <w:t>on Metrics</w:t>
            </w:r>
          </w:p>
        </w:tc>
        <w:tc>
          <w:tcPr>
            <w:tcW w:w="1380" w:type="dxa"/>
            <w:vAlign w:val="bottom"/>
          </w:tcPr>
          <w:p>
            <w:pPr>
              <w:spacing w:after="0"/>
              <w:rPr>
                <w:sz w:val="18"/>
                <w:szCs w:val="18"/>
                <w:color w:val="auto"/>
              </w:rPr>
            </w:pPr>
          </w:p>
        </w:tc>
        <w:tc>
          <w:tcPr>
            <w:tcW w:w="1120" w:type="dxa"/>
            <w:vAlign w:val="bottom"/>
          </w:tcPr>
          <w:p>
            <w:pPr>
              <w:jc w:val="center"/>
              <w:ind w:left="162"/>
              <w:spacing w:after="0"/>
              <w:rPr>
                <w:sz w:val="20"/>
                <w:szCs w:val="20"/>
                <w:color w:val="auto"/>
              </w:rPr>
            </w:pPr>
            <w:r>
              <w:rPr>
                <w:rFonts w:ascii="Arial" w:cs="Arial" w:eastAsia="Arial" w:hAnsi="Arial"/>
                <w:sz w:val="16"/>
                <w:szCs w:val="16"/>
                <w:color w:val="auto"/>
                <w:w w:val="99"/>
              </w:rPr>
              <w:t>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61595</wp:posOffset>
            </wp:positionV>
            <wp:extent cx="69297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2" w:lineRule="exact"/>
        <w:rPr>
          <w:sz w:val="20"/>
          <w:szCs w:val="20"/>
          <w:color w:val="auto"/>
        </w:rPr>
      </w:pPr>
    </w:p>
    <w:p>
      <w:pPr>
        <w:ind w:left="600" w:right="480" w:hanging="433"/>
        <w:spacing w:after="0" w:line="195" w:lineRule="auto"/>
        <w:tabs>
          <w:tab w:leader="none" w:pos="600" w:val="left"/>
        </w:tabs>
        <w:numPr>
          <w:ilvl w:val="0"/>
          <w:numId w:val="45"/>
        </w:numPr>
        <w:rPr>
          <w:rFonts w:ascii="Arial" w:cs="Arial" w:eastAsia="Arial" w:hAnsi="Arial"/>
          <w:sz w:val="21"/>
          <w:szCs w:val="21"/>
          <w:color w:val="auto"/>
          <w:vertAlign w:val="superscript"/>
        </w:rPr>
      </w:pPr>
      <w:r>
        <w:rPr>
          <w:rFonts w:ascii="Arial" w:cs="Arial" w:eastAsia="Arial" w:hAnsi="Arial"/>
          <w:sz w:val="14"/>
          <w:szCs w:val="14"/>
          <w:color w:val="auto"/>
        </w:rPr>
        <w:t>Performance for cumulative Diluted EPS is calculated based on exchange rates in effect at the beginning of the relevant performance period. ROIC is return on invested capital.</w:t>
      </w:r>
    </w:p>
    <w:p>
      <w:pPr>
        <w:ind w:left="600" w:hanging="433"/>
        <w:spacing w:after="0" w:line="181" w:lineRule="auto"/>
        <w:tabs>
          <w:tab w:leader="none" w:pos="600" w:val="left"/>
        </w:tabs>
        <w:numPr>
          <w:ilvl w:val="0"/>
          <w:numId w:val="46"/>
        </w:numPr>
        <w:rPr>
          <w:rFonts w:ascii="Arial" w:cs="Arial" w:eastAsia="Arial" w:hAnsi="Arial"/>
          <w:sz w:val="21"/>
          <w:szCs w:val="21"/>
          <w:color w:val="auto"/>
          <w:vertAlign w:val="superscript"/>
        </w:rPr>
      </w:pPr>
      <w:r>
        <w:rPr>
          <w:rFonts w:ascii="Arial" w:cs="Arial" w:eastAsia="Arial" w:hAnsi="Arial"/>
          <w:sz w:val="14"/>
          <w:szCs w:val="14"/>
          <w:color w:val="auto"/>
        </w:rPr>
        <w:t>The target amounts and results have been adjusted to exclude the impact of eOne due to its divestiture in 2023.</w:t>
      </w:r>
    </w:p>
    <w:p>
      <w:pPr>
        <w:spacing w:after="0" w:line="200" w:lineRule="exact"/>
        <w:rPr>
          <w:rFonts w:ascii="Arial" w:cs="Arial" w:eastAsia="Arial" w:hAnsi="Arial"/>
          <w:sz w:val="21"/>
          <w:szCs w:val="21"/>
          <w:color w:val="auto"/>
          <w:vertAlign w:val="superscript"/>
        </w:rPr>
      </w:pPr>
    </w:p>
    <w:p>
      <w:pPr>
        <w:spacing w:after="0" w:line="369" w:lineRule="exact"/>
        <w:rPr>
          <w:rFonts w:ascii="Arial" w:cs="Arial" w:eastAsia="Arial" w:hAnsi="Arial"/>
          <w:sz w:val="21"/>
          <w:szCs w:val="21"/>
          <w:color w:val="auto"/>
          <w:vertAlign w:val="superscript"/>
        </w:rPr>
      </w:pPr>
    </w:p>
    <w:p>
      <w:pPr>
        <w:ind w:left="300" w:hanging="80"/>
        <w:spacing w:after="0"/>
        <w:tabs>
          <w:tab w:leader="none" w:pos="300" w:val="left"/>
        </w:tabs>
        <w:numPr>
          <w:ilvl w:val="1"/>
          <w:numId w:val="46"/>
        </w:numPr>
        <w:rPr>
          <w:rFonts w:ascii="Arial" w:cs="Arial" w:eastAsia="Arial" w:hAnsi="Arial"/>
          <w:sz w:val="15"/>
          <w:szCs w:val="15"/>
          <w:b w:val="1"/>
          <w:bCs w:val="1"/>
          <w:color w:val="FCFCFC"/>
        </w:rPr>
      </w:pPr>
      <w:r>
        <w:rPr>
          <w:rFonts w:ascii="Arial" w:cs="Arial" w:eastAsia="Arial" w:hAnsi="Arial"/>
          <w:sz w:val="15"/>
          <w:szCs w:val="15"/>
          <w:b w:val="1"/>
          <w:bCs w:val="1"/>
          <w:color w:val="FCFCFC"/>
        </w:rPr>
        <w: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6964045" cy="39052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chart below shows the historical Performance Share Unit payouts over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163830</wp:posOffset>
            </wp:positionV>
            <wp:extent cx="3413760" cy="232664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3413760" cy="232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009BDE"/>
        </w:rPr>
        <w:t>Restricted Stock Units</w:t>
      </w:r>
    </w:p>
    <w:p>
      <w:pPr>
        <w:spacing w:after="0" w:line="98"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The Company uses Restricted Stock Units (RSUs) as an effective tool to align executives with stockholder interests by making them owners of Hasbro’s stock. The restricted stock units granted as part of our fiscal 2025 annual long-term incentive award to our NEOs, represented approximately 50% of their annual targeted equity award value and vest in three equal installments on the first three anniversaries of the grant date provided the recipient remains employed with the Company through the applicable vesting dates. These are an effective compensation tool in helping us to retain critical talent and ensuring that executives have meaningful outstanding unvested equity. Pro-rata vesting is provided earlier only in the event of the death, disability, early retirement at age 55 (with at least 10 years of credited service) or retirement at age 65 (with at least 5 years of credited service) of the executive. All other terminations of employment result in forfeiture of the awards.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009BDE"/>
        </w:rPr>
        <w:t>Dividend Equivalent Units</w:t>
      </w:r>
    </w:p>
    <w:p>
      <w:pPr>
        <w:spacing w:after="0" w:line="98" w:lineRule="exact"/>
        <w:rPr>
          <w:sz w:val="20"/>
          <w:szCs w:val="20"/>
          <w:color w:val="auto"/>
        </w:rPr>
      </w:pPr>
    </w:p>
    <w:p>
      <w:pPr>
        <w:jc w:val="both"/>
        <w:ind w:left="160" w:right="40"/>
        <w:spacing w:after="0" w:line="262" w:lineRule="auto"/>
        <w:rPr>
          <w:sz w:val="20"/>
          <w:szCs w:val="20"/>
          <w:color w:val="auto"/>
        </w:rPr>
      </w:pPr>
      <w:r>
        <w:rPr>
          <w:rFonts w:ascii="Arial" w:cs="Arial" w:eastAsia="Arial" w:hAnsi="Arial"/>
          <w:sz w:val="16"/>
          <w:szCs w:val="16"/>
          <w:color w:val="auto"/>
        </w:rPr>
        <w:t>Beginning with employee stock incentive awards granted in 2022, the payment of cash dividends to shareholders also results in the crediting of dividend equivalent units (“DEUs”) to holders of unvested RSUs and PSUs. The DEUs are credited as additional RSUs or PSUs and settled in connection with the vesting of associated awards. DEUs are forfeited in the event the underlying RSUs or PSU’s do not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6964045" cy="39052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  36</w:t>
      </w:r>
    </w:p>
    <w:p>
      <w:pPr>
        <w:sectPr>
          <w:pgSz w:w="11900" w:h="16838" w:orient="portrait"/>
          <w:cols w:equalWidth="0" w:num="1">
            <w:col w:w="11040"/>
          </w:cols>
          <w:pgMar w:left="320" w:top="478" w:right="5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Equity Award Granting Practices</w:t>
      </w:r>
    </w:p>
    <w:p>
      <w:pPr>
        <w:spacing w:after="0" w:line="100" w:lineRule="exact"/>
        <w:rPr>
          <w:sz w:val="20"/>
          <w:szCs w:val="20"/>
          <w:color w:val="auto"/>
        </w:rPr>
      </w:pPr>
    </w:p>
    <w:p>
      <w:pPr>
        <w:ind w:left="160" w:right="100"/>
        <w:spacing w:after="0" w:line="262" w:lineRule="auto"/>
        <w:rPr>
          <w:sz w:val="20"/>
          <w:szCs w:val="20"/>
          <w:color w:val="auto"/>
        </w:rPr>
      </w:pPr>
      <w:r>
        <w:rPr>
          <w:rFonts w:ascii="Arial" w:cs="Arial" w:eastAsia="Arial" w:hAnsi="Arial"/>
          <w:sz w:val="16"/>
          <w:szCs w:val="16"/>
          <w:color w:val="auto"/>
        </w:rPr>
        <w:t>The Committee typically approves annual long-term incentive awards for NEOs and other members of the executive leadership team each February at a regular meeting of the Compensation and Talent Committee (CEO awards are approved by the full Board of Directors). The annual grant date typically takes place within a few weeks before the end of the first quarter.</w:t>
      </w:r>
    </w:p>
    <w:p>
      <w:pPr>
        <w:spacing w:after="0" w:line="93" w:lineRule="exact"/>
        <w:rPr>
          <w:sz w:val="20"/>
          <w:szCs w:val="20"/>
          <w:color w:val="auto"/>
        </w:rPr>
      </w:pPr>
    </w:p>
    <w:p>
      <w:pPr>
        <w:ind w:left="160" w:right="220"/>
        <w:spacing w:after="0" w:line="262" w:lineRule="auto"/>
        <w:rPr>
          <w:sz w:val="20"/>
          <w:szCs w:val="20"/>
          <w:color w:val="auto"/>
        </w:rPr>
      </w:pPr>
      <w:r>
        <w:rPr>
          <w:rFonts w:ascii="Arial" w:cs="Arial" w:eastAsia="Arial" w:hAnsi="Arial"/>
          <w:sz w:val="16"/>
          <w:szCs w:val="16"/>
          <w:color w:val="auto"/>
        </w:rPr>
        <w:t>During fiscal 2025, equity awards generally were granted on regularly scheduled predetermined dates. The Committee does not grant equity awards in anticipation of the release of material non-public information and we do not time the release of material non-public information based on equity award grant dates. Beginning in 2024, Hasbro ceased granting stock options as an equity vehicle to all employees.</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Benefits</w:t>
      </w:r>
    </w:p>
    <w:p>
      <w:pPr>
        <w:spacing w:after="0" w:line="100" w:lineRule="exact"/>
        <w:rPr>
          <w:sz w:val="20"/>
          <w:szCs w:val="20"/>
          <w:color w:val="auto"/>
        </w:rPr>
      </w:pPr>
    </w:p>
    <w:p>
      <w:pPr>
        <w:jc w:val="both"/>
        <w:ind w:left="160" w:right="20"/>
        <w:spacing w:after="0" w:line="262" w:lineRule="auto"/>
        <w:rPr>
          <w:sz w:val="20"/>
          <w:szCs w:val="20"/>
          <w:color w:val="auto"/>
        </w:rPr>
      </w:pPr>
      <w:r>
        <w:rPr>
          <w:rFonts w:ascii="Arial" w:cs="Arial" w:eastAsia="Arial" w:hAnsi="Arial"/>
          <w:sz w:val="16"/>
          <w:szCs w:val="16"/>
          <w:color w:val="auto"/>
        </w:rPr>
        <w:t>The Company’s executive officers participate in certain employee benefit programs provided by the Company that are offered to the Company’s other full-time employees. The executive officers of the Company are eligible for life insurance benefits on the terms applicable to the Company’s other employees. The Company’s executive officers also participate in the same medical and dental benefit plans as are provided to the Company’s other employees.</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Company-Sponsored Retirement Plans</w:t>
      </w:r>
    </w:p>
    <w:p>
      <w:pPr>
        <w:spacing w:after="0" w:line="100" w:lineRule="exact"/>
        <w:rPr>
          <w:sz w:val="20"/>
          <w:szCs w:val="20"/>
          <w:color w:val="auto"/>
        </w:rPr>
      </w:pPr>
    </w:p>
    <w:p>
      <w:pPr>
        <w:ind w:left="160" w:right="200"/>
        <w:spacing w:after="0" w:line="249" w:lineRule="auto"/>
        <w:rPr>
          <w:sz w:val="20"/>
          <w:szCs w:val="20"/>
          <w:color w:val="auto"/>
        </w:rPr>
      </w:pPr>
      <w:r>
        <w:rPr>
          <w:rFonts w:ascii="Arial" w:cs="Arial" w:eastAsia="Arial" w:hAnsi="Arial"/>
          <w:sz w:val="16"/>
          <w:szCs w:val="16"/>
          <w:color w:val="auto"/>
        </w:rPr>
        <w:t>The Company provides retirement benefits to employees of the Company’s U.S. operations primarily through the Hasbro, Inc. Retirement Savings Plan (the “401(k) Plan”) and the Supplemental Benefit Retirement Plan (the “Supplemental Plan”). The 401(k) Plan and Supplemental Plan provide for Company matching contributions and a discretionary annual Company contribution up to 3% of aggregate salary and bonus. Executive officers are eligible to participate in the 401(k) Plan and Supplemental Plan on the same basis as all other U.S. Hasbro employees. The Supplemental Plan is intended to provide a competitive benefit for employees whose employer-provided retirement contributions would otherwise be limited. However, the Supplemental Plan is designed only to provide the benefit which the executive would have accrued under the Company’s 401(k) Plan if the Code limits had not applied. It does not further enhance those benefits. The amount of the Company’s contributions to our NEOs under both the 401(k) Plan and Supplemental Plan are included in the “All Other Compensation” column of the Summary Compensation Table.</w:t>
      </w:r>
    </w:p>
    <w:p>
      <w:pPr>
        <w:spacing w:after="0" w:line="118"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The Hasbro, Inc. Pension Plan (the “Pension Plan”), a defined benefit pension plan for eligible Company employees in the United States, and the pension portion of the Supplemental Plan, was frozen effective December 31, 2007. Executive officers hired prior to December 31, 2007, continued to participate in the Pension Plan and the pension portion of the Supplemental Plan, but did not accrue additional benefits thereunder subsequent to the plan freeze on December 31, 2007. The Pension Plan subsequently was annuitized and terminated.</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Non-Qualified Deferred Compensation Plan</w:t>
      </w:r>
    </w:p>
    <w:p>
      <w:pPr>
        <w:spacing w:after="0" w:line="100"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Executive officers who are employees of the Company’s U.S. operations are also eligible to participate in the Company’s Non-Qualified Deferred Compensation Plan (the “Deferred Compensation Plan”), which is available to all the Company’s employees based in the United States at or above selected management levels and whose annual base salary is equal to or greater than $160,000 in 2025. The Deferred Compensation Plan allows participants to defer compensation into various measurement funds, the performance of which determines the return on compensation deferred under the plan. Potential investment choices include a fixed rate option, a choice that tracks the performance of the Company’s Common Stock, and other equity indices. Earnings recorded on compensation deferred by the executive officers do not exceed the returns on the relevant investments earned by other non-executive officer employees deferring compensation into the applicable investment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6964045" cy="39052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  37</w:t>
      </w:r>
    </w:p>
    <w:p>
      <w:pPr>
        <w:sectPr>
          <w:pgSz w:w="11900" w:h="16838" w:orient="portrait"/>
          <w:cols w:equalWidth="0" w:num="1">
            <w:col w:w="11060"/>
          </w:cols>
          <w:pgMar w:left="320" w:top="478"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Perquisites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Company offers perquisites that the Committee believes are reasonable yet competitive for attracting, retaining and compensating the Company’s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executives. The Company reimburses designated executive officers for the cost of certain tax and financial planning services they obtain from third</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parties provided that such costs are within the annual limits established by the Company. The 2025 annual limit on these costs for Mr. Cocks was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$25,000, and $5,000 for each of the other NEOs. In connection with Mr. Cocks’s employment agreement, the Company pays a stipend of $125,000 per</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year to contribute to covering travel expenses incurred by Mr. Cocks or members of his family. This stipend replaces the reimbursement mechanism for</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these types of travel expenses included in his prior employment agreement. In connection with relocation, Ms. Goetter is eligible to receive up to $50,000</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 family travel expense reimbursement in 2025. Mr. Hight was eligible for up to $50,000 in family travel expense reimbursement within the initial 12</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months of employment. The cost to the Company for these perquisites is included in the “All Other Compensation” column of the Summary Compensation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Table.</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Severance and Change in Control Benefits</w:t>
      </w:r>
    </w:p>
    <w:p>
      <w:pPr>
        <w:spacing w:after="0" w:line="100" w:lineRule="exact"/>
        <w:rPr>
          <w:sz w:val="20"/>
          <w:szCs w:val="20"/>
          <w:color w:val="auto"/>
        </w:rPr>
      </w:pPr>
    </w:p>
    <w:p>
      <w:pPr>
        <w:ind w:left="160" w:right="360"/>
        <w:spacing w:after="0" w:line="279" w:lineRule="auto"/>
        <w:rPr>
          <w:sz w:val="20"/>
          <w:szCs w:val="20"/>
          <w:color w:val="auto"/>
        </w:rPr>
      </w:pPr>
      <w:r>
        <w:rPr>
          <w:rFonts w:ascii="Arial" w:cs="Arial" w:eastAsia="Arial" w:hAnsi="Arial"/>
          <w:sz w:val="16"/>
          <w:szCs w:val="16"/>
          <w:color w:val="auto"/>
        </w:rPr>
        <w:t>A discussion of the severance and change in control benefits that may be payable to the NEOs in certain situations, as well as the plans under which those benefits are payable, can be found below under the heading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221615</wp:posOffset>
            </wp:positionV>
            <wp:extent cx="6964045" cy="39052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  38</w:t>
      </w:r>
    </w:p>
    <w:p>
      <w:pPr>
        <w:sectPr>
          <w:pgSz w:w="11900" w:h="16838" w:orient="portrait"/>
          <w:cols w:equalWidth="0" w:num="1">
            <w:col w:w="11080"/>
          </w:cols>
          <w:pgMar w:left="320" w:top="478"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Other Compensation Considerations</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Stock Ownership Guidelines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have rigorous stock ownership and retention guidelines applicable to our CEO and other NEOs.</w:t>
      </w:r>
    </w:p>
    <w:p>
      <w:pPr>
        <w:spacing w:after="0" w:line="258" w:lineRule="exact"/>
        <w:rPr>
          <w:sz w:val="20"/>
          <w:szCs w:val="20"/>
          <w:color w:val="auto"/>
        </w:rPr>
      </w:pPr>
    </w:p>
    <w:tbl>
      <w:tblPr>
        <w:tblLayout w:type="fixed"/>
        <w:tblInd w:w="1920" w:type="dxa"/>
        <w:tblCellMar>
          <w:top w:w="0" w:type="dxa"/>
          <w:left w:w="0" w:type="dxa"/>
          <w:bottom w:w="0" w:type="dxa"/>
          <w:right w:w="0" w:type="dxa"/>
        </w:tblCellMar>
      </w:tblPr>
      <w:tr>
        <w:trPr>
          <w:trHeight w:val="274"/>
        </w:trPr>
        <w:tc>
          <w:tcPr>
            <w:tcW w:w="2180" w:type="dxa"/>
            <w:vAlign w:val="bottom"/>
            <w:shd w:val="clear" w:color="auto" w:fill="CCEBF8"/>
          </w:tcPr>
          <w:p>
            <w:pPr>
              <w:spacing w:after="0"/>
              <w:rPr>
                <w:sz w:val="23"/>
                <w:szCs w:val="23"/>
                <w:color w:val="auto"/>
              </w:rPr>
            </w:pPr>
          </w:p>
        </w:tc>
        <w:tc>
          <w:tcPr>
            <w:tcW w:w="5220" w:type="dxa"/>
            <w:vAlign w:val="bottom"/>
            <w:shd w:val="clear" w:color="auto" w:fill="CCEBF8"/>
          </w:tcPr>
          <w:p>
            <w:pPr>
              <w:ind w:left="400"/>
              <w:spacing w:after="0"/>
              <w:rPr>
                <w:sz w:val="20"/>
                <w:szCs w:val="20"/>
                <w:color w:val="auto"/>
              </w:rPr>
            </w:pPr>
            <w:r>
              <w:rPr>
                <w:rFonts w:ascii="Arial" w:cs="Arial" w:eastAsia="Arial" w:hAnsi="Arial"/>
                <w:sz w:val="16"/>
                <w:szCs w:val="16"/>
                <w:b w:val="1"/>
                <w:bCs w:val="1"/>
                <w:color w:val="009BDE"/>
              </w:rPr>
              <w:t>Stock Ownership Guidelines*</w:t>
            </w:r>
          </w:p>
        </w:tc>
      </w:tr>
      <w:tr>
        <w:trPr>
          <w:trHeight w:val="114"/>
        </w:trPr>
        <w:tc>
          <w:tcPr>
            <w:tcW w:w="2180" w:type="dxa"/>
            <w:vAlign w:val="bottom"/>
            <w:tcBorders>
              <w:bottom w:val="single" w:sz="8" w:color="009BDE"/>
            </w:tcBorders>
            <w:shd w:val="clear" w:color="auto" w:fill="CCEBF8"/>
          </w:tcPr>
          <w:p>
            <w:pPr>
              <w:spacing w:after="0"/>
              <w:rPr>
                <w:sz w:val="9"/>
                <w:szCs w:val="9"/>
                <w:color w:val="auto"/>
              </w:rPr>
            </w:pPr>
          </w:p>
        </w:tc>
        <w:tc>
          <w:tcPr>
            <w:tcW w:w="5220" w:type="dxa"/>
            <w:vAlign w:val="bottom"/>
            <w:tcBorders>
              <w:bottom w:val="single" w:sz="8" w:color="009BDE"/>
            </w:tcBorders>
            <w:shd w:val="clear" w:color="auto" w:fill="CCEBF8"/>
          </w:tcPr>
          <w:p>
            <w:pPr>
              <w:spacing w:after="0"/>
              <w:rPr>
                <w:sz w:val="9"/>
                <w:szCs w:val="9"/>
                <w:color w:val="auto"/>
              </w:rPr>
            </w:pPr>
          </w:p>
        </w:tc>
      </w:tr>
      <w:tr>
        <w:trPr>
          <w:trHeight w:val="284"/>
        </w:trPr>
        <w:tc>
          <w:tcPr>
            <w:tcW w:w="2180" w:type="dxa"/>
            <w:vAlign w:val="bottom"/>
          </w:tcPr>
          <w:p>
            <w:pPr>
              <w:ind w:left="60"/>
              <w:spacing w:after="0"/>
              <w:rPr>
                <w:sz w:val="20"/>
                <w:szCs w:val="20"/>
                <w:color w:val="auto"/>
              </w:rPr>
            </w:pPr>
            <w:r>
              <w:rPr>
                <w:rFonts w:ascii="Arial" w:cs="Arial" w:eastAsia="Arial" w:hAnsi="Arial"/>
                <w:sz w:val="16"/>
                <w:szCs w:val="16"/>
                <w:color w:val="auto"/>
              </w:rPr>
              <w:t>CEO</w:t>
            </w:r>
          </w:p>
        </w:tc>
        <w:tc>
          <w:tcPr>
            <w:tcW w:w="5220" w:type="dxa"/>
            <w:vAlign w:val="bottom"/>
          </w:tcPr>
          <w:p>
            <w:pPr>
              <w:ind w:left="1760"/>
              <w:spacing w:after="0"/>
              <w:rPr>
                <w:sz w:val="20"/>
                <w:szCs w:val="20"/>
                <w:color w:val="auto"/>
              </w:rPr>
            </w:pPr>
            <w:r>
              <w:rPr>
                <w:rFonts w:ascii="Arial" w:cs="Arial" w:eastAsia="Arial" w:hAnsi="Arial"/>
                <w:sz w:val="16"/>
                <w:szCs w:val="16"/>
                <w:color w:val="auto"/>
              </w:rPr>
              <w:t>6X Base Salary</w:t>
            </w:r>
          </w:p>
        </w:tc>
      </w:tr>
      <w:tr>
        <w:trPr>
          <w:trHeight w:val="97"/>
        </w:trPr>
        <w:tc>
          <w:tcPr>
            <w:tcW w:w="2180" w:type="dxa"/>
            <w:vAlign w:val="bottom"/>
            <w:tcBorders>
              <w:bottom w:val="single" w:sz="8" w:color="009BDE"/>
            </w:tcBorders>
          </w:tcPr>
          <w:p>
            <w:pPr>
              <w:spacing w:after="0"/>
              <w:rPr>
                <w:sz w:val="8"/>
                <w:szCs w:val="8"/>
                <w:color w:val="auto"/>
              </w:rPr>
            </w:pPr>
          </w:p>
        </w:tc>
        <w:tc>
          <w:tcPr>
            <w:tcW w:w="5220" w:type="dxa"/>
            <w:vAlign w:val="bottom"/>
            <w:tcBorders>
              <w:bottom w:val="single" w:sz="8" w:color="009BDE"/>
            </w:tcBorders>
          </w:tcPr>
          <w:p>
            <w:pPr>
              <w:spacing w:after="0"/>
              <w:rPr>
                <w:sz w:val="8"/>
                <w:szCs w:val="8"/>
                <w:color w:val="auto"/>
              </w:rPr>
            </w:pPr>
          </w:p>
        </w:tc>
      </w:tr>
      <w:tr>
        <w:trPr>
          <w:trHeight w:val="284"/>
        </w:trPr>
        <w:tc>
          <w:tcPr>
            <w:tcW w:w="2180" w:type="dxa"/>
            <w:vAlign w:val="bottom"/>
          </w:tcPr>
          <w:p>
            <w:pPr>
              <w:ind w:left="60"/>
              <w:spacing w:after="0"/>
              <w:rPr>
                <w:sz w:val="20"/>
                <w:szCs w:val="20"/>
                <w:color w:val="auto"/>
              </w:rPr>
            </w:pPr>
            <w:r>
              <w:rPr>
                <w:rFonts w:ascii="Arial" w:cs="Arial" w:eastAsia="Arial" w:hAnsi="Arial"/>
                <w:sz w:val="16"/>
                <w:szCs w:val="16"/>
                <w:color w:val="auto"/>
              </w:rPr>
              <w:t>NEOs (other than CEO)</w:t>
            </w:r>
          </w:p>
        </w:tc>
        <w:tc>
          <w:tcPr>
            <w:tcW w:w="5220" w:type="dxa"/>
            <w:vAlign w:val="bottom"/>
          </w:tcPr>
          <w:p>
            <w:pPr>
              <w:ind w:left="1760"/>
              <w:spacing w:after="0"/>
              <w:rPr>
                <w:sz w:val="20"/>
                <w:szCs w:val="20"/>
                <w:color w:val="auto"/>
              </w:rPr>
            </w:pPr>
            <w:r>
              <w:rPr>
                <w:rFonts w:ascii="Arial" w:cs="Arial" w:eastAsia="Arial" w:hAnsi="Arial"/>
                <w:sz w:val="16"/>
                <w:szCs w:val="16"/>
                <w:color w:val="auto"/>
              </w:rPr>
              <w:t>3X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61595</wp:posOffset>
            </wp:positionV>
            <wp:extent cx="470471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4704715" cy="8255"/>
                    </a:xfrm>
                    <a:prstGeom prst="rect">
                      <a:avLst/>
                    </a:prstGeom>
                    <a:noFill/>
                  </pic:spPr>
                </pic:pic>
              </a:graphicData>
            </a:graphic>
          </wp:anchor>
        </w:drawing>
      </w:r>
    </w:p>
    <w:p>
      <w:pPr>
        <w:spacing w:after="0" w:line="175"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     Base salary, through termination of employment with the Company.</w:t>
      </w:r>
    </w:p>
    <w:p>
      <w:pPr>
        <w:spacing w:after="0" w:line="182" w:lineRule="exact"/>
        <w:rPr>
          <w:sz w:val="20"/>
          <w:szCs w:val="20"/>
          <w:color w:val="auto"/>
        </w:rPr>
      </w:pPr>
    </w:p>
    <w:p>
      <w:pPr>
        <w:ind w:left="160" w:right="280"/>
        <w:spacing w:after="0" w:line="262" w:lineRule="auto"/>
        <w:rPr>
          <w:sz w:val="20"/>
          <w:szCs w:val="20"/>
          <w:color w:val="auto"/>
        </w:rPr>
      </w:pPr>
      <w:r>
        <w:rPr>
          <w:rFonts w:ascii="Arial" w:cs="Arial" w:eastAsia="Arial" w:hAnsi="Arial"/>
          <w:sz w:val="16"/>
          <w:szCs w:val="16"/>
          <w:color w:val="auto"/>
        </w:rPr>
        <w:t>An executive has five years to achieve the stock ownership requirement level. Thereafter, during the executive’s employment with the Company they must maintain the required stock ownership. All NEOs were either in compliance with the stock ownership guidelines or were within the five years they had to achieve the requisite ownership level, as of the fiscal year ended December 28, 2025.</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Stock Retention Requirement</w:t>
      </w:r>
    </w:p>
    <w:p>
      <w:pPr>
        <w:spacing w:after="0" w:line="100" w:lineRule="exact"/>
        <w:rPr>
          <w:sz w:val="20"/>
          <w:szCs w:val="20"/>
          <w:color w:val="auto"/>
        </w:rPr>
      </w:pPr>
    </w:p>
    <w:p>
      <w:pPr>
        <w:ind w:left="160" w:right="260"/>
        <w:spacing w:after="0" w:line="279" w:lineRule="auto"/>
        <w:rPr>
          <w:sz w:val="20"/>
          <w:szCs w:val="20"/>
          <w:color w:val="auto"/>
        </w:rPr>
      </w:pPr>
      <w:r>
        <w:rPr>
          <w:rFonts w:ascii="Arial" w:cs="Arial" w:eastAsia="Arial" w:hAnsi="Arial"/>
          <w:sz w:val="16"/>
          <w:szCs w:val="16"/>
          <w:color w:val="auto"/>
        </w:rPr>
        <w:t>The Hasbro, Inc. Executive Stock Ownership Policy includes a requirement that executives retain 50% of any net shares realized from stock vesting or option exercises until the executive’s required ownership level is satisfied.</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Anti-Hedging and Pledging Policies</w:t>
      </w:r>
    </w:p>
    <w:p>
      <w:pPr>
        <w:spacing w:after="0" w:line="100"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auto"/>
        </w:rPr>
        <w:t>The Company has had a long-standing policy in place that prohibits all directors, executive officers and other employees from hedging or pledging any Company securities.</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Compensation and Risk Management</w:t>
      </w:r>
    </w:p>
    <w:p>
      <w:pPr>
        <w:spacing w:after="0" w:line="100"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As part of structuring the Company’s executive compensation programs, the Committee (i) evaluates the connection between such programs and the risk-taking incentives they engender, to ensure that the Company is incentivizing its executives to take an appropriate level of business risk, but not excessive risk, and (ii) considers any changes in the Company’s risk profile and whether those changes should impact the compensation structure. To achieve this appropriate level of risk-taking, and avoid excessive risk, the Committee structures the compensation program to:</w:t>
      </w:r>
    </w:p>
    <w:p>
      <w:pPr>
        <w:spacing w:after="0" w:line="84" w:lineRule="exact"/>
        <w:rPr>
          <w:sz w:val="20"/>
          <w:szCs w:val="20"/>
          <w:color w:val="auto"/>
        </w:rPr>
      </w:pPr>
    </w:p>
    <w:p>
      <w:pPr>
        <w:ind w:left="380" w:right="60" w:hanging="213"/>
        <w:spacing w:after="0" w:line="262" w:lineRule="auto"/>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link the performance objectives under all incentive-based compensation to the strategic and operating plans of the Company which are approved by the full Board, with the Board ensuring that the goals set forth in such plans require significant performance to achieve, but are not so out of reach that they require excessively aggressive behavior to be met;</w:t>
      </w:r>
    </w:p>
    <w:p>
      <w:pPr>
        <w:spacing w:after="0" w:line="79" w:lineRule="exact"/>
        <w:rPr>
          <w:rFonts w:ascii="Arial" w:cs="Arial" w:eastAsia="Arial" w:hAnsi="Arial"/>
          <w:sz w:val="16"/>
          <w:szCs w:val="16"/>
          <w:color w:val="auto"/>
        </w:rPr>
      </w:pPr>
    </w:p>
    <w:p>
      <w:pPr>
        <w:ind w:left="380" w:right="40" w:hanging="213"/>
        <w:spacing w:after="0" w:line="262" w:lineRule="auto"/>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provide for a balance of shorter-term objectives (such as the annual cash incentive plan objectives) and longer-term objectives (such as the three-year performance period under the PSU awards) to mitigate the risk that short-term performance would be driven at the expense of longer-term performance and shareholder value creation; and</w:t>
      </w:r>
    </w:p>
    <w:p>
      <w:pPr>
        <w:spacing w:after="0" w:line="79" w:lineRule="exact"/>
        <w:rPr>
          <w:rFonts w:ascii="Arial" w:cs="Arial" w:eastAsia="Arial" w:hAnsi="Arial"/>
          <w:sz w:val="16"/>
          <w:szCs w:val="16"/>
          <w:color w:val="auto"/>
        </w:rPr>
      </w:pPr>
    </w:p>
    <w:p>
      <w:pPr>
        <w:ind w:left="380" w:right="80" w:hanging="213"/>
        <w:spacing w:after="0" w:line="262" w:lineRule="auto"/>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 stock ownership guidelines which require executives to maintain significant equity ownership during their entire career with the Company, thus linking personal financial results for the executives with the investment performance experienced by the Company’s shareholders over a significant period of time.</w:t>
      </w:r>
    </w:p>
    <w:p>
      <w:pPr>
        <w:spacing w:after="0" w:line="173" w:lineRule="exact"/>
        <w:rPr>
          <w:sz w:val="20"/>
          <w:szCs w:val="20"/>
          <w:color w:val="auto"/>
        </w:rPr>
      </w:pPr>
    </w:p>
    <w:p>
      <w:pPr>
        <w:ind w:left="160" w:right="300"/>
        <w:spacing w:after="0" w:line="256" w:lineRule="auto"/>
        <w:rPr>
          <w:sz w:val="20"/>
          <w:szCs w:val="20"/>
          <w:color w:val="auto"/>
        </w:rPr>
      </w:pPr>
      <w:r>
        <w:rPr>
          <w:rFonts w:ascii="Arial" w:cs="Arial" w:eastAsia="Arial" w:hAnsi="Arial"/>
          <w:sz w:val="16"/>
          <w:szCs w:val="16"/>
          <w:color w:val="auto"/>
        </w:rPr>
        <w:t>In addition to the analysis performed by the Committee, the Committee also had Meridian perform a risk assessment of the Company’s executive compensation programs and advise on the appropriateness of the levels of risk presented by those programs and the effectiveness of their design to mitigate risk. As a result of its analysis and the work performed by Meridian, the Committee believes the Company’s compensation programs promote appropriate, but not excessive, risk-taking and are designed to best further the interests of the Company while mitigating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6964045" cy="39052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  39</w:t>
      </w:r>
    </w:p>
    <w:p>
      <w:pPr>
        <w:sectPr>
          <w:pgSz w:w="11900" w:h="16838" w:orient="portrait"/>
          <w:cols w:equalWidth="0" w:num="1">
            <w:col w:w="11080"/>
          </w:cols>
          <w:pgMar w:left="320" w:top="478"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Executive Compensation</w:t>
      </w:r>
    </w:p>
    <w:p>
      <w:pPr>
        <w:spacing w:after="0" w:line="235" w:lineRule="exact"/>
        <w:rPr>
          <w:sz w:val="20"/>
          <w:szCs w:val="20"/>
          <w:color w:val="auto"/>
        </w:rPr>
      </w:pPr>
    </w:p>
    <w:p>
      <w:pPr>
        <w:ind w:left="160" w:right="220"/>
        <w:spacing w:after="0" w:line="279" w:lineRule="auto"/>
        <w:rPr>
          <w:sz w:val="20"/>
          <w:szCs w:val="20"/>
          <w:color w:val="auto"/>
        </w:rPr>
      </w:pPr>
      <w:r>
        <w:rPr>
          <w:rFonts w:ascii="Arial" w:cs="Arial" w:eastAsia="Arial" w:hAnsi="Arial"/>
          <w:sz w:val="16"/>
          <w:szCs w:val="16"/>
          <w:color w:val="auto"/>
        </w:rPr>
        <w:t>The following table summarizes compensation paid by the Company for services rendered during fiscal 2025, 2024, and 2023 by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6929755" cy="33147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6929755" cy="331470"/>
                    </a:xfrm>
                    <a:prstGeom prst="rect">
                      <a:avLst/>
                    </a:prstGeom>
                    <a:noFill/>
                  </pic:spPr>
                </pic:pic>
              </a:graphicData>
            </a:graphic>
          </wp:anchor>
        </w:drawing>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Summary Compensation Table</w:t>
      </w:r>
    </w:p>
    <w:p>
      <w:pPr>
        <w:spacing w:after="0" w:line="75" w:lineRule="exact"/>
        <w:rPr>
          <w:sz w:val="20"/>
          <w:szCs w:val="20"/>
          <w:color w:val="auto"/>
        </w:rPr>
      </w:pPr>
    </w:p>
    <w:tbl>
      <w:tblPr>
        <w:tblLayout w:type="fixed"/>
        <w:tblInd w:w="160" w:type="dxa"/>
        <w:tblCellMar>
          <w:top w:w="0" w:type="dxa"/>
          <w:left w:w="0" w:type="dxa"/>
          <w:bottom w:w="0" w:type="dxa"/>
          <w:right w:w="0" w:type="dxa"/>
        </w:tblCellMar>
      </w:tblPr>
      <w:tr>
        <w:trPr>
          <w:trHeight w:val="236"/>
        </w:trPr>
        <w:tc>
          <w:tcPr>
            <w:tcW w:w="2620" w:type="dxa"/>
            <w:vAlign w:val="bottom"/>
            <w:tcBorders>
              <w:top w:val="single" w:sz="8" w:color="0060ED"/>
            </w:tcBorders>
            <w:shd w:val="clear" w:color="auto" w:fill="CCEBF8"/>
          </w:tcPr>
          <w:p>
            <w:pPr>
              <w:spacing w:after="0"/>
              <w:rPr>
                <w:sz w:val="20"/>
                <w:szCs w:val="20"/>
                <w:color w:val="auto"/>
              </w:rPr>
            </w:pPr>
          </w:p>
        </w:tc>
        <w:tc>
          <w:tcPr>
            <w:tcW w:w="640" w:type="dxa"/>
            <w:vAlign w:val="bottom"/>
            <w:tcBorders>
              <w:top w:val="single" w:sz="8" w:color="0060ED"/>
            </w:tcBorders>
            <w:shd w:val="clear" w:color="auto" w:fill="CCEBF8"/>
          </w:tcPr>
          <w:p>
            <w:pPr>
              <w:spacing w:after="0"/>
              <w:rPr>
                <w:sz w:val="20"/>
                <w:szCs w:val="20"/>
                <w:color w:val="auto"/>
              </w:rPr>
            </w:pPr>
          </w:p>
        </w:tc>
        <w:tc>
          <w:tcPr>
            <w:tcW w:w="180" w:type="dxa"/>
            <w:vAlign w:val="bottom"/>
            <w:tcBorders>
              <w:top w:val="single" w:sz="8" w:color="0060ED"/>
            </w:tcBorders>
            <w:shd w:val="clear" w:color="auto" w:fill="CCEBF8"/>
          </w:tcPr>
          <w:p>
            <w:pPr>
              <w:spacing w:after="0"/>
              <w:rPr>
                <w:sz w:val="20"/>
                <w:szCs w:val="20"/>
                <w:color w:val="auto"/>
              </w:rPr>
            </w:pPr>
          </w:p>
        </w:tc>
        <w:tc>
          <w:tcPr>
            <w:tcW w:w="680" w:type="dxa"/>
            <w:vAlign w:val="bottom"/>
            <w:tcBorders>
              <w:top w:val="single" w:sz="8" w:color="0060ED"/>
            </w:tcBorders>
            <w:shd w:val="clear" w:color="auto" w:fill="CCEBF8"/>
          </w:tcPr>
          <w:p>
            <w:pPr>
              <w:spacing w:after="0"/>
              <w:rPr>
                <w:sz w:val="20"/>
                <w:szCs w:val="20"/>
                <w:color w:val="auto"/>
              </w:rPr>
            </w:pPr>
          </w:p>
        </w:tc>
        <w:tc>
          <w:tcPr>
            <w:tcW w:w="180" w:type="dxa"/>
            <w:vAlign w:val="bottom"/>
            <w:tcBorders>
              <w:top w:val="single" w:sz="8" w:color="0060ED"/>
            </w:tcBorders>
            <w:shd w:val="clear" w:color="auto" w:fill="CCEBF8"/>
          </w:tcPr>
          <w:p>
            <w:pPr>
              <w:spacing w:after="0"/>
              <w:rPr>
                <w:sz w:val="20"/>
                <w:szCs w:val="20"/>
                <w:color w:val="auto"/>
              </w:rPr>
            </w:pPr>
          </w:p>
        </w:tc>
        <w:tc>
          <w:tcPr>
            <w:tcW w:w="580" w:type="dxa"/>
            <w:vAlign w:val="bottom"/>
            <w:tcBorders>
              <w:top w:val="single" w:sz="8" w:color="0060ED"/>
            </w:tcBorders>
            <w:shd w:val="clear" w:color="auto" w:fill="CCEBF8"/>
          </w:tcPr>
          <w:p>
            <w:pPr>
              <w:spacing w:after="0"/>
              <w:rPr>
                <w:sz w:val="20"/>
                <w:szCs w:val="20"/>
                <w:color w:val="auto"/>
              </w:rPr>
            </w:pPr>
          </w:p>
        </w:tc>
        <w:tc>
          <w:tcPr>
            <w:tcW w:w="180" w:type="dxa"/>
            <w:vAlign w:val="bottom"/>
            <w:tcBorders>
              <w:top w:val="single" w:sz="8" w:color="0060ED"/>
            </w:tcBorders>
            <w:shd w:val="clear" w:color="auto" w:fill="CCEBF8"/>
          </w:tcPr>
          <w:p>
            <w:pPr>
              <w:spacing w:after="0"/>
              <w:rPr>
                <w:sz w:val="20"/>
                <w:szCs w:val="20"/>
                <w:color w:val="auto"/>
              </w:rPr>
            </w:pPr>
          </w:p>
        </w:tc>
        <w:tc>
          <w:tcPr>
            <w:tcW w:w="740" w:type="dxa"/>
            <w:vAlign w:val="bottom"/>
            <w:tcBorders>
              <w:top w:val="single" w:sz="8" w:color="0060ED"/>
            </w:tcBorders>
            <w:shd w:val="clear" w:color="auto" w:fill="CCEBF8"/>
          </w:tcPr>
          <w:p>
            <w:pPr>
              <w:spacing w:after="0"/>
              <w:rPr>
                <w:sz w:val="20"/>
                <w:szCs w:val="20"/>
                <w:color w:val="auto"/>
              </w:rPr>
            </w:pPr>
          </w:p>
        </w:tc>
        <w:tc>
          <w:tcPr>
            <w:tcW w:w="180" w:type="dxa"/>
            <w:vAlign w:val="bottom"/>
            <w:tcBorders>
              <w:top w:val="single" w:sz="8" w:color="0060ED"/>
            </w:tcBorders>
            <w:shd w:val="clear" w:color="auto" w:fill="CCEBF8"/>
          </w:tcPr>
          <w:p>
            <w:pPr>
              <w:spacing w:after="0"/>
              <w:rPr>
                <w:sz w:val="20"/>
                <w:szCs w:val="20"/>
                <w:color w:val="auto"/>
              </w:rPr>
            </w:pPr>
          </w:p>
        </w:tc>
        <w:tc>
          <w:tcPr>
            <w:tcW w:w="680" w:type="dxa"/>
            <w:vAlign w:val="bottom"/>
            <w:tcBorders>
              <w:top w:val="single" w:sz="8" w:color="0060ED"/>
            </w:tcBorders>
            <w:shd w:val="clear" w:color="auto" w:fill="CCEBF8"/>
          </w:tcPr>
          <w:p>
            <w:pPr>
              <w:spacing w:after="0"/>
              <w:rPr>
                <w:sz w:val="20"/>
                <w:szCs w:val="20"/>
                <w:color w:val="auto"/>
              </w:rPr>
            </w:pPr>
          </w:p>
        </w:tc>
        <w:tc>
          <w:tcPr>
            <w:tcW w:w="180" w:type="dxa"/>
            <w:vAlign w:val="bottom"/>
            <w:tcBorders>
              <w:top w:val="single" w:sz="8" w:color="0060ED"/>
            </w:tcBorders>
            <w:shd w:val="clear" w:color="auto" w:fill="CCEBF8"/>
          </w:tcPr>
          <w:p>
            <w:pPr>
              <w:spacing w:after="0"/>
              <w:rPr>
                <w:sz w:val="20"/>
                <w:szCs w:val="20"/>
                <w:color w:val="auto"/>
              </w:rPr>
            </w:pPr>
          </w:p>
        </w:tc>
        <w:tc>
          <w:tcPr>
            <w:tcW w:w="900" w:type="dxa"/>
            <w:vAlign w:val="bottom"/>
            <w:tcBorders>
              <w:top w:val="single" w:sz="8" w:color="0060ED"/>
            </w:tcBorders>
            <w:shd w:val="clear" w:color="auto" w:fill="CCEBF8"/>
          </w:tcPr>
          <w:p>
            <w:pPr>
              <w:spacing w:after="0"/>
              <w:rPr>
                <w:sz w:val="20"/>
                <w:szCs w:val="20"/>
                <w:color w:val="auto"/>
              </w:rPr>
            </w:pPr>
          </w:p>
        </w:tc>
        <w:tc>
          <w:tcPr>
            <w:tcW w:w="180" w:type="dxa"/>
            <w:vAlign w:val="bottom"/>
            <w:tcBorders>
              <w:top w:val="single" w:sz="8" w:color="0060ED"/>
            </w:tcBorders>
            <w:shd w:val="clear" w:color="auto" w:fill="CCEBF8"/>
          </w:tcPr>
          <w:p>
            <w:pPr>
              <w:spacing w:after="0"/>
              <w:rPr>
                <w:sz w:val="20"/>
                <w:szCs w:val="20"/>
                <w:color w:val="auto"/>
              </w:rPr>
            </w:pPr>
          </w:p>
        </w:tc>
        <w:tc>
          <w:tcPr>
            <w:tcW w:w="1060" w:type="dxa"/>
            <w:vAlign w:val="bottom"/>
            <w:tcBorders>
              <w:top w:val="single" w:sz="8" w:color="0060ED"/>
            </w:tcBorders>
            <w:shd w:val="clear" w:color="auto" w:fill="CCEBF8"/>
          </w:tcPr>
          <w:p>
            <w:pPr>
              <w:jc w:val="center"/>
              <w:ind w:right="118"/>
              <w:spacing w:after="0"/>
              <w:rPr>
                <w:sz w:val="20"/>
                <w:szCs w:val="20"/>
                <w:color w:val="auto"/>
              </w:rPr>
            </w:pPr>
            <w:r>
              <w:rPr>
                <w:rFonts w:ascii="Arial" w:cs="Arial" w:eastAsia="Arial" w:hAnsi="Arial"/>
                <w:sz w:val="12"/>
                <w:szCs w:val="12"/>
                <w:b w:val="1"/>
                <w:bCs w:val="1"/>
                <w:color w:val="009BDE"/>
              </w:rPr>
              <w:t>Change in</w:t>
            </w:r>
          </w:p>
        </w:tc>
        <w:tc>
          <w:tcPr>
            <w:tcW w:w="220" w:type="dxa"/>
            <w:vAlign w:val="bottom"/>
            <w:tcBorders>
              <w:top w:val="single" w:sz="8" w:color="0060ED"/>
            </w:tcBorders>
            <w:shd w:val="clear" w:color="auto" w:fill="CCEBF8"/>
          </w:tcPr>
          <w:p>
            <w:pPr>
              <w:spacing w:after="0"/>
              <w:rPr>
                <w:sz w:val="20"/>
                <w:szCs w:val="20"/>
                <w:color w:val="auto"/>
              </w:rPr>
            </w:pPr>
          </w:p>
        </w:tc>
        <w:tc>
          <w:tcPr>
            <w:tcW w:w="860" w:type="dxa"/>
            <w:vAlign w:val="bottom"/>
            <w:tcBorders>
              <w:top w:val="single" w:sz="8" w:color="0060ED"/>
            </w:tcBorders>
            <w:shd w:val="clear" w:color="auto" w:fill="CCEBF8"/>
          </w:tcPr>
          <w:p>
            <w:pPr>
              <w:spacing w:after="0"/>
              <w:rPr>
                <w:sz w:val="20"/>
                <w:szCs w:val="20"/>
                <w:color w:val="auto"/>
              </w:rPr>
            </w:pPr>
          </w:p>
        </w:tc>
        <w:tc>
          <w:tcPr>
            <w:tcW w:w="180" w:type="dxa"/>
            <w:vAlign w:val="bottom"/>
            <w:tcBorders>
              <w:top w:val="single" w:sz="8" w:color="0060ED"/>
            </w:tcBorders>
            <w:shd w:val="clear" w:color="auto" w:fill="CCEBF8"/>
          </w:tcPr>
          <w:p>
            <w:pPr>
              <w:spacing w:after="0"/>
              <w:rPr>
                <w:sz w:val="20"/>
                <w:szCs w:val="20"/>
                <w:color w:val="auto"/>
              </w:rPr>
            </w:pPr>
          </w:p>
        </w:tc>
        <w:tc>
          <w:tcPr>
            <w:tcW w:w="680" w:type="dxa"/>
            <w:vAlign w:val="bottom"/>
            <w:tcBorders>
              <w:top w:val="single" w:sz="8" w:color="0060ED"/>
            </w:tcBorders>
            <w:shd w:val="clear" w:color="auto" w:fill="CCEBF8"/>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CEBF8"/>
          </w:tcPr>
          <w:p>
            <w:pPr>
              <w:spacing w:after="0"/>
              <w:rPr>
                <w:sz w:val="11"/>
                <w:szCs w:val="11"/>
                <w:color w:val="auto"/>
              </w:rPr>
            </w:pPr>
          </w:p>
        </w:tc>
        <w:tc>
          <w:tcPr>
            <w:tcW w:w="64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5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74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900" w:type="dxa"/>
            <w:vAlign w:val="bottom"/>
            <w:vMerge w:val="restart"/>
            <w:shd w:val="clear" w:color="auto" w:fill="CCEBF8"/>
          </w:tcPr>
          <w:p>
            <w:pPr>
              <w:jc w:val="right"/>
              <w:ind w:right="158"/>
              <w:spacing w:after="0"/>
              <w:rPr>
                <w:sz w:val="20"/>
                <w:szCs w:val="20"/>
                <w:color w:val="auto"/>
              </w:rPr>
            </w:pPr>
            <w:r>
              <w:rPr>
                <w:rFonts w:ascii="Arial" w:cs="Arial" w:eastAsia="Arial" w:hAnsi="Arial"/>
                <w:sz w:val="12"/>
                <w:szCs w:val="12"/>
                <w:b w:val="1"/>
                <w:bCs w:val="1"/>
                <w:color w:val="009BDE"/>
              </w:rPr>
              <w:t>Non-Equity</w:t>
            </w:r>
          </w:p>
        </w:tc>
        <w:tc>
          <w:tcPr>
            <w:tcW w:w="180" w:type="dxa"/>
            <w:vAlign w:val="bottom"/>
            <w:shd w:val="clear" w:color="auto" w:fill="CCEBF8"/>
          </w:tcPr>
          <w:p>
            <w:pPr>
              <w:spacing w:after="0"/>
              <w:rPr>
                <w:sz w:val="11"/>
                <w:szCs w:val="11"/>
                <w:color w:val="auto"/>
              </w:rPr>
            </w:pPr>
          </w:p>
        </w:tc>
        <w:tc>
          <w:tcPr>
            <w:tcW w:w="1060" w:type="dxa"/>
            <w:vAlign w:val="bottom"/>
            <w:shd w:val="clear" w:color="auto" w:fill="CCEBF8"/>
          </w:tcPr>
          <w:p>
            <w:pPr>
              <w:jc w:val="center"/>
              <w:ind w:right="118"/>
              <w:spacing w:after="0" w:line="134" w:lineRule="exact"/>
              <w:rPr>
                <w:sz w:val="20"/>
                <w:szCs w:val="20"/>
                <w:color w:val="auto"/>
              </w:rPr>
            </w:pPr>
            <w:r>
              <w:rPr>
                <w:rFonts w:ascii="Arial" w:cs="Arial" w:eastAsia="Arial" w:hAnsi="Arial"/>
                <w:sz w:val="12"/>
                <w:szCs w:val="12"/>
                <w:b w:val="1"/>
                <w:bCs w:val="1"/>
                <w:color w:val="009BDE"/>
              </w:rPr>
              <w:t>Pension Value</w:t>
            </w:r>
          </w:p>
        </w:tc>
        <w:tc>
          <w:tcPr>
            <w:tcW w:w="220" w:type="dxa"/>
            <w:vAlign w:val="bottom"/>
            <w:shd w:val="clear" w:color="auto" w:fill="CCEBF8"/>
          </w:tcPr>
          <w:p>
            <w:pPr>
              <w:spacing w:after="0"/>
              <w:rPr>
                <w:sz w:val="11"/>
                <w:szCs w:val="11"/>
                <w:color w:val="auto"/>
              </w:rPr>
            </w:pPr>
          </w:p>
        </w:tc>
        <w:tc>
          <w:tcPr>
            <w:tcW w:w="86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CEBF8"/>
          </w:tcPr>
          <w:p>
            <w:pPr>
              <w:spacing w:after="0"/>
              <w:rPr>
                <w:sz w:val="11"/>
                <w:szCs w:val="11"/>
                <w:color w:val="auto"/>
              </w:rPr>
            </w:pPr>
          </w:p>
        </w:tc>
        <w:tc>
          <w:tcPr>
            <w:tcW w:w="64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5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74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900" w:type="dxa"/>
            <w:vAlign w:val="bottom"/>
            <w:vMerge w:val="continue"/>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1060" w:type="dxa"/>
            <w:vAlign w:val="bottom"/>
            <w:shd w:val="clear" w:color="auto" w:fill="CCEBF8"/>
          </w:tcPr>
          <w:p>
            <w:pPr>
              <w:jc w:val="center"/>
              <w:ind w:right="118"/>
              <w:spacing w:after="0" w:line="134" w:lineRule="exact"/>
              <w:rPr>
                <w:sz w:val="20"/>
                <w:szCs w:val="20"/>
                <w:color w:val="auto"/>
              </w:rPr>
            </w:pPr>
            <w:r>
              <w:rPr>
                <w:rFonts w:ascii="Arial" w:cs="Arial" w:eastAsia="Arial" w:hAnsi="Arial"/>
                <w:sz w:val="12"/>
                <w:szCs w:val="12"/>
                <w:b w:val="1"/>
                <w:bCs w:val="1"/>
                <w:color w:val="009BDE"/>
              </w:rPr>
              <w:t>and</w:t>
            </w:r>
          </w:p>
        </w:tc>
        <w:tc>
          <w:tcPr>
            <w:tcW w:w="220" w:type="dxa"/>
            <w:vAlign w:val="bottom"/>
            <w:shd w:val="clear" w:color="auto" w:fill="CCEBF8"/>
          </w:tcPr>
          <w:p>
            <w:pPr>
              <w:spacing w:after="0"/>
              <w:rPr>
                <w:sz w:val="11"/>
                <w:szCs w:val="11"/>
                <w:color w:val="auto"/>
              </w:rPr>
            </w:pPr>
          </w:p>
        </w:tc>
        <w:tc>
          <w:tcPr>
            <w:tcW w:w="860" w:type="dxa"/>
            <w:vAlign w:val="bottom"/>
            <w:vMerge w:val="restart"/>
            <w:shd w:val="clear" w:color="auto" w:fill="CCEBF8"/>
          </w:tcPr>
          <w:p>
            <w:pPr>
              <w:jc w:val="right"/>
              <w:ind w:right="218"/>
              <w:spacing w:after="0"/>
              <w:rPr>
                <w:sz w:val="20"/>
                <w:szCs w:val="20"/>
                <w:color w:val="auto"/>
              </w:rPr>
            </w:pPr>
            <w:r>
              <w:rPr>
                <w:rFonts w:ascii="Arial" w:cs="Arial" w:eastAsia="Arial" w:hAnsi="Arial"/>
                <w:sz w:val="12"/>
                <w:szCs w:val="12"/>
                <w:b w:val="1"/>
                <w:bCs w:val="1"/>
                <w:color w:val="009BDE"/>
              </w:rPr>
              <w:t>All Other</w:t>
            </w:r>
          </w:p>
        </w:tc>
        <w:tc>
          <w:tcPr>
            <w:tcW w:w="18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620" w:type="dxa"/>
            <w:vAlign w:val="bottom"/>
            <w:vMerge w:val="restart"/>
            <w:shd w:val="clear" w:color="auto" w:fill="CCEBF8"/>
          </w:tcPr>
          <w:p>
            <w:pPr>
              <w:ind w:left="80"/>
              <w:spacing w:after="0"/>
              <w:rPr>
                <w:sz w:val="20"/>
                <w:szCs w:val="20"/>
                <w:color w:val="auto"/>
              </w:rPr>
            </w:pPr>
            <w:r>
              <w:rPr>
                <w:rFonts w:ascii="Arial" w:cs="Arial" w:eastAsia="Arial" w:hAnsi="Arial"/>
                <w:sz w:val="12"/>
                <w:szCs w:val="12"/>
                <w:b w:val="1"/>
                <w:bCs w:val="1"/>
                <w:color w:val="009BDE"/>
              </w:rPr>
              <w:t>Name and Principal</w:t>
            </w:r>
          </w:p>
        </w:tc>
        <w:tc>
          <w:tcPr>
            <w:tcW w:w="640" w:type="dxa"/>
            <w:vAlign w:val="bottom"/>
            <w:vMerge w:val="restart"/>
            <w:shd w:val="clear" w:color="auto" w:fill="CCEBF8"/>
          </w:tcPr>
          <w:p>
            <w:pPr>
              <w:jc w:val="right"/>
              <w:ind w:right="58"/>
              <w:spacing w:after="0"/>
              <w:rPr>
                <w:sz w:val="20"/>
                <w:szCs w:val="20"/>
                <w:color w:val="auto"/>
              </w:rPr>
            </w:pPr>
            <w:r>
              <w:rPr>
                <w:rFonts w:ascii="Arial" w:cs="Arial" w:eastAsia="Arial" w:hAnsi="Arial"/>
                <w:sz w:val="12"/>
                <w:szCs w:val="12"/>
                <w:b w:val="1"/>
                <w:bCs w:val="1"/>
                <w:color w:val="009BDE"/>
              </w:rPr>
              <w:t>Fiscal</w:t>
            </w:r>
          </w:p>
        </w:tc>
        <w:tc>
          <w:tcPr>
            <w:tcW w:w="18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5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740" w:type="dxa"/>
            <w:vAlign w:val="bottom"/>
            <w:vMerge w:val="restart"/>
            <w:shd w:val="clear" w:color="auto" w:fill="CCEBF8"/>
          </w:tcPr>
          <w:p>
            <w:pPr>
              <w:jc w:val="right"/>
              <w:ind w:right="238"/>
              <w:spacing w:after="0"/>
              <w:rPr>
                <w:sz w:val="20"/>
                <w:szCs w:val="20"/>
                <w:color w:val="auto"/>
              </w:rPr>
            </w:pPr>
            <w:r>
              <w:rPr>
                <w:rFonts w:ascii="Arial" w:cs="Arial" w:eastAsia="Arial" w:hAnsi="Arial"/>
                <w:sz w:val="12"/>
                <w:szCs w:val="12"/>
                <w:b w:val="1"/>
                <w:bCs w:val="1"/>
                <w:color w:val="009BDE"/>
              </w:rPr>
              <w:t>Stock</w:t>
            </w:r>
          </w:p>
        </w:tc>
        <w:tc>
          <w:tcPr>
            <w:tcW w:w="180" w:type="dxa"/>
            <w:vAlign w:val="bottom"/>
            <w:shd w:val="clear" w:color="auto" w:fill="CCEBF8"/>
          </w:tcPr>
          <w:p>
            <w:pPr>
              <w:spacing w:after="0"/>
              <w:rPr>
                <w:sz w:val="11"/>
                <w:szCs w:val="11"/>
                <w:color w:val="auto"/>
              </w:rPr>
            </w:pPr>
          </w:p>
        </w:tc>
        <w:tc>
          <w:tcPr>
            <w:tcW w:w="680" w:type="dxa"/>
            <w:vAlign w:val="bottom"/>
            <w:vMerge w:val="restart"/>
            <w:shd w:val="clear" w:color="auto" w:fill="CCEBF8"/>
          </w:tcPr>
          <w:p>
            <w:pPr>
              <w:jc w:val="right"/>
              <w:ind w:right="178"/>
              <w:spacing w:after="0"/>
              <w:rPr>
                <w:sz w:val="20"/>
                <w:szCs w:val="20"/>
                <w:color w:val="auto"/>
              </w:rPr>
            </w:pPr>
            <w:r>
              <w:rPr>
                <w:rFonts w:ascii="Arial" w:cs="Arial" w:eastAsia="Arial" w:hAnsi="Arial"/>
                <w:sz w:val="12"/>
                <w:szCs w:val="12"/>
                <w:b w:val="1"/>
                <w:bCs w:val="1"/>
                <w:color w:val="009BDE"/>
              </w:rPr>
              <w:t>Option</w:t>
            </w:r>
          </w:p>
        </w:tc>
        <w:tc>
          <w:tcPr>
            <w:tcW w:w="1080" w:type="dxa"/>
            <w:vAlign w:val="bottom"/>
            <w:gridSpan w:val="2"/>
            <w:shd w:val="clear" w:color="auto" w:fill="CCEBF8"/>
          </w:tcPr>
          <w:p>
            <w:pPr>
              <w:ind w:left="120"/>
              <w:spacing w:after="0" w:line="134" w:lineRule="exact"/>
              <w:rPr>
                <w:sz w:val="20"/>
                <w:szCs w:val="20"/>
                <w:color w:val="auto"/>
              </w:rPr>
            </w:pPr>
            <w:r>
              <w:rPr>
                <w:rFonts w:ascii="Arial" w:cs="Arial" w:eastAsia="Arial" w:hAnsi="Arial"/>
                <w:sz w:val="12"/>
                <w:szCs w:val="12"/>
                <w:b w:val="1"/>
                <w:bCs w:val="1"/>
                <w:color w:val="009BDE"/>
              </w:rPr>
              <w:t>Incentive Plan</w:t>
            </w:r>
          </w:p>
        </w:tc>
        <w:tc>
          <w:tcPr>
            <w:tcW w:w="180" w:type="dxa"/>
            <w:vAlign w:val="bottom"/>
            <w:shd w:val="clear" w:color="auto" w:fill="CCEBF8"/>
          </w:tcPr>
          <w:p>
            <w:pPr>
              <w:spacing w:after="0"/>
              <w:rPr>
                <w:sz w:val="11"/>
                <w:szCs w:val="11"/>
                <w:color w:val="auto"/>
              </w:rPr>
            </w:pPr>
          </w:p>
        </w:tc>
        <w:tc>
          <w:tcPr>
            <w:tcW w:w="1060" w:type="dxa"/>
            <w:vAlign w:val="bottom"/>
            <w:shd w:val="clear" w:color="auto" w:fill="CCEBF8"/>
          </w:tcPr>
          <w:p>
            <w:pPr>
              <w:jc w:val="center"/>
              <w:ind w:right="118"/>
              <w:spacing w:after="0" w:line="134" w:lineRule="exact"/>
              <w:rPr>
                <w:sz w:val="20"/>
                <w:szCs w:val="20"/>
                <w:color w:val="auto"/>
              </w:rPr>
            </w:pPr>
            <w:r>
              <w:rPr>
                <w:rFonts w:ascii="Arial" w:cs="Arial" w:eastAsia="Arial" w:hAnsi="Arial"/>
                <w:sz w:val="12"/>
                <w:szCs w:val="12"/>
                <w:b w:val="1"/>
                <w:bCs w:val="1"/>
                <w:color w:val="009BDE"/>
              </w:rPr>
              <w:t>Non-Qualified</w:t>
            </w:r>
          </w:p>
        </w:tc>
        <w:tc>
          <w:tcPr>
            <w:tcW w:w="220" w:type="dxa"/>
            <w:vAlign w:val="bottom"/>
            <w:shd w:val="clear" w:color="auto" w:fill="CCEBF8"/>
          </w:tcPr>
          <w:p>
            <w:pPr>
              <w:spacing w:after="0"/>
              <w:rPr>
                <w:sz w:val="11"/>
                <w:szCs w:val="11"/>
                <w:color w:val="auto"/>
              </w:rPr>
            </w:pPr>
          </w:p>
        </w:tc>
        <w:tc>
          <w:tcPr>
            <w:tcW w:w="860" w:type="dxa"/>
            <w:vAlign w:val="bottom"/>
            <w:vMerge w:val="continue"/>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620" w:type="dxa"/>
            <w:vAlign w:val="bottom"/>
            <w:vMerge w:val="continue"/>
            <w:shd w:val="clear" w:color="auto" w:fill="CCEBF8"/>
          </w:tcPr>
          <w:p>
            <w:pPr>
              <w:spacing w:after="0"/>
              <w:rPr>
                <w:sz w:val="11"/>
                <w:szCs w:val="11"/>
                <w:color w:val="auto"/>
              </w:rPr>
            </w:pPr>
          </w:p>
        </w:tc>
        <w:tc>
          <w:tcPr>
            <w:tcW w:w="640" w:type="dxa"/>
            <w:vAlign w:val="bottom"/>
            <w:vMerge w:val="continue"/>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5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740" w:type="dxa"/>
            <w:vAlign w:val="bottom"/>
            <w:vMerge w:val="continue"/>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680" w:type="dxa"/>
            <w:vAlign w:val="bottom"/>
            <w:vMerge w:val="continue"/>
            <w:shd w:val="clear" w:color="auto" w:fill="CCEBF8"/>
          </w:tcPr>
          <w:p>
            <w:pPr>
              <w:spacing w:after="0"/>
              <w:rPr>
                <w:sz w:val="11"/>
                <w:szCs w:val="11"/>
                <w:color w:val="auto"/>
              </w:rPr>
            </w:pPr>
          </w:p>
        </w:tc>
        <w:tc>
          <w:tcPr>
            <w:tcW w:w="1080" w:type="dxa"/>
            <w:vAlign w:val="bottom"/>
            <w:gridSpan w:val="2"/>
            <w:shd w:val="clear" w:color="auto" w:fill="CCEBF8"/>
          </w:tcPr>
          <w:p>
            <w:pPr>
              <w:ind w:left="100"/>
              <w:spacing w:after="0" w:line="134" w:lineRule="exact"/>
              <w:rPr>
                <w:sz w:val="20"/>
                <w:szCs w:val="20"/>
                <w:color w:val="auto"/>
              </w:rPr>
            </w:pPr>
            <w:r>
              <w:rPr>
                <w:rFonts w:ascii="Arial" w:cs="Arial" w:eastAsia="Arial" w:hAnsi="Arial"/>
                <w:sz w:val="12"/>
                <w:szCs w:val="12"/>
                <w:b w:val="1"/>
                <w:bCs w:val="1"/>
                <w:color w:val="009BDE"/>
              </w:rPr>
              <w:t>Compensation</w:t>
            </w:r>
          </w:p>
        </w:tc>
        <w:tc>
          <w:tcPr>
            <w:tcW w:w="180" w:type="dxa"/>
            <w:vAlign w:val="bottom"/>
            <w:shd w:val="clear" w:color="auto" w:fill="CCEBF8"/>
          </w:tcPr>
          <w:p>
            <w:pPr>
              <w:spacing w:after="0"/>
              <w:rPr>
                <w:sz w:val="11"/>
                <w:szCs w:val="11"/>
                <w:color w:val="auto"/>
              </w:rPr>
            </w:pPr>
          </w:p>
        </w:tc>
        <w:tc>
          <w:tcPr>
            <w:tcW w:w="1060" w:type="dxa"/>
            <w:vAlign w:val="bottom"/>
            <w:shd w:val="clear" w:color="auto" w:fill="CCEBF8"/>
          </w:tcPr>
          <w:p>
            <w:pPr>
              <w:jc w:val="center"/>
              <w:ind w:right="118"/>
              <w:spacing w:after="0" w:line="134" w:lineRule="exact"/>
              <w:rPr>
                <w:sz w:val="20"/>
                <w:szCs w:val="20"/>
                <w:color w:val="auto"/>
              </w:rPr>
            </w:pPr>
            <w:r>
              <w:rPr>
                <w:rFonts w:ascii="Arial" w:cs="Arial" w:eastAsia="Arial" w:hAnsi="Arial"/>
                <w:sz w:val="12"/>
                <w:szCs w:val="12"/>
                <w:b w:val="1"/>
                <w:bCs w:val="1"/>
                <w:color w:val="009BDE"/>
              </w:rPr>
              <w:t>Deferred</w:t>
            </w:r>
          </w:p>
        </w:tc>
        <w:tc>
          <w:tcPr>
            <w:tcW w:w="1080" w:type="dxa"/>
            <w:vAlign w:val="bottom"/>
            <w:gridSpan w:val="2"/>
            <w:shd w:val="clear" w:color="auto" w:fill="CCEBF8"/>
          </w:tcPr>
          <w:p>
            <w:pPr>
              <w:ind w:left="100"/>
              <w:spacing w:after="0" w:line="134" w:lineRule="exact"/>
              <w:rPr>
                <w:sz w:val="20"/>
                <w:szCs w:val="20"/>
                <w:color w:val="auto"/>
              </w:rPr>
            </w:pPr>
            <w:r>
              <w:rPr>
                <w:rFonts w:ascii="Arial" w:cs="Arial" w:eastAsia="Arial" w:hAnsi="Arial"/>
                <w:sz w:val="12"/>
                <w:szCs w:val="12"/>
                <w:b w:val="1"/>
                <w:bCs w:val="1"/>
                <w:color w:val="009BDE"/>
              </w:rPr>
              <w:t>Compensation</w:t>
            </w:r>
          </w:p>
        </w:tc>
        <w:tc>
          <w:tcPr>
            <w:tcW w:w="18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620" w:type="dxa"/>
            <w:vAlign w:val="bottom"/>
            <w:tcBorders>
              <w:bottom w:val="single" w:sz="8" w:color="CCEBF8"/>
            </w:tcBorders>
            <w:shd w:val="clear" w:color="auto" w:fill="CCEBF8"/>
          </w:tcPr>
          <w:p>
            <w:pPr>
              <w:ind w:left="80"/>
              <w:spacing w:after="0"/>
              <w:rPr>
                <w:sz w:val="20"/>
                <w:szCs w:val="20"/>
                <w:color w:val="auto"/>
              </w:rPr>
            </w:pPr>
            <w:r>
              <w:rPr>
                <w:rFonts w:ascii="Arial" w:cs="Arial" w:eastAsia="Arial" w:hAnsi="Arial"/>
                <w:sz w:val="12"/>
                <w:szCs w:val="12"/>
                <w:b w:val="1"/>
                <w:bCs w:val="1"/>
                <w:color w:val="009BDE"/>
              </w:rPr>
              <w:t>Position</w:t>
            </w:r>
          </w:p>
        </w:tc>
        <w:tc>
          <w:tcPr>
            <w:tcW w:w="640" w:type="dxa"/>
            <w:vAlign w:val="bottom"/>
            <w:tcBorders>
              <w:bottom w:val="single" w:sz="8" w:color="CCEBF8"/>
            </w:tcBorders>
            <w:shd w:val="clear" w:color="auto" w:fill="CCEBF8"/>
          </w:tcPr>
          <w:p>
            <w:pPr>
              <w:jc w:val="right"/>
              <w:ind w:right="98"/>
              <w:spacing w:after="0"/>
              <w:rPr>
                <w:sz w:val="20"/>
                <w:szCs w:val="20"/>
                <w:color w:val="auto"/>
              </w:rPr>
            </w:pPr>
            <w:r>
              <w:rPr>
                <w:rFonts w:ascii="Arial" w:cs="Arial" w:eastAsia="Arial" w:hAnsi="Arial"/>
                <w:sz w:val="12"/>
                <w:szCs w:val="12"/>
                <w:b w:val="1"/>
                <w:bCs w:val="1"/>
                <w:color w:val="009BDE"/>
              </w:rPr>
              <w:t>year</w:t>
            </w:r>
          </w:p>
        </w:tc>
        <w:tc>
          <w:tcPr>
            <w:tcW w:w="860" w:type="dxa"/>
            <w:vAlign w:val="bottom"/>
            <w:tcBorders>
              <w:bottom w:val="single" w:sz="8" w:color="CCEBF8"/>
            </w:tcBorders>
            <w:gridSpan w:val="2"/>
            <w:shd w:val="clear" w:color="auto" w:fill="CCEBF8"/>
          </w:tcPr>
          <w:p>
            <w:pPr>
              <w:jc w:val="right"/>
              <w:ind w:right="118"/>
              <w:spacing w:after="0"/>
              <w:rPr>
                <w:sz w:val="20"/>
                <w:szCs w:val="20"/>
                <w:color w:val="auto"/>
              </w:rPr>
            </w:pPr>
            <w:r>
              <w:rPr>
                <w:rFonts w:ascii="Arial" w:cs="Arial" w:eastAsia="Arial" w:hAnsi="Arial"/>
                <w:sz w:val="12"/>
                <w:szCs w:val="12"/>
                <w:b w:val="1"/>
                <w:bCs w:val="1"/>
                <w:color w:val="009BDE"/>
              </w:rPr>
              <w:t>Salary(a)</w:t>
            </w:r>
          </w:p>
        </w:tc>
        <w:tc>
          <w:tcPr>
            <w:tcW w:w="760" w:type="dxa"/>
            <w:vAlign w:val="bottom"/>
            <w:tcBorders>
              <w:bottom w:val="single" w:sz="8" w:color="CCEBF8"/>
            </w:tcBorders>
            <w:gridSpan w:val="2"/>
            <w:shd w:val="clear" w:color="auto" w:fill="CCEBF8"/>
          </w:tcPr>
          <w:p>
            <w:pPr>
              <w:ind w:left="100"/>
              <w:spacing w:after="0"/>
              <w:rPr>
                <w:sz w:val="20"/>
                <w:szCs w:val="20"/>
                <w:color w:val="auto"/>
              </w:rPr>
            </w:pPr>
            <w:r>
              <w:rPr>
                <w:rFonts w:ascii="Arial" w:cs="Arial" w:eastAsia="Arial" w:hAnsi="Arial"/>
                <w:sz w:val="12"/>
                <w:szCs w:val="12"/>
                <w:b w:val="1"/>
                <w:bCs w:val="1"/>
                <w:color w:val="009BDE"/>
              </w:rPr>
              <w:t>Bonus(b)</w:t>
            </w:r>
          </w:p>
        </w:tc>
        <w:tc>
          <w:tcPr>
            <w:tcW w:w="920" w:type="dxa"/>
            <w:vAlign w:val="bottom"/>
            <w:tcBorders>
              <w:bottom w:val="single" w:sz="8" w:color="CCEBF8"/>
            </w:tcBorders>
            <w:gridSpan w:val="2"/>
            <w:shd w:val="clear" w:color="auto" w:fill="CCEBF8"/>
          </w:tcPr>
          <w:p>
            <w:pPr>
              <w:jc w:val="right"/>
              <w:ind w:right="98"/>
              <w:spacing w:after="0"/>
              <w:rPr>
                <w:sz w:val="20"/>
                <w:szCs w:val="20"/>
                <w:color w:val="auto"/>
              </w:rPr>
            </w:pPr>
            <w:r>
              <w:rPr>
                <w:rFonts w:ascii="Arial" w:cs="Arial" w:eastAsia="Arial" w:hAnsi="Arial"/>
                <w:sz w:val="12"/>
                <w:szCs w:val="12"/>
                <w:b w:val="1"/>
                <w:bCs w:val="1"/>
                <w:color w:val="009BDE"/>
              </w:rPr>
              <w:t>Awards(c)</w:t>
            </w:r>
          </w:p>
        </w:tc>
        <w:tc>
          <w:tcPr>
            <w:tcW w:w="860" w:type="dxa"/>
            <w:vAlign w:val="bottom"/>
            <w:tcBorders>
              <w:bottom w:val="single" w:sz="8" w:color="CCEBF8"/>
            </w:tcBorders>
            <w:gridSpan w:val="2"/>
            <w:shd w:val="clear" w:color="auto" w:fill="CCEBF8"/>
          </w:tcPr>
          <w:p>
            <w:pPr>
              <w:jc w:val="right"/>
              <w:ind w:right="78"/>
              <w:spacing w:after="0"/>
              <w:rPr>
                <w:sz w:val="20"/>
                <w:szCs w:val="20"/>
                <w:color w:val="auto"/>
              </w:rPr>
            </w:pPr>
            <w:r>
              <w:rPr>
                <w:rFonts w:ascii="Arial" w:cs="Arial" w:eastAsia="Arial" w:hAnsi="Arial"/>
                <w:sz w:val="12"/>
                <w:szCs w:val="12"/>
                <w:b w:val="1"/>
                <w:bCs w:val="1"/>
                <w:color w:val="009BDE"/>
              </w:rPr>
              <w:t>Awards(c)</w:t>
            </w:r>
          </w:p>
        </w:tc>
        <w:tc>
          <w:tcPr>
            <w:tcW w:w="180" w:type="dxa"/>
            <w:vAlign w:val="bottom"/>
            <w:tcBorders>
              <w:bottom w:val="single" w:sz="8" w:color="CCEBF8"/>
            </w:tcBorders>
            <w:shd w:val="clear" w:color="auto" w:fill="CCEBF8"/>
          </w:tcPr>
          <w:p>
            <w:pPr>
              <w:spacing w:after="0"/>
              <w:rPr>
                <w:sz w:val="19"/>
                <w:szCs w:val="19"/>
                <w:color w:val="auto"/>
              </w:rPr>
            </w:pPr>
          </w:p>
        </w:tc>
        <w:tc>
          <w:tcPr>
            <w:tcW w:w="900" w:type="dxa"/>
            <w:vAlign w:val="bottom"/>
            <w:tcBorders>
              <w:bottom w:val="single" w:sz="8" w:color="CCEBF8"/>
            </w:tcBorders>
            <w:shd w:val="clear" w:color="auto" w:fill="CCEBF8"/>
          </w:tcPr>
          <w:p>
            <w:pPr>
              <w:jc w:val="right"/>
              <w:ind w:right="318"/>
              <w:spacing w:after="0"/>
              <w:rPr>
                <w:sz w:val="20"/>
                <w:szCs w:val="20"/>
                <w:color w:val="auto"/>
              </w:rPr>
            </w:pPr>
            <w:r>
              <w:rPr>
                <w:rFonts w:ascii="Arial" w:cs="Arial" w:eastAsia="Arial" w:hAnsi="Arial"/>
                <w:sz w:val="12"/>
                <w:szCs w:val="12"/>
                <w:b w:val="1"/>
                <w:bCs w:val="1"/>
                <w:color w:val="009BDE"/>
              </w:rPr>
              <w:t>(a)(d)</w:t>
            </w:r>
          </w:p>
        </w:tc>
        <w:tc>
          <w:tcPr>
            <w:tcW w:w="1240" w:type="dxa"/>
            <w:vAlign w:val="bottom"/>
            <w:tcBorders>
              <w:bottom w:val="single" w:sz="8" w:color="CCEBF8"/>
            </w:tcBorders>
            <w:gridSpan w:val="2"/>
            <w:shd w:val="clear" w:color="auto" w:fill="CCEBF8"/>
          </w:tcPr>
          <w:p>
            <w:pPr>
              <w:ind w:left="120"/>
              <w:spacing w:after="0"/>
              <w:rPr>
                <w:sz w:val="20"/>
                <w:szCs w:val="20"/>
                <w:color w:val="auto"/>
              </w:rPr>
            </w:pPr>
            <w:r>
              <w:rPr>
                <w:rFonts w:ascii="Arial" w:cs="Arial" w:eastAsia="Arial" w:hAnsi="Arial"/>
                <w:sz w:val="12"/>
                <w:szCs w:val="12"/>
                <w:b w:val="1"/>
                <w:bCs w:val="1"/>
                <w:color w:val="009BDE"/>
              </w:rPr>
              <w:t>Compensation(e)</w:t>
            </w:r>
          </w:p>
        </w:tc>
        <w:tc>
          <w:tcPr>
            <w:tcW w:w="220" w:type="dxa"/>
            <w:vAlign w:val="bottom"/>
            <w:tcBorders>
              <w:bottom w:val="single" w:sz="8" w:color="CCEBF8"/>
            </w:tcBorders>
            <w:shd w:val="clear" w:color="auto" w:fill="CCEBF8"/>
          </w:tcPr>
          <w:p>
            <w:pPr>
              <w:spacing w:after="0"/>
              <w:rPr>
                <w:sz w:val="19"/>
                <w:szCs w:val="19"/>
                <w:color w:val="auto"/>
              </w:rPr>
            </w:pPr>
          </w:p>
        </w:tc>
        <w:tc>
          <w:tcPr>
            <w:tcW w:w="860" w:type="dxa"/>
            <w:vAlign w:val="bottom"/>
            <w:tcBorders>
              <w:bottom w:val="single" w:sz="8" w:color="CCEBF8"/>
            </w:tcBorders>
            <w:shd w:val="clear" w:color="auto" w:fill="CCEBF8"/>
          </w:tcPr>
          <w:p>
            <w:pPr>
              <w:jc w:val="right"/>
              <w:ind w:right="418"/>
              <w:spacing w:after="0"/>
              <w:rPr>
                <w:sz w:val="20"/>
                <w:szCs w:val="20"/>
                <w:color w:val="auto"/>
              </w:rPr>
            </w:pPr>
            <w:r>
              <w:rPr>
                <w:rFonts w:ascii="Arial" w:cs="Arial" w:eastAsia="Arial" w:hAnsi="Arial"/>
                <w:sz w:val="12"/>
                <w:szCs w:val="12"/>
                <w:b w:val="1"/>
                <w:bCs w:val="1"/>
                <w:color w:val="009BDE"/>
              </w:rPr>
              <w:t>(f)</w:t>
            </w:r>
          </w:p>
        </w:tc>
        <w:tc>
          <w:tcPr>
            <w:tcW w:w="180" w:type="dxa"/>
            <w:vAlign w:val="bottom"/>
            <w:tcBorders>
              <w:bottom w:val="single" w:sz="8" w:color="CCEBF8"/>
            </w:tcBorders>
            <w:shd w:val="clear" w:color="auto" w:fill="CCEBF8"/>
          </w:tcPr>
          <w:p>
            <w:pPr>
              <w:spacing w:after="0"/>
              <w:rPr>
                <w:sz w:val="19"/>
                <w:szCs w:val="19"/>
                <w:color w:val="auto"/>
              </w:rPr>
            </w:pPr>
          </w:p>
        </w:tc>
        <w:tc>
          <w:tcPr>
            <w:tcW w:w="680" w:type="dxa"/>
            <w:vAlign w:val="bottom"/>
            <w:tcBorders>
              <w:bottom w:val="single" w:sz="8" w:color="CCEBF8"/>
            </w:tcBorders>
            <w:shd w:val="clear" w:color="auto" w:fill="CCEBF8"/>
          </w:tcPr>
          <w:p>
            <w:pPr>
              <w:jc w:val="right"/>
              <w:ind w:right="178"/>
              <w:spacing w:after="0"/>
              <w:rPr>
                <w:sz w:val="20"/>
                <w:szCs w:val="20"/>
                <w:color w:val="auto"/>
              </w:rPr>
            </w:pPr>
            <w:r>
              <w:rPr>
                <w:rFonts w:ascii="Arial" w:cs="Arial" w:eastAsia="Arial" w:hAnsi="Arial"/>
                <w:sz w:val="12"/>
                <w:szCs w:val="12"/>
                <w:b w:val="1"/>
                <w:bCs w:val="1"/>
                <w:color w:val="009BDE"/>
              </w:rPr>
              <w:t>Total</w:t>
            </w:r>
          </w:p>
        </w:tc>
        <w:tc>
          <w:tcPr>
            <w:tcW w:w="0" w:type="dxa"/>
            <w:vAlign w:val="bottom"/>
          </w:tcPr>
          <w:p>
            <w:pPr>
              <w:spacing w:after="0"/>
              <w:rPr>
                <w:sz w:val="1"/>
                <w:szCs w:val="1"/>
                <w:color w:val="auto"/>
              </w:rPr>
            </w:pPr>
          </w:p>
        </w:tc>
      </w:tr>
      <w:tr>
        <w:trPr>
          <w:trHeight w:val="203"/>
        </w:trPr>
        <w:tc>
          <w:tcPr>
            <w:tcW w:w="2620" w:type="dxa"/>
            <w:vAlign w:val="bottom"/>
            <w:tcBorders>
              <w:top w:val="single" w:sz="8" w:color="009BDE"/>
            </w:tcBorders>
          </w:tcPr>
          <w:p>
            <w:pPr>
              <w:ind w:left="80"/>
              <w:spacing w:after="0"/>
              <w:rPr>
                <w:sz w:val="20"/>
                <w:szCs w:val="20"/>
                <w:color w:val="auto"/>
              </w:rPr>
            </w:pPr>
            <w:r>
              <w:rPr>
                <w:rFonts w:ascii="Arial" w:cs="Arial" w:eastAsia="Arial" w:hAnsi="Arial"/>
                <w:sz w:val="12"/>
                <w:szCs w:val="12"/>
                <w:b w:val="1"/>
                <w:bCs w:val="1"/>
                <w:color w:val="auto"/>
              </w:rPr>
              <w:t>Chris Cocks</w:t>
            </w:r>
          </w:p>
        </w:tc>
        <w:tc>
          <w:tcPr>
            <w:tcW w:w="640" w:type="dxa"/>
            <w:vAlign w:val="bottom"/>
            <w:tcBorders>
              <w:top w:val="single" w:sz="8" w:color="009BDE"/>
            </w:tcBorders>
          </w:tcPr>
          <w:p>
            <w:pPr>
              <w:jc w:val="right"/>
              <w:ind w:right="38"/>
              <w:spacing w:after="0"/>
              <w:rPr>
                <w:sz w:val="20"/>
                <w:szCs w:val="20"/>
                <w:color w:val="auto"/>
              </w:rPr>
            </w:pPr>
            <w:r>
              <w:rPr>
                <w:rFonts w:ascii="Arial" w:cs="Arial" w:eastAsia="Arial" w:hAnsi="Arial"/>
                <w:sz w:val="12"/>
                <w:szCs w:val="12"/>
                <w:color w:val="auto"/>
              </w:rPr>
              <w:t>2025</w:t>
            </w:r>
          </w:p>
        </w:tc>
        <w:tc>
          <w:tcPr>
            <w:tcW w:w="180" w:type="dxa"/>
            <w:vAlign w:val="bottom"/>
            <w:tcBorders>
              <w:top w:val="single" w:sz="8" w:color="009BDE"/>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009BDE"/>
            </w:tcBorders>
          </w:tcPr>
          <w:p>
            <w:pPr>
              <w:jc w:val="right"/>
              <w:ind w:right="58"/>
              <w:spacing w:after="0"/>
              <w:rPr>
                <w:sz w:val="20"/>
                <w:szCs w:val="20"/>
                <w:color w:val="auto"/>
              </w:rPr>
            </w:pPr>
            <w:r>
              <w:rPr>
                <w:rFonts w:ascii="Arial" w:cs="Arial" w:eastAsia="Arial" w:hAnsi="Arial"/>
                <w:sz w:val="12"/>
                <w:szCs w:val="12"/>
                <w:color w:val="auto"/>
              </w:rPr>
              <w:t>1,500,000</w:t>
            </w:r>
          </w:p>
        </w:tc>
        <w:tc>
          <w:tcPr>
            <w:tcW w:w="180" w:type="dxa"/>
            <w:vAlign w:val="bottom"/>
            <w:tcBorders>
              <w:top w:val="single" w:sz="8" w:color="009BDE"/>
            </w:tcBorders>
          </w:tcPr>
          <w:p>
            <w:pPr>
              <w:ind w:left="10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009BDE"/>
            </w:tcBorders>
          </w:tcPr>
          <w:p>
            <w:pPr>
              <w:jc w:val="right"/>
              <w:ind w:right="58"/>
              <w:spacing w:after="0"/>
              <w:rPr>
                <w:sz w:val="20"/>
                <w:szCs w:val="20"/>
                <w:color w:val="auto"/>
              </w:rPr>
            </w:pPr>
            <w:r>
              <w:rPr>
                <w:rFonts w:ascii="Arial" w:cs="Arial" w:eastAsia="Arial" w:hAnsi="Arial"/>
                <w:sz w:val="12"/>
                <w:szCs w:val="12"/>
                <w:color w:val="auto"/>
              </w:rPr>
              <w:t>  0</w:t>
            </w:r>
          </w:p>
        </w:tc>
        <w:tc>
          <w:tcPr>
            <w:tcW w:w="180" w:type="dxa"/>
            <w:vAlign w:val="bottom"/>
            <w:tcBorders>
              <w:top w:val="single" w:sz="8" w:color="009BDE"/>
            </w:tcBorders>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009BDE"/>
            </w:tcBorders>
          </w:tcPr>
          <w:p>
            <w:pPr>
              <w:jc w:val="right"/>
              <w:ind w:right="38"/>
              <w:spacing w:after="0"/>
              <w:rPr>
                <w:sz w:val="20"/>
                <w:szCs w:val="20"/>
                <w:color w:val="auto"/>
              </w:rPr>
            </w:pPr>
            <w:r>
              <w:rPr>
                <w:rFonts w:ascii="Arial" w:cs="Arial" w:eastAsia="Arial" w:hAnsi="Arial"/>
                <w:sz w:val="12"/>
                <w:szCs w:val="12"/>
                <w:color w:val="auto"/>
              </w:rPr>
              <w:t>10,500,099</w:t>
            </w:r>
          </w:p>
        </w:tc>
        <w:tc>
          <w:tcPr>
            <w:tcW w:w="180" w:type="dxa"/>
            <w:vAlign w:val="bottom"/>
            <w:tcBorders>
              <w:top w:val="single" w:sz="8" w:color="009BDE"/>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009BDE"/>
            </w:tcBorders>
          </w:tcPr>
          <w:p>
            <w:pPr>
              <w:jc w:val="right"/>
              <w:ind w:right="58"/>
              <w:spacing w:after="0"/>
              <w:rPr>
                <w:sz w:val="20"/>
                <w:szCs w:val="20"/>
                <w:color w:val="auto"/>
              </w:rPr>
            </w:pPr>
            <w:r>
              <w:rPr>
                <w:rFonts w:ascii="Arial" w:cs="Arial" w:eastAsia="Arial" w:hAnsi="Arial"/>
                <w:sz w:val="12"/>
                <w:szCs w:val="12"/>
                <w:color w:val="auto"/>
              </w:rPr>
              <w:t>0</w:t>
            </w:r>
          </w:p>
        </w:tc>
        <w:tc>
          <w:tcPr>
            <w:tcW w:w="180" w:type="dxa"/>
            <w:vAlign w:val="bottom"/>
            <w:tcBorders>
              <w:top w:val="single" w:sz="8" w:color="009BDE"/>
            </w:tcBorders>
          </w:tcPr>
          <w:p>
            <w:pPr>
              <w:ind w:left="10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009BDE"/>
            </w:tcBorders>
          </w:tcPr>
          <w:p>
            <w:pPr>
              <w:jc w:val="right"/>
              <w:ind w:right="38"/>
              <w:spacing w:after="0"/>
              <w:rPr>
                <w:sz w:val="20"/>
                <w:szCs w:val="20"/>
                <w:color w:val="auto"/>
              </w:rPr>
            </w:pPr>
            <w:r>
              <w:rPr>
                <w:rFonts w:ascii="Arial" w:cs="Arial" w:eastAsia="Arial" w:hAnsi="Arial"/>
                <w:sz w:val="12"/>
                <w:szCs w:val="12"/>
                <w:color w:val="auto"/>
              </w:rPr>
              <w:t>6,000,000</w:t>
            </w:r>
          </w:p>
        </w:tc>
        <w:tc>
          <w:tcPr>
            <w:tcW w:w="180" w:type="dxa"/>
            <w:vAlign w:val="bottom"/>
            <w:tcBorders>
              <w:top w:val="single" w:sz="8" w:color="009BDE"/>
            </w:tcBorders>
          </w:tcPr>
          <w:p>
            <w:pPr>
              <w:ind w:left="10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009BDE"/>
            </w:tcBorders>
          </w:tcPr>
          <w:p>
            <w:pPr>
              <w:jc w:val="right"/>
              <w:ind w:right="38"/>
              <w:spacing w:after="0"/>
              <w:rPr>
                <w:sz w:val="20"/>
                <w:szCs w:val="20"/>
                <w:color w:val="auto"/>
              </w:rPr>
            </w:pPr>
            <w:r>
              <w:rPr>
                <w:rFonts w:ascii="Arial" w:cs="Arial" w:eastAsia="Arial" w:hAnsi="Arial"/>
                <w:sz w:val="12"/>
                <w:szCs w:val="12"/>
                <w:color w:val="auto"/>
              </w:rPr>
              <w:t>0</w:t>
            </w:r>
          </w:p>
        </w:tc>
        <w:tc>
          <w:tcPr>
            <w:tcW w:w="220" w:type="dxa"/>
            <w:vAlign w:val="bottom"/>
            <w:tcBorders>
              <w:top w:val="single" w:sz="8" w:color="009BDE"/>
            </w:tcBorders>
          </w:tcPr>
          <w:p>
            <w:pPr>
              <w:ind w:left="100"/>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009BDE"/>
            </w:tcBorders>
          </w:tcPr>
          <w:p>
            <w:pPr>
              <w:jc w:val="right"/>
              <w:ind w:right="38"/>
              <w:spacing w:after="0"/>
              <w:rPr>
                <w:sz w:val="20"/>
                <w:szCs w:val="20"/>
                <w:color w:val="auto"/>
              </w:rPr>
            </w:pPr>
            <w:r>
              <w:rPr>
                <w:rFonts w:ascii="Arial" w:cs="Arial" w:eastAsia="Arial" w:hAnsi="Arial"/>
                <w:sz w:val="12"/>
                <w:szCs w:val="12"/>
                <w:color w:val="auto"/>
              </w:rPr>
              <w:t>672,422</w:t>
            </w:r>
          </w:p>
        </w:tc>
        <w:tc>
          <w:tcPr>
            <w:tcW w:w="180" w:type="dxa"/>
            <w:vAlign w:val="bottom"/>
            <w:tcBorders>
              <w:top w:val="single" w:sz="8" w:color="009BDE"/>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009BDE"/>
            </w:tcBorders>
          </w:tcPr>
          <w:p>
            <w:pPr>
              <w:jc w:val="right"/>
              <w:spacing w:after="0"/>
              <w:rPr>
                <w:sz w:val="20"/>
                <w:szCs w:val="20"/>
                <w:color w:val="auto"/>
              </w:rPr>
            </w:pPr>
            <w:r>
              <w:rPr>
                <w:rFonts w:ascii="Arial" w:cs="Arial" w:eastAsia="Arial" w:hAnsi="Arial"/>
                <w:sz w:val="12"/>
                <w:szCs w:val="12"/>
                <w:color w:val="auto"/>
              </w:rPr>
              <w:t>18,672,521</w:t>
            </w:r>
          </w:p>
        </w:tc>
        <w:tc>
          <w:tcPr>
            <w:tcW w:w="0" w:type="dxa"/>
            <w:vAlign w:val="bottom"/>
          </w:tcPr>
          <w:p>
            <w:pPr>
              <w:spacing w:after="0"/>
              <w:rPr>
                <w:sz w:val="1"/>
                <w:szCs w:val="1"/>
                <w:color w:val="auto"/>
              </w:rPr>
            </w:pPr>
          </w:p>
        </w:tc>
      </w:tr>
      <w:tr>
        <w:trPr>
          <w:trHeight w:val="134"/>
        </w:trPr>
        <w:tc>
          <w:tcPr>
            <w:tcW w:w="2620" w:type="dxa"/>
            <w:vAlign w:val="bottom"/>
          </w:tcPr>
          <w:p>
            <w:pPr>
              <w:ind w:left="80"/>
              <w:spacing w:after="0" w:line="134" w:lineRule="exact"/>
              <w:rPr>
                <w:sz w:val="20"/>
                <w:szCs w:val="20"/>
                <w:color w:val="auto"/>
              </w:rPr>
            </w:pPr>
            <w:r>
              <w:rPr>
                <w:rFonts w:ascii="Arial" w:cs="Arial" w:eastAsia="Arial" w:hAnsi="Arial"/>
                <w:sz w:val="12"/>
                <w:szCs w:val="12"/>
                <w:color w:val="auto"/>
              </w:rPr>
              <w:t>Chief Executive Officer</w:t>
            </w:r>
          </w:p>
        </w:tc>
        <w:tc>
          <w:tcPr>
            <w:tcW w:w="6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2024</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1,500,000</w:t>
            </w:r>
          </w:p>
        </w:tc>
        <w:tc>
          <w:tcPr>
            <w:tcW w:w="180" w:type="dxa"/>
            <w:vAlign w:val="bottom"/>
          </w:tcPr>
          <w:p>
            <w:pPr>
              <w:ind w:left="100"/>
              <w:spacing w:after="0" w:line="134" w:lineRule="exact"/>
              <w:rPr>
                <w:sz w:val="20"/>
                <w:szCs w:val="20"/>
                <w:color w:val="auto"/>
              </w:rPr>
            </w:pPr>
            <w:r>
              <w:rPr>
                <w:rFonts w:ascii="Arial" w:cs="Arial" w:eastAsia="Arial" w:hAnsi="Arial"/>
                <w:sz w:val="12"/>
                <w:szCs w:val="12"/>
                <w:color w:val="auto"/>
                <w:w w:val="89"/>
              </w:rPr>
              <w:t>$</w:t>
            </w:r>
          </w:p>
        </w:tc>
        <w:tc>
          <w:tcPr>
            <w:tcW w:w="5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10,500,024</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80" w:type="dxa"/>
            <w:vAlign w:val="bottom"/>
          </w:tcPr>
          <w:p>
            <w:pPr>
              <w:ind w:left="100"/>
              <w:spacing w:after="0" w:line="134" w:lineRule="exact"/>
              <w:rPr>
                <w:sz w:val="20"/>
                <w:szCs w:val="20"/>
                <w:color w:val="auto"/>
              </w:rPr>
            </w:pPr>
            <w:r>
              <w:rPr>
                <w:rFonts w:ascii="Arial" w:cs="Arial" w:eastAsia="Arial" w:hAnsi="Arial"/>
                <w:sz w:val="12"/>
                <w:szCs w:val="12"/>
                <w:color w:val="auto"/>
                <w:w w:val="89"/>
              </w:rPr>
              <w:t>$</w:t>
            </w:r>
          </w:p>
        </w:tc>
        <w:tc>
          <w:tcPr>
            <w:tcW w:w="9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4,429,688</w:t>
            </w:r>
          </w:p>
        </w:tc>
        <w:tc>
          <w:tcPr>
            <w:tcW w:w="180" w:type="dxa"/>
            <w:vAlign w:val="bottom"/>
          </w:tcPr>
          <w:p>
            <w:pPr>
              <w:ind w:left="100"/>
              <w:spacing w:after="0" w:line="134" w:lineRule="exact"/>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0</w:t>
            </w:r>
          </w:p>
        </w:tc>
        <w:tc>
          <w:tcPr>
            <w:tcW w:w="220" w:type="dxa"/>
            <w:vAlign w:val="bottom"/>
          </w:tcPr>
          <w:p>
            <w:pPr>
              <w:ind w:left="100"/>
              <w:spacing w:after="0" w:line="134"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411,701</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16,841,413</w:t>
            </w:r>
          </w:p>
        </w:tc>
        <w:tc>
          <w:tcPr>
            <w:tcW w:w="0" w:type="dxa"/>
            <w:vAlign w:val="bottom"/>
          </w:tcPr>
          <w:p>
            <w:pPr>
              <w:spacing w:after="0"/>
              <w:rPr>
                <w:sz w:val="1"/>
                <w:szCs w:val="1"/>
                <w:color w:val="auto"/>
              </w:rPr>
            </w:pPr>
          </w:p>
        </w:tc>
      </w:tr>
      <w:tr>
        <w:trPr>
          <w:trHeight w:val="165"/>
        </w:trPr>
        <w:tc>
          <w:tcPr>
            <w:tcW w:w="2620" w:type="dxa"/>
            <w:vAlign w:val="bottom"/>
          </w:tcPr>
          <w:p>
            <w:pPr>
              <w:spacing w:after="0"/>
              <w:rPr>
                <w:sz w:val="14"/>
                <w:szCs w:val="14"/>
                <w:color w:val="auto"/>
              </w:rPr>
            </w:pP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2023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1,500,000</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7,875,020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3,086,034</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1,944,000</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0</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705,815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15,110,869</w:t>
            </w:r>
          </w:p>
        </w:tc>
        <w:tc>
          <w:tcPr>
            <w:tcW w:w="0" w:type="dxa"/>
            <w:vAlign w:val="bottom"/>
          </w:tcPr>
          <w:p>
            <w:pPr>
              <w:spacing w:after="0"/>
              <w:rPr>
                <w:sz w:val="1"/>
                <w:szCs w:val="1"/>
                <w:color w:val="auto"/>
              </w:rPr>
            </w:pPr>
          </w:p>
        </w:tc>
      </w:tr>
      <w:tr>
        <w:trPr>
          <w:trHeight w:val="94"/>
        </w:trPr>
        <w:tc>
          <w:tcPr>
            <w:tcW w:w="262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80"/>
              <w:spacing w:after="0"/>
              <w:rPr>
                <w:sz w:val="20"/>
                <w:szCs w:val="20"/>
                <w:color w:val="auto"/>
              </w:rPr>
            </w:pPr>
            <w:r>
              <w:rPr>
                <w:rFonts w:ascii="Arial" w:cs="Arial" w:eastAsia="Arial" w:hAnsi="Arial"/>
                <w:sz w:val="12"/>
                <w:szCs w:val="12"/>
                <w:b w:val="1"/>
                <w:bCs w:val="1"/>
                <w:color w:val="auto"/>
              </w:rPr>
              <w:t>Gina Goetter</w:t>
            </w: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2025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1,000,000</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3,000,011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0</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2,000,000</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0</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258,738</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6,258,749</w:t>
            </w:r>
          </w:p>
        </w:tc>
        <w:tc>
          <w:tcPr>
            <w:tcW w:w="0" w:type="dxa"/>
            <w:vAlign w:val="bottom"/>
          </w:tcPr>
          <w:p>
            <w:pPr>
              <w:spacing w:after="0"/>
              <w:rPr>
                <w:sz w:val="1"/>
                <w:szCs w:val="1"/>
                <w:color w:val="auto"/>
              </w:rPr>
            </w:pPr>
          </w:p>
        </w:tc>
      </w:tr>
      <w:tr>
        <w:trPr>
          <w:trHeight w:val="134"/>
        </w:trPr>
        <w:tc>
          <w:tcPr>
            <w:tcW w:w="2620" w:type="dxa"/>
            <w:vAlign w:val="bottom"/>
          </w:tcPr>
          <w:p>
            <w:pPr>
              <w:ind w:left="80"/>
              <w:spacing w:after="0" w:line="134" w:lineRule="exact"/>
              <w:rPr>
                <w:sz w:val="20"/>
                <w:szCs w:val="20"/>
                <w:color w:val="auto"/>
              </w:rPr>
            </w:pPr>
            <w:r>
              <w:rPr>
                <w:rFonts w:ascii="Arial" w:cs="Arial" w:eastAsia="Arial" w:hAnsi="Arial"/>
                <w:sz w:val="12"/>
                <w:szCs w:val="12"/>
                <w:color w:val="auto"/>
              </w:rPr>
              <w:t>Chief Financial Officer and Chief Operating</w:t>
            </w:r>
          </w:p>
        </w:tc>
        <w:tc>
          <w:tcPr>
            <w:tcW w:w="6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2024</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1,000,000</w:t>
            </w:r>
          </w:p>
        </w:tc>
        <w:tc>
          <w:tcPr>
            <w:tcW w:w="180" w:type="dxa"/>
            <w:vAlign w:val="bottom"/>
          </w:tcPr>
          <w:p>
            <w:pPr>
              <w:ind w:left="100"/>
              <w:spacing w:after="0" w:line="134" w:lineRule="exact"/>
              <w:rPr>
                <w:sz w:val="20"/>
                <w:szCs w:val="20"/>
                <w:color w:val="auto"/>
              </w:rPr>
            </w:pPr>
            <w:r>
              <w:rPr>
                <w:rFonts w:ascii="Arial" w:cs="Arial" w:eastAsia="Arial" w:hAnsi="Arial"/>
                <w:sz w:val="12"/>
                <w:szCs w:val="12"/>
                <w:color w:val="auto"/>
                <w:w w:val="89"/>
              </w:rPr>
              <w:t>$</w:t>
            </w:r>
          </w:p>
        </w:tc>
        <w:tc>
          <w:tcPr>
            <w:tcW w:w="5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4,500,025</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80" w:type="dxa"/>
            <w:vAlign w:val="bottom"/>
          </w:tcPr>
          <w:p>
            <w:pPr>
              <w:ind w:left="100"/>
              <w:spacing w:after="0" w:line="134" w:lineRule="exact"/>
              <w:rPr>
                <w:sz w:val="20"/>
                <w:szCs w:val="20"/>
                <w:color w:val="auto"/>
              </w:rPr>
            </w:pPr>
            <w:r>
              <w:rPr>
                <w:rFonts w:ascii="Arial" w:cs="Arial" w:eastAsia="Arial" w:hAnsi="Arial"/>
                <w:sz w:val="12"/>
                <w:szCs w:val="12"/>
                <w:color w:val="auto"/>
                <w:w w:val="89"/>
              </w:rPr>
              <w:t>$</w:t>
            </w:r>
          </w:p>
        </w:tc>
        <w:tc>
          <w:tcPr>
            <w:tcW w:w="9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1,687,500</w:t>
            </w:r>
          </w:p>
        </w:tc>
        <w:tc>
          <w:tcPr>
            <w:tcW w:w="180" w:type="dxa"/>
            <w:vAlign w:val="bottom"/>
          </w:tcPr>
          <w:p>
            <w:pPr>
              <w:ind w:left="100"/>
              <w:spacing w:after="0" w:line="134" w:lineRule="exact"/>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0</w:t>
            </w:r>
          </w:p>
        </w:tc>
        <w:tc>
          <w:tcPr>
            <w:tcW w:w="220" w:type="dxa"/>
            <w:vAlign w:val="bottom"/>
          </w:tcPr>
          <w:p>
            <w:pPr>
              <w:ind w:left="100"/>
              <w:spacing w:after="0" w:line="134"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161,011</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7,348,536</w:t>
            </w:r>
          </w:p>
        </w:tc>
        <w:tc>
          <w:tcPr>
            <w:tcW w:w="0" w:type="dxa"/>
            <w:vAlign w:val="bottom"/>
          </w:tcPr>
          <w:p>
            <w:pPr>
              <w:spacing w:after="0"/>
              <w:rPr>
                <w:sz w:val="1"/>
                <w:szCs w:val="1"/>
                <w:color w:val="auto"/>
              </w:rPr>
            </w:pPr>
          </w:p>
        </w:tc>
      </w:tr>
      <w:tr>
        <w:trPr>
          <w:trHeight w:val="165"/>
        </w:trPr>
        <w:tc>
          <w:tcPr>
            <w:tcW w:w="2620" w:type="dxa"/>
            <w:vAlign w:val="bottom"/>
          </w:tcPr>
          <w:p>
            <w:pPr>
              <w:ind w:left="80"/>
              <w:spacing w:after="0"/>
              <w:rPr>
                <w:sz w:val="20"/>
                <w:szCs w:val="20"/>
                <w:color w:val="auto"/>
              </w:rPr>
            </w:pPr>
            <w:r>
              <w:rPr>
                <w:rFonts w:ascii="Arial" w:cs="Arial" w:eastAsia="Arial" w:hAnsi="Arial"/>
                <w:sz w:val="12"/>
                <w:szCs w:val="12"/>
                <w:color w:val="auto"/>
              </w:rPr>
              <w:t>Officer</w:t>
            </w: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2023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634,615</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350,000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4,000,042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0</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548,307</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0</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177,036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5,710,001</w:t>
            </w:r>
          </w:p>
        </w:tc>
        <w:tc>
          <w:tcPr>
            <w:tcW w:w="0" w:type="dxa"/>
            <w:vAlign w:val="bottom"/>
          </w:tcPr>
          <w:p>
            <w:pPr>
              <w:spacing w:after="0"/>
              <w:rPr>
                <w:sz w:val="1"/>
                <w:szCs w:val="1"/>
                <w:color w:val="auto"/>
              </w:rPr>
            </w:pPr>
          </w:p>
        </w:tc>
      </w:tr>
      <w:tr>
        <w:trPr>
          <w:trHeight w:val="94"/>
        </w:trPr>
        <w:tc>
          <w:tcPr>
            <w:tcW w:w="262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80"/>
              <w:spacing w:after="0"/>
              <w:rPr>
                <w:sz w:val="20"/>
                <w:szCs w:val="20"/>
                <w:color w:val="auto"/>
              </w:rPr>
            </w:pPr>
            <w:r>
              <w:rPr>
                <w:rFonts w:ascii="Arial" w:cs="Arial" w:eastAsia="Arial" w:hAnsi="Arial"/>
                <w:sz w:val="12"/>
                <w:szCs w:val="12"/>
                <w:b w:val="1"/>
                <w:bCs w:val="1"/>
                <w:color w:val="auto"/>
              </w:rPr>
              <w:t>John Hight</w:t>
            </w: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2025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725,000</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225,000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1,812,579</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0</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1,450,000</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0</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113,779</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4,326,358</w:t>
            </w:r>
          </w:p>
        </w:tc>
        <w:tc>
          <w:tcPr>
            <w:tcW w:w="0" w:type="dxa"/>
            <w:vAlign w:val="bottom"/>
          </w:tcPr>
          <w:p>
            <w:pPr>
              <w:spacing w:after="0"/>
              <w:rPr>
                <w:sz w:val="1"/>
                <w:szCs w:val="1"/>
                <w:color w:val="auto"/>
              </w:rPr>
            </w:pPr>
          </w:p>
        </w:tc>
      </w:tr>
      <w:tr>
        <w:trPr>
          <w:trHeight w:val="134"/>
        </w:trPr>
        <w:tc>
          <w:tcPr>
            <w:tcW w:w="2620" w:type="dxa"/>
            <w:vAlign w:val="bottom"/>
          </w:tcPr>
          <w:p>
            <w:pPr>
              <w:ind w:left="80"/>
              <w:spacing w:after="0" w:line="134" w:lineRule="exact"/>
              <w:rPr>
                <w:sz w:val="20"/>
                <w:szCs w:val="20"/>
                <w:color w:val="auto"/>
              </w:rPr>
            </w:pPr>
            <w:r>
              <w:rPr>
                <w:rFonts w:ascii="Arial" w:cs="Arial" w:eastAsia="Arial" w:hAnsi="Arial"/>
                <w:sz w:val="12"/>
                <w:szCs w:val="12"/>
                <w:color w:val="auto"/>
              </w:rPr>
              <w:t>President, Wizards of the Coast and Digital</w:t>
            </w:r>
          </w:p>
        </w:tc>
        <w:tc>
          <w:tcPr>
            <w:tcW w:w="6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2024</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278,846</w:t>
            </w:r>
          </w:p>
        </w:tc>
        <w:tc>
          <w:tcPr>
            <w:tcW w:w="180" w:type="dxa"/>
            <w:vAlign w:val="bottom"/>
          </w:tcPr>
          <w:p>
            <w:pPr>
              <w:ind w:left="100"/>
              <w:spacing w:after="0" w:line="134" w:lineRule="exact"/>
              <w:rPr>
                <w:sz w:val="20"/>
                <w:szCs w:val="20"/>
                <w:color w:val="auto"/>
              </w:rPr>
            </w:pPr>
            <w:r>
              <w:rPr>
                <w:rFonts w:ascii="Arial" w:cs="Arial" w:eastAsia="Arial" w:hAnsi="Arial"/>
                <w:sz w:val="12"/>
                <w:szCs w:val="12"/>
                <w:color w:val="auto"/>
                <w:w w:val="89"/>
              </w:rPr>
              <w:t>$</w:t>
            </w:r>
          </w:p>
        </w:tc>
        <w:tc>
          <w:tcPr>
            <w:tcW w:w="5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225,000</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3,500,028</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80" w:type="dxa"/>
            <w:vAlign w:val="bottom"/>
          </w:tcPr>
          <w:p>
            <w:pPr>
              <w:ind w:left="100"/>
              <w:spacing w:after="0" w:line="134" w:lineRule="exact"/>
              <w:rPr>
                <w:sz w:val="20"/>
                <w:szCs w:val="20"/>
                <w:color w:val="auto"/>
              </w:rPr>
            </w:pPr>
            <w:r>
              <w:rPr>
                <w:rFonts w:ascii="Arial" w:cs="Arial" w:eastAsia="Arial" w:hAnsi="Arial"/>
                <w:sz w:val="12"/>
                <w:szCs w:val="12"/>
                <w:color w:val="auto"/>
                <w:w w:val="89"/>
              </w:rPr>
              <w:t>$</w:t>
            </w:r>
          </w:p>
        </w:tc>
        <w:tc>
          <w:tcPr>
            <w:tcW w:w="9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348,558</w:t>
            </w:r>
          </w:p>
        </w:tc>
        <w:tc>
          <w:tcPr>
            <w:tcW w:w="180" w:type="dxa"/>
            <w:vAlign w:val="bottom"/>
          </w:tcPr>
          <w:p>
            <w:pPr>
              <w:ind w:left="100"/>
              <w:spacing w:after="0" w:line="134" w:lineRule="exact"/>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0</w:t>
            </w:r>
          </w:p>
        </w:tc>
        <w:tc>
          <w:tcPr>
            <w:tcW w:w="220" w:type="dxa"/>
            <w:vAlign w:val="bottom"/>
          </w:tcPr>
          <w:p>
            <w:pPr>
              <w:ind w:left="100"/>
              <w:spacing w:after="0" w:line="134"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128,313</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4,480,746</w:t>
            </w:r>
          </w:p>
        </w:tc>
        <w:tc>
          <w:tcPr>
            <w:tcW w:w="0" w:type="dxa"/>
            <w:vAlign w:val="bottom"/>
          </w:tcPr>
          <w:p>
            <w:pPr>
              <w:spacing w:after="0"/>
              <w:rPr>
                <w:sz w:val="1"/>
                <w:szCs w:val="1"/>
                <w:color w:val="auto"/>
              </w:rPr>
            </w:pPr>
          </w:p>
        </w:tc>
      </w:tr>
      <w:tr>
        <w:trPr>
          <w:trHeight w:val="165"/>
        </w:trPr>
        <w:tc>
          <w:tcPr>
            <w:tcW w:w="2620" w:type="dxa"/>
            <w:vAlign w:val="bottom"/>
          </w:tcPr>
          <w:p>
            <w:pPr>
              <w:ind w:left="80"/>
              <w:spacing w:after="0"/>
              <w:rPr>
                <w:sz w:val="20"/>
                <w:szCs w:val="20"/>
                <w:color w:val="auto"/>
              </w:rPr>
            </w:pPr>
            <w:r>
              <w:rPr>
                <w:rFonts w:ascii="Arial" w:cs="Arial" w:eastAsia="Arial" w:hAnsi="Arial"/>
                <w:sz w:val="12"/>
                <w:szCs w:val="12"/>
                <w:color w:val="auto"/>
              </w:rPr>
              <w:t>Gaming</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62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80"/>
              <w:spacing w:after="0"/>
              <w:rPr>
                <w:sz w:val="20"/>
                <w:szCs w:val="20"/>
                <w:color w:val="auto"/>
              </w:rPr>
            </w:pPr>
            <w:r>
              <w:rPr>
                <w:rFonts w:ascii="Arial" w:cs="Arial" w:eastAsia="Arial" w:hAnsi="Arial"/>
                <w:sz w:val="12"/>
                <w:szCs w:val="12"/>
                <w:b w:val="1"/>
                <w:bCs w:val="1"/>
                <w:color w:val="auto"/>
              </w:rPr>
              <w:t>Tim Kilpin</w:t>
            </w: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2025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850,000</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2,125,092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0</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340,000</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0</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159,000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3,474,092</w:t>
            </w:r>
          </w:p>
        </w:tc>
        <w:tc>
          <w:tcPr>
            <w:tcW w:w="0" w:type="dxa"/>
            <w:vAlign w:val="bottom"/>
          </w:tcPr>
          <w:p>
            <w:pPr>
              <w:spacing w:after="0"/>
              <w:rPr>
                <w:sz w:val="1"/>
                <w:szCs w:val="1"/>
                <w:color w:val="auto"/>
              </w:rPr>
            </w:pPr>
          </w:p>
        </w:tc>
      </w:tr>
      <w:tr>
        <w:trPr>
          <w:trHeight w:val="134"/>
        </w:trPr>
        <w:tc>
          <w:tcPr>
            <w:tcW w:w="2620" w:type="dxa"/>
            <w:vAlign w:val="bottom"/>
          </w:tcPr>
          <w:p>
            <w:pPr>
              <w:ind w:left="80"/>
              <w:spacing w:after="0" w:line="134" w:lineRule="exact"/>
              <w:rPr>
                <w:sz w:val="20"/>
                <w:szCs w:val="20"/>
                <w:color w:val="auto"/>
              </w:rPr>
            </w:pPr>
            <w:r>
              <w:rPr>
                <w:rFonts w:ascii="Arial" w:cs="Arial" w:eastAsia="Arial" w:hAnsi="Arial"/>
                <w:sz w:val="12"/>
                <w:szCs w:val="12"/>
                <w:color w:val="auto"/>
              </w:rPr>
              <w:t>President Toys, Board Games, Licensing &amp;</w:t>
            </w:r>
          </w:p>
        </w:tc>
        <w:tc>
          <w:tcPr>
            <w:tcW w:w="6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2024</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850,000</w:t>
            </w:r>
          </w:p>
        </w:tc>
        <w:tc>
          <w:tcPr>
            <w:tcW w:w="180" w:type="dxa"/>
            <w:vAlign w:val="bottom"/>
          </w:tcPr>
          <w:p>
            <w:pPr>
              <w:ind w:left="100"/>
              <w:spacing w:after="0" w:line="134" w:lineRule="exact"/>
              <w:rPr>
                <w:sz w:val="20"/>
                <w:szCs w:val="20"/>
                <w:color w:val="auto"/>
              </w:rPr>
            </w:pPr>
            <w:r>
              <w:rPr>
                <w:rFonts w:ascii="Arial" w:cs="Arial" w:eastAsia="Arial" w:hAnsi="Arial"/>
                <w:sz w:val="12"/>
                <w:szCs w:val="12"/>
                <w:color w:val="auto"/>
                <w:w w:val="89"/>
              </w:rPr>
              <w:t>$</w:t>
            </w:r>
          </w:p>
        </w:tc>
        <w:tc>
          <w:tcPr>
            <w:tcW w:w="5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2,975,067</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80" w:type="dxa"/>
            <w:vAlign w:val="bottom"/>
          </w:tcPr>
          <w:p>
            <w:pPr>
              <w:ind w:left="100"/>
              <w:spacing w:after="0" w:line="134" w:lineRule="exact"/>
              <w:rPr>
                <w:sz w:val="20"/>
                <w:szCs w:val="20"/>
                <w:color w:val="auto"/>
              </w:rPr>
            </w:pPr>
            <w:r>
              <w:rPr>
                <w:rFonts w:ascii="Arial" w:cs="Arial" w:eastAsia="Arial" w:hAnsi="Arial"/>
                <w:sz w:val="12"/>
                <w:szCs w:val="12"/>
                <w:color w:val="auto"/>
                <w:w w:val="89"/>
              </w:rPr>
              <w:t>$</w:t>
            </w:r>
          </w:p>
        </w:tc>
        <w:tc>
          <w:tcPr>
            <w:tcW w:w="9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850,000</w:t>
            </w:r>
          </w:p>
        </w:tc>
        <w:tc>
          <w:tcPr>
            <w:tcW w:w="180" w:type="dxa"/>
            <w:vAlign w:val="bottom"/>
          </w:tcPr>
          <w:p>
            <w:pPr>
              <w:ind w:left="100"/>
              <w:spacing w:after="0" w:line="134" w:lineRule="exact"/>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0</w:t>
            </w:r>
          </w:p>
        </w:tc>
        <w:tc>
          <w:tcPr>
            <w:tcW w:w="220" w:type="dxa"/>
            <w:vAlign w:val="bottom"/>
          </w:tcPr>
          <w:p>
            <w:pPr>
              <w:ind w:left="100"/>
              <w:spacing w:after="0" w:line="134"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141,692</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4,816,759</w:t>
            </w:r>
          </w:p>
        </w:tc>
        <w:tc>
          <w:tcPr>
            <w:tcW w:w="0" w:type="dxa"/>
            <w:vAlign w:val="bottom"/>
          </w:tcPr>
          <w:p>
            <w:pPr>
              <w:spacing w:after="0"/>
              <w:rPr>
                <w:sz w:val="1"/>
                <w:szCs w:val="1"/>
                <w:color w:val="auto"/>
              </w:rPr>
            </w:pPr>
          </w:p>
        </w:tc>
      </w:tr>
      <w:tr>
        <w:trPr>
          <w:trHeight w:val="165"/>
        </w:trPr>
        <w:tc>
          <w:tcPr>
            <w:tcW w:w="2620" w:type="dxa"/>
            <w:vAlign w:val="bottom"/>
          </w:tcPr>
          <w:p>
            <w:pPr>
              <w:ind w:left="80"/>
              <w:spacing w:after="0"/>
              <w:rPr>
                <w:sz w:val="20"/>
                <w:szCs w:val="20"/>
                <w:color w:val="auto"/>
              </w:rPr>
            </w:pPr>
            <w:r>
              <w:rPr>
                <w:rFonts w:ascii="Arial" w:cs="Arial" w:eastAsia="Arial" w:hAnsi="Arial"/>
                <w:sz w:val="12"/>
                <w:szCs w:val="12"/>
                <w:color w:val="auto"/>
              </w:rPr>
              <w:t>Entertainment</w:t>
            </w: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2023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572,115</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3,275,135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471,084</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637,500</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0</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312,550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5,268,385</w:t>
            </w:r>
          </w:p>
        </w:tc>
        <w:tc>
          <w:tcPr>
            <w:tcW w:w="0" w:type="dxa"/>
            <w:vAlign w:val="bottom"/>
          </w:tcPr>
          <w:p>
            <w:pPr>
              <w:spacing w:after="0"/>
              <w:rPr>
                <w:sz w:val="1"/>
                <w:szCs w:val="1"/>
                <w:color w:val="auto"/>
              </w:rPr>
            </w:pPr>
          </w:p>
        </w:tc>
      </w:tr>
      <w:tr>
        <w:trPr>
          <w:trHeight w:val="187"/>
        </w:trPr>
        <w:tc>
          <w:tcPr>
            <w:tcW w:w="2620" w:type="dxa"/>
            <w:vAlign w:val="bottom"/>
            <w:tcBorders>
              <w:bottom w:val="single" w:sz="8" w:color="009BDE"/>
            </w:tcBorders>
          </w:tcPr>
          <w:p>
            <w:pPr>
              <w:spacing w:after="0"/>
              <w:rPr>
                <w:sz w:val="16"/>
                <w:szCs w:val="16"/>
                <w:color w:val="auto"/>
              </w:rPr>
            </w:pPr>
          </w:p>
        </w:tc>
        <w:tc>
          <w:tcPr>
            <w:tcW w:w="640" w:type="dxa"/>
            <w:vAlign w:val="bottom"/>
            <w:tcBorders>
              <w:bottom w:val="single" w:sz="8" w:color="009BDE"/>
            </w:tcBorders>
          </w:tcPr>
          <w:p>
            <w:pPr>
              <w:spacing w:after="0"/>
              <w:rPr>
                <w:sz w:val="16"/>
                <w:szCs w:val="16"/>
                <w:color w:val="auto"/>
              </w:rPr>
            </w:pPr>
          </w:p>
        </w:tc>
        <w:tc>
          <w:tcPr>
            <w:tcW w:w="180" w:type="dxa"/>
            <w:vAlign w:val="bottom"/>
            <w:tcBorders>
              <w:bottom w:val="single" w:sz="8" w:color="009BDE"/>
            </w:tcBorders>
          </w:tcPr>
          <w:p>
            <w:pPr>
              <w:spacing w:after="0"/>
              <w:rPr>
                <w:sz w:val="16"/>
                <w:szCs w:val="16"/>
                <w:color w:val="auto"/>
              </w:rPr>
            </w:pPr>
          </w:p>
        </w:tc>
        <w:tc>
          <w:tcPr>
            <w:tcW w:w="680" w:type="dxa"/>
            <w:vAlign w:val="bottom"/>
            <w:tcBorders>
              <w:bottom w:val="single" w:sz="8" w:color="009BDE"/>
            </w:tcBorders>
          </w:tcPr>
          <w:p>
            <w:pPr>
              <w:spacing w:after="0"/>
              <w:rPr>
                <w:sz w:val="16"/>
                <w:szCs w:val="16"/>
                <w:color w:val="auto"/>
              </w:rPr>
            </w:pPr>
          </w:p>
        </w:tc>
        <w:tc>
          <w:tcPr>
            <w:tcW w:w="180" w:type="dxa"/>
            <w:vAlign w:val="bottom"/>
            <w:tcBorders>
              <w:bottom w:val="single" w:sz="8" w:color="009BDE"/>
            </w:tcBorders>
          </w:tcPr>
          <w:p>
            <w:pPr>
              <w:spacing w:after="0"/>
              <w:rPr>
                <w:sz w:val="16"/>
                <w:szCs w:val="16"/>
                <w:color w:val="auto"/>
              </w:rPr>
            </w:pPr>
          </w:p>
        </w:tc>
        <w:tc>
          <w:tcPr>
            <w:tcW w:w="580" w:type="dxa"/>
            <w:vAlign w:val="bottom"/>
            <w:tcBorders>
              <w:bottom w:val="single" w:sz="8" w:color="009BDE"/>
            </w:tcBorders>
          </w:tcPr>
          <w:p>
            <w:pPr>
              <w:spacing w:after="0"/>
              <w:rPr>
                <w:sz w:val="16"/>
                <w:szCs w:val="16"/>
                <w:color w:val="auto"/>
              </w:rPr>
            </w:pPr>
          </w:p>
        </w:tc>
        <w:tc>
          <w:tcPr>
            <w:tcW w:w="180" w:type="dxa"/>
            <w:vAlign w:val="bottom"/>
            <w:tcBorders>
              <w:bottom w:val="single" w:sz="8" w:color="009BDE"/>
            </w:tcBorders>
          </w:tcPr>
          <w:p>
            <w:pPr>
              <w:spacing w:after="0"/>
              <w:rPr>
                <w:sz w:val="16"/>
                <w:szCs w:val="16"/>
                <w:color w:val="auto"/>
              </w:rPr>
            </w:pPr>
          </w:p>
        </w:tc>
        <w:tc>
          <w:tcPr>
            <w:tcW w:w="740" w:type="dxa"/>
            <w:vAlign w:val="bottom"/>
            <w:tcBorders>
              <w:bottom w:val="single" w:sz="8" w:color="009BDE"/>
            </w:tcBorders>
          </w:tcPr>
          <w:p>
            <w:pPr>
              <w:spacing w:after="0"/>
              <w:rPr>
                <w:sz w:val="16"/>
                <w:szCs w:val="16"/>
                <w:color w:val="auto"/>
              </w:rPr>
            </w:pPr>
          </w:p>
        </w:tc>
        <w:tc>
          <w:tcPr>
            <w:tcW w:w="180" w:type="dxa"/>
            <w:vAlign w:val="bottom"/>
            <w:tcBorders>
              <w:bottom w:val="single" w:sz="8" w:color="009BDE"/>
            </w:tcBorders>
          </w:tcPr>
          <w:p>
            <w:pPr>
              <w:spacing w:after="0"/>
              <w:rPr>
                <w:sz w:val="16"/>
                <w:szCs w:val="16"/>
                <w:color w:val="auto"/>
              </w:rPr>
            </w:pPr>
          </w:p>
        </w:tc>
        <w:tc>
          <w:tcPr>
            <w:tcW w:w="680" w:type="dxa"/>
            <w:vAlign w:val="bottom"/>
            <w:tcBorders>
              <w:bottom w:val="single" w:sz="8" w:color="009BDE"/>
            </w:tcBorders>
          </w:tcPr>
          <w:p>
            <w:pPr>
              <w:spacing w:after="0"/>
              <w:rPr>
                <w:sz w:val="16"/>
                <w:szCs w:val="16"/>
                <w:color w:val="auto"/>
              </w:rPr>
            </w:pPr>
          </w:p>
        </w:tc>
        <w:tc>
          <w:tcPr>
            <w:tcW w:w="180" w:type="dxa"/>
            <w:vAlign w:val="bottom"/>
            <w:tcBorders>
              <w:bottom w:val="single" w:sz="8" w:color="009BDE"/>
            </w:tcBorders>
          </w:tcPr>
          <w:p>
            <w:pPr>
              <w:spacing w:after="0"/>
              <w:rPr>
                <w:sz w:val="16"/>
                <w:szCs w:val="16"/>
                <w:color w:val="auto"/>
              </w:rPr>
            </w:pPr>
          </w:p>
        </w:tc>
        <w:tc>
          <w:tcPr>
            <w:tcW w:w="900" w:type="dxa"/>
            <w:vAlign w:val="bottom"/>
            <w:tcBorders>
              <w:bottom w:val="single" w:sz="8" w:color="009BDE"/>
            </w:tcBorders>
          </w:tcPr>
          <w:p>
            <w:pPr>
              <w:spacing w:after="0"/>
              <w:rPr>
                <w:sz w:val="16"/>
                <w:szCs w:val="16"/>
                <w:color w:val="auto"/>
              </w:rPr>
            </w:pPr>
          </w:p>
        </w:tc>
        <w:tc>
          <w:tcPr>
            <w:tcW w:w="180" w:type="dxa"/>
            <w:vAlign w:val="bottom"/>
            <w:tcBorders>
              <w:bottom w:val="single" w:sz="8" w:color="009BDE"/>
            </w:tcBorders>
          </w:tcPr>
          <w:p>
            <w:pPr>
              <w:spacing w:after="0"/>
              <w:rPr>
                <w:sz w:val="16"/>
                <w:szCs w:val="16"/>
                <w:color w:val="auto"/>
              </w:rPr>
            </w:pPr>
          </w:p>
        </w:tc>
        <w:tc>
          <w:tcPr>
            <w:tcW w:w="1060" w:type="dxa"/>
            <w:vAlign w:val="bottom"/>
            <w:tcBorders>
              <w:bottom w:val="single" w:sz="8" w:color="009BDE"/>
            </w:tcBorders>
          </w:tcPr>
          <w:p>
            <w:pPr>
              <w:spacing w:after="0"/>
              <w:rPr>
                <w:sz w:val="16"/>
                <w:szCs w:val="16"/>
                <w:color w:val="auto"/>
              </w:rPr>
            </w:pPr>
          </w:p>
        </w:tc>
        <w:tc>
          <w:tcPr>
            <w:tcW w:w="220" w:type="dxa"/>
            <w:vAlign w:val="bottom"/>
            <w:tcBorders>
              <w:bottom w:val="single" w:sz="8" w:color="009BDE"/>
            </w:tcBorders>
          </w:tcPr>
          <w:p>
            <w:pPr>
              <w:spacing w:after="0"/>
              <w:rPr>
                <w:sz w:val="16"/>
                <w:szCs w:val="16"/>
                <w:color w:val="auto"/>
              </w:rPr>
            </w:pPr>
          </w:p>
        </w:tc>
        <w:tc>
          <w:tcPr>
            <w:tcW w:w="860" w:type="dxa"/>
            <w:vAlign w:val="bottom"/>
            <w:tcBorders>
              <w:bottom w:val="single" w:sz="8" w:color="009BDE"/>
            </w:tcBorders>
          </w:tcPr>
          <w:p>
            <w:pPr>
              <w:spacing w:after="0"/>
              <w:rPr>
                <w:sz w:val="16"/>
                <w:szCs w:val="16"/>
                <w:color w:val="auto"/>
              </w:rPr>
            </w:pPr>
          </w:p>
        </w:tc>
        <w:tc>
          <w:tcPr>
            <w:tcW w:w="180" w:type="dxa"/>
            <w:vAlign w:val="bottom"/>
            <w:tcBorders>
              <w:bottom w:val="single" w:sz="8" w:color="009BDE"/>
            </w:tcBorders>
          </w:tcPr>
          <w:p>
            <w:pPr>
              <w:spacing w:after="0"/>
              <w:rPr>
                <w:sz w:val="16"/>
                <w:szCs w:val="16"/>
                <w:color w:val="auto"/>
              </w:rPr>
            </w:pPr>
          </w:p>
        </w:tc>
        <w:tc>
          <w:tcPr>
            <w:tcW w:w="680" w:type="dxa"/>
            <w:vAlign w:val="bottom"/>
            <w:tcBorders>
              <w:bottom w:val="single" w:sz="8" w:color="009BDE"/>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80"/>
              <w:spacing w:after="0"/>
              <w:rPr>
                <w:sz w:val="20"/>
                <w:szCs w:val="20"/>
                <w:color w:val="auto"/>
              </w:rPr>
            </w:pPr>
            <w:r>
              <w:rPr>
                <w:rFonts w:ascii="Arial" w:cs="Arial" w:eastAsia="Arial" w:hAnsi="Arial"/>
                <w:sz w:val="12"/>
                <w:szCs w:val="12"/>
                <w:b w:val="1"/>
                <w:bCs w:val="1"/>
                <w:color w:val="auto"/>
              </w:rPr>
              <w:t>Tarrant Sibley</w:t>
            </w: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2025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690,385</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1,575,092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0</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1,173,654</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0</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139,361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3,578,492</w:t>
            </w:r>
          </w:p>
        </w:tc>
        <w:tc>
          <w:tcPr>
            <w:tcW w:w="0" w:type="dxa"/>
            <w:vAlign w:val="bottom"/>
          </w:tcPr>
          <w:p>
            <w:pPr>
              <w:spacing w:after="0"/>
              <w:rPr>
                <w:sz w:val="1"/>
                <w:szCs w:val="1"/>
                <w:color w:val="auto"/>
              </w:rPr>
            </w:pPr>
          </w:p>
        </w:tc>
      </w:tr>
      <w:tr>
        <w:trPr>
          <w:trHeight w:val="134"/>
        </w:trPr>
        <w:tc>
          <w:tcPr>
            <w:tcW w:w="2620" w:type="dxa"/>
            <w:vAlign w:val="bottom"/>
          </w:tcPr>
          <w:p>
            <w:pPr>
              <w:ind w:left="80"/>
              <w:spacing w:after="0" w:line="134" w:lineRule="exact"/>
              <w:rPr>
                <w:sz w:val="20"/>
                <w:szCs w:val="20"/>
                <w:color w:val="auto"/>
              </w:rPr>
            </w:pPr>
            <w:r>
              <w:rPr>
                <w:rFonts w:ascii="Arial" w:cs="Arial" w:eastAsia="Arial" w:hAnsi="Arial"/>
                <w:sz w:val="12"/>
                <w:szCs w:val="12"/>
                <w:color w:val="auto"/>
              </w:rPr>
              <w:t>EVP, Chief Legal Officer and Corporate</w:t>
            </w:r>
          </w:p>
        </w:tc>
        <w:tc>
          <w:tcPr>
            <w:tcW w:w="6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2024</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650,000</w:t>
            </w:r>
          </w:p>
        </w:tc>
        <w:tc>
          <w:tcPr>
            <w:tcW w:w="180" w:type="dxa"/>
            <w:vAlign w:val="bottom"/>
          </w:tcPr>
          <w:p>
            <w:pPr>
              <w:ind w:left="100"/>
              <w:spacing w:after="0" w:line="134" w:lineRule="exact"/>
              <w:rPr>
                <w:sz w:val="20"/>
                <w:szCs w:val="20"/>
                <w:color w:val="auto"/>
              </w:rPr>
            </w:pPr>
            <w:r>
              <w:rPr>
                <w:rFonts w:ascii="Arial" w:cs="Arial" w:eastAsia="Arial" w:hAnsi="Arial"/>
                <w:sz w:val="12"/>
                <w:szCs w:val="12"/>
                <w:color w:val="auto"/>
                <w:w w:val="89"/>
              </w:rPr>
              <w:t>$</w:t>
            </w:r>
          </w:p>
        </w:tc>
        <w:tc>
          <w:tcPr>
            <w:tcW w:w="5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1,950,100</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80" w:type="dxa"/>
            <w:vAlign w:val="bottom"/>
          </w:tcPr>
          <w:p>
            <w:pPr>
              <w:ind w:left="100"/>
              <w:spacing w:after="0" w:line="134" w:lineRule="exact"/>
              <w:rPr>
                <w:sz w:val="20"/>
                <w:szCs w:val="20"/>
                <w:color w:val="auto"/>
              </w:rPr>
            </w:pPr>
            <w:r>
              <w:rPr>
                <w:rFonts w:ascii="Arial" w:cs="Arial" w:eastAsia="Arial" w:hAnsi="Arial"/>
                <w:sz w:val="12"/>
                <w:szCs w:val="12"/>
                <w:color w:val="auto"/>
                <w:w w:val="89"/>
              </w:rPr>
              <w:t>$</w:t>
            </w:r>
          </w:p>
        </w:tc>
        <w:tc>
          <w:tcPr>
            <w:tcW w:w="9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822,656</w:t>
            </w:r>
          </w:p>
        </w:tc>
        <w:tc>
          <w:tcPr>
            <w:tcW w:w="180" w:type="dxa"/>
            <w:vAlign w:val="bottom"/>
          </w:tcPr>
          <w:p>
            <w:pPr>
              <w:ind w:left="100"/>
              <w:spacing w:after="0" w:line="134" w:lineRule="exact"/>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145</w:t>
            </w:r>
          </w:p>
        </w:tc>
        <w:tc>
          <w:tcPr>
            <w:tcW w:w="220" w:type="dxa"/>
            <w:vAlign w:val="bottom"/>
          </w:tcPr>
          <w:p>
            <w:pPr>
              <w:ind w:left="100"/>
              <w:spacing w:after="0" w:line="134"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86,461</w:t>
            </w:r>
          </w:p>
        </w:tc>
        <w:tc>
          <w:tcPr>
            <w:tcW w:w="1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3,509,362</w:t>
            </w:r>
          </w:p>
        </w:tc>
        <w:tc>
          <w:tcPr>
            <w:tcW w:w="0" w:type="dxa"/>
            <w:vAlign w:val="bottom"/>
          </w:tcPr>
          <w:p>
            <w:pPr>
              <w:spacing w:after="0"/>
              <w:rPr>
                <w:sz w:val="1"/>
                <w:szCs w:val="1"/>
                <w:color w:val="auto"/>
              </w:rPr>
            </w:pPr>
          </w:p>
        </w:tc>
      </w:tr>
      <w:tr>
        <w:trPr>
          <w:trHeight w:val="165"/>
        </w:trPr>
        <w:tc>
          <w:tcPr>
            <w:tcW w:w="2620" w:type="dxa"/>
            <w:vAlign w:val="bottom"/>
          </w:tcPr>
          <w:p>
            <w:pPr>
              <w:ind w:left="80"/>
              <w:spacing w:after="0"/>
              <w:rPr>
                <w:sz w:val="20"/>
                <w:szCs w:val="20"/>
                <w:color w:val="auto"/>
              </w:rPr>
            </w:pPr>
            <w:r>
              <w:rPr>
                <w:rFonts w:ascii="Arial" w:cs="Arial" w:eastAsia="Arial" w:hAnsi="Arial"/>
                <w:sz w:val="12"/>
                <w:szCs w:val="12"/>
                <w:color w:val="auto"/>
              </w:rPr>
              <w:t>Secretary</w:t>
            </w:r>
          </w:p>
        </w:tc>
        <w:tc>
          <w:tcPr>
            <w:tcW w:w="640" w:type="dxa"/>
            <w:vAlign w:val="bottom"/>
          </w:tcPr>
          <w:p>
            <w:pPr>
              <w:jc w:val="right"/>
              <w:ind w:right="38"/>
              <w:spacing w:after="0"/>
              <w:rPr>
                <w:sz w:val="20"/>
                <w:szCs w:val="20"/>
                <w:color w:val="auto"/>
              </w:rPr>
            </w:pPr>
            <w:r>
              <w:rPr>
                <w:rFonts w:ascii="Arial" w:cs="Arial" w:eastAsia="Arial" w:hAnsi="Arial"/>
                <w:sz w:val="12"/>
                <w:szCs w:val="12"/>
                <w:color w:val="auto"/>
              </w:rPr>
              <w:t>2023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619,423</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1,650,084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646,606</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401,386</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911</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71,948</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3,390,358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59690</wp:posOffset>
            </wp:positionV>
            <wp:extent cx="69297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For all NEOs, includes amounts deferred pursuant to the Company’s 401(k) Plan and Deferred Compensation Plan.</w:t>
      </w:r>
    </w:p>
    <w:p>
      <w:pPr>
        <w:spacing w:after="0" w:line="79" w:lineRule="exact"/>
        <w:rPr>
          <w:rFonts w:ascii="Arial" w:cs="Arial" w:eastAsia="Arial" w:hAnsi="Arial"/>
          <w:sz w:val="14"/>
          <w:szCs w:val="14"/>
          <w:color w:val="auto"/>
        </w:rPr>
      </w:pPr>
    </w:p>
    <w:p>
      <w:pPr>
        <w:ind w:left="600" w:right="40" w:hanging="433"/>
        <w:spacing w:after="0" w:line="281" w:lineRule="auto"/>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For Mr. Hight, reflects the payment of a sign-on bonus in connection with his offer of employment; the first half was paid in 2024 and the second half was paid in 2025. For Ms. Goetter, reflects the payment of a sign-on bonus in connection with her offer of employment in 2023.</w:t>
      </w:r>
    </w:p>
    <w:p>
      <w:pPr>
        <w:spacing w:after="0" w:line="24" w:lineRule="exact"/>
        <w:rPr>
          <w:rFonts w:ascii="Arial" w:cs="Arial" w:eastAsia="Arial" w:hAnsi="Arial"/>
          <w:sz w:val="14"/>
          <w:szCs w:val="14"/>
          <w:color w:val="auto"/>
        </w:rPr>
      </w:pPr>
    </w:p>
    <w:p>
      <w:pPr>
        <w:ind w:left="600" w:right="140" w:hanging="433"/>
        <w:spacing w:after="0" w:line="260" w:lineRule="auto"/>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Reflects the grant date fair value for stock and option awards to the Named Executive Officers. Please see note 16 to the financial statements included in the Company’s Annual Report on Form 10-K, for the year ended December 28, 2025, for a detailed discussion of assumptions used in valuing options and stock awards generally.</w:t>
      </w:r>
    </w:p>
    <w:p>
      <w:pPr>
        <w:spacing w:after="0" w:line="38" w:lineRule="exact"/>
        <w:rPr>
          <w:sz w:val="20"/>
          <w:szCs w:val="20"/>
          <w:color w:val="auto"/>
        </w:rPr>
      </w:pPr>
    </w:p>
    <w:p>
      <w:pPr>
        <w:ind w:left="600" w:right="300" w:hanging="433"/>
        <w:spacing w:after="0" w:line="247" w:lineRule="auto"/>
        <w:tabs>
          <w:tab w:leader="none" w:pos="6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grant date fair values included in the table for the PSU awards have been calculated based on the probable outcomes under such awards (assumed to be realization of the target values of such awards). If it were assumed that the maximum amount payable under each of the 2025 PSU awards were paid, which maximum is 250% of the target value provided financial metrics are achieved with applied relative TSR modifier, then the grant date fair values included under the stock award column for each of the named executive officers for performance shares would have been as follows: Mr. Cocks – $13,125,154; Ms. Goetter – $3,750,044; Mr. Hight – $2,265,724; Mr. Kilpin – $2,656,366; and Mr. Sibley – $1,968,895. This is in addition to the grant date fair value of the annual grant of restricted stock units for each Named Executive Officer.</w:t>
      </w:r>
    </w:p>
    <w:p>
      <w:pPr>
        <w:spacing w:after="0" w:line="49" w:lineRule="exact"/>
        <w:rPr>
          <w:sz w:val="20"/>
          <w:szCs w:val="20"/>
          <w:color w:val="auto"/>
        </w:rPr>
      </w:pPr>
    </w:p>
    <w:p>
      <w:pPr>
        <w:ind w:left="600" w:right="140" w:hanging="433"/>
        <w:spacing w:after="0" w:line="281" w:lineRule="auto"/>
        <w:tabs>
          <w:tab w:leader="none" w:pos="6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These amounts consist entirely of the annual incentive awards earned by such executives under the Company’s Performance Rewards Plan (Annual Incentive Plan) for the applicable year.</w:t>
      </w:r>
    </w:p>
    <w:p>
      <w:pPr>
        <w:spacing w:after="0" w:line="24" w:lineRule="exact"/>
        <w:rPr>
          <w:rFonts w:ascii="Arial" w:cs="Arial" w:eastAsia="Arial" w:hAnsi="Arial"/>
          <w:sz w:val="14"/>
          <w:szCs w:val="14"/>
          <w:color w:val="auto"/>
        </w:rPr>
      </w:pPr>
    </w:p>
    <w:p>
      <w:pPr>
        <w:ind w:left="600" w:right="80" w:hanging="433"/>
        <w:spacing w:after="0" w:line="281" w:lineRule="auto"/>
        <w:tabs>
          <w:tab w:leader="none" w:pos="6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Other than Mr. Sibley, no named executive officer has a benefit under the Pension Plan as the plan was frozen prior to the start of their tenures at Hasbro. Mr Sibley’s benefit under the Pension Plan did not change in value in 2025.</w:t>
      </w:r>
    </w:p>
    <w:p>
      <w:pPr>
        <w:spacing w:after="0" w:line="10"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No amounts earned on balances under the supplemental plan in 2025 are considered above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252095</wp:posOffset>
            </wp:positionV>
            <wp:extent cx="6964045" cy="39052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  40</w:t>
      </w:r>
    </w:p>
    <w:p>
      <w:pPr>
        <w:sectPr>
          <w:pgSz w:w="11900" w:h="16838" w:orient="portrait"/>
          <w:cols w:equalWidth="0" w:num="1">
            <w:col w:w="11080"/>
          </w:cols>
          <w:pgMar w:left="320" w:top="478"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600" w:hanging="433"/>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Does not include the following aggregate amounts, in fiscal 2025, 2024 and 2023, respectively, which were earned by the executives on the balance of</w:t>
      </w:r>
    </w:p>
    <w:p>
      <w:pPr>
        <w:spacing w:after="0" w:line="13" w:lineRule="exact"/>
        <w:rPr>
          <w:rFonts w:ascii="Arial" w:cs="Arial" w:eastAsia="Arial" w:hAnsi="Arial"/>
          <w:sz w:val="14"/>
          <w:szCs w:val="14"/>
          <w:color w:val="auto"/>
        </w:rPr>
      </w:pPr>
    </w:p>
    <w:p>
      <w:pPr>
        <w:ind w:left="600" w:right="420"/>
        <w:spacing w:after="0" w:line="260" w:lineRule="auto"/>
        <w:rPr>
          <w:rFonts w:ascii="Arial" w:cs="Arial" w:eastAsia="Arial" w:hAnsi="Arial"/>
          <w:sz w:val="14"/>
          <w:szCs w:val="14"/>
          <w:color w:val="auto"/>
        </w:rPr>
      </w:pPr>
      <w:r>
        <w:rPr>
          <w:rFonts w:ascii="Arial" w:cs="Arial" w:eastAsia="Arial" w:hAnsi="Arial"/>
          <w:sz w:val="14"/>
          <w:szCs w:val="14"/>
          <w:color w:val="auto"/>
        </w:rPr>
        <w:t>(i) compensation previously deferred by them under the Deferred Compensation Plan and (ii) amounts previously contributed by the Company to the executive’s account under the Supplemental Plan (401(k)):</w:t>
      </w:r>
    </w:p>
    <w:p>
      <w:pPr>
        <w:spacing w:after="0" w:line="208" w:lineRule="exact"/>
        <w:rPr>
          <w:sz w:val="20"/>
          <w:szCs w:val="20"/>
          <w:color w:val="auto"/>
        </w:rPr>
      </w:pPr>
    </w:p>
    <w:tbl>
      <w:tblPr>
        <w:tblLayout w:type="fixed"/>
        <w:tblInd w:w="600" w:type="dxa"/>
        <w:tblCellMar>
          <w:top w:w="0" w:type="dxa"/>
          <w:left w:w="0" w:type="dxa"/>
          <w:bottom w:w="0" w:type="dxa"/>
          <w:right w:w="0" w:type="dxa"/>
        </w:tblCellMar>
      </w:tblPr>
      <w:tr>
        <w:trPr>
          <w:trHeight w:val="218"/>
        </w:trPr>
        <w:tc>
          <w:tcPr>
            <w:tcW w:w="7760" w:type="dxa"/>
            <w:vAlign w:val="bottom"/>
            <w:shd w:val="clear" w:color="auto" w:fill="CCEBF8"/>
          </w:tcPr>
          <w:p>
            <w:pPr>
              <w:spacing w:after="0"/>
              <w:rPr>
                <w:sz w:val="20"/>
                <w:szCs w:val="20"/>
                <w:color w:val="auto"/>
              </w:rPr>
            </w:pPr>
            <w:r>
              <w:rPr>
                <w:rFonts w:ascii="Arial" w:cs="Arial" w:eastAsia="Arial" w:hAnsi="Arial"/>
                <w:sz w:val="14"/>
                <w:szCs w:val="14"/>
                <w:b w:val="1"/>
                <w:bCs w:val="1"/>
                <w:color w:val="009BDE"/>
              </w:rPr>
              <w:t>  Earnings on Deferred Compensation under Deferred Compensation Plan and</w:t>
            </w:r>
          </w:p>
        </w:tc>
        <w:tc>
          <w:tcPr>
            <w:tcW w:w="300" w:type="dxa"/>
            <w:vAlign w:val="bottom"/>
            <w:shd w:val="clear" w:color="auto" w:fill="CCEBF8"/>
          </w:tcPr>
          <w:p>
            <w:pPr>
              <w:spacing w:after="0"/>
              <w:rPr>
                <w:sz w:val="18"/>
                <w:szCs w:val="18"/>
                <w:color w:val="auto"/>
              </w:rPr>
            </w:pPr>
          </w:p>
        </w:tc>
        <w:tc>
          <w:tcPr>
            <w:tcW w:w="660" w:type="dxa"/>
            <w:vAlign w:val="bottom"/>
            <w:shd w:val="clear" w:color="auto" w:fill="CCEBF8"/>
          </w:tcPr>
          <w:p>
            <w:pPr>
              <w:spacing w:after="0"/>
              <w:rPr>
                <w:sz w:val="18"/>
                <w:szCs w:val="18"/>
                <w:color w:val="auto"/>
              </w:rPr>
            </w:pPr>
          </w:p>
        </w:tc>
        <w:tc>
          <w:tcPr>
            <w:tcW w:w="240" w:type="dxa"/>
            <w:vAlign w:val="bottom"/>
            <w:shd w:val="clear" w:color="auto" w:fill="CCEBF8"/>
          </w:tcPr>
          <w:p>
            <w:pPr>
              <w:spacing w:after="0"/>
              <w:rPr>
                <w:sz w:val="18"/>
                <w:szCs w:val="18"/>
                <w:color w:val="auto"/>
              </w:rPr>
            </w:pPr>
          </w:p>
        </w:tc>
        <w:tc>
          <w:tcPr>
            <w:tcW w:w="660" w:type="dxa"/>
            <w:vAlign w:val="bottom"/>
            <w:shd w:val="clear" w:color="auto" w:fill="CCEBF8"/>
          </w:tcPr>
          <w:p>
            <w:pPr>
              <w:spacing w:after="0"/>
              <w:rPr>
                <w:sz w:val="18"/>
                <w:szCs w:val="18"/>
                <w:color w:val="auto"/>
              </w:rPr>
            </w:pPr>
          </w:p>
        </w:tc>
        <w:tc>
          <w:tcPr>
            <w:tcW w:w="200" w:type="dxa"/>
            <w:vAlign w:val="bottom"/>
            <w:shd w:val="clear" w:color="auto" w:fill="CCEBF8"/>
          </w:tcPr>
          <w:p>
            <w:pPr>
              <w:spacing w:after="0"/>
              <w:rPr>
                <w:sz w:val="18"/>
                <w:szCs w:val="18"/>
                <w:color w:val="auto"/>
              </w:rPr>
            </w:pPr>
          </w:p>
        </w:tc>
        <w:tc>
          <w:tcPr>
            <w:tcW w:w="660" w:type="dxa"/>
            <w:vAlign w:val="bottom"/>
            <w:shd w:val="clear" w:color="auto" w:fill="CCEBF8"/>
          </w:tcPr>
          <w:p>
            <w:pPr>
              <w:spacing w:after="0"/>
              <w:rPr>
                <w:sz w:val="18"/>
                <w:szCs w:val="18"/>
                <w:color w:val="auto"/>
              </w:rPr>
            </w:pPr>
          </w:p>
        </w:tc>
      </w:tr>
      <w:tr>
        <w:trPr>
          <w:trHeight w:val="242"/>
        </w:trPr>
        <w:tc>
          <w:tcPr>
            <w:tcW w:w="7760" w:type="dxa"/>
            <w:vAlign w:val="bottom"/>
            <w:tcBorders>
              <w:bottom w:val="single" w:sz="8" w:color="CCEBF8"/>
            </w:tcBorders>
            <w:shd w:val="clear" w:color="auto" w:fill="CCEBF8"/>
          </w:tcPr>
          <w:p>
            <w:pPr>
              <w:spacing w:after="0"/>
              <w:rPr>
                <w:sz w:val="20"/>
                <w:szCs w:val="20"/>
                <w:color w:val="auto"/>
              </w:rPr>
            </w:pPr>
            <w:r>
              <w:rPr>
                <w:rFonts w:ascii="Arial" w:cs="Arial" w:eastAsia="Arial" w:hAnsi="Arial"/>
                <w:sz w:val="14"/>
                <w:szCs w:val="14"/>
                <w:b w:val="1"/>
                <w:bCs w:val="1"/>
                <w:color w:val="009BDE"/>
              </w:rPr>
              <w:t>  Amounts contributed under Supplemental Plan</w:t>
            </w:r>
          </w:p>
        </w:tc>
        <w:tc>
          <w:tcPr>
            <w:tcW w:w="300" w:type="dxa"/>
            <w:vAlign w:val="bottom"/>
            <w:tcBorders>
              <w:bottom w:val="single" w:sz="8" w:color="CCEBF8"/>
            </w:tcBorders>
            <w:shd w:val="clear" w:color="auto" w:fill="CCEBF8"/>
          </w:tcPr>
          <w:p>
            <w:pPr>
              <w:spacing w:after="0"/>
              <w:rPr>
                <w:sz w:val="20"/>
                <w:szCs w:val="20"/>
                <w:color w:val="auto"/>
              </w:rPr>
            </w:pPr>
          </w:p>
        </w:tc>
        <w:tc>
          <w:tcPr>
            <w:tcW w:w="660" w:type="dxa"/>
            <w:vAlign w:val="bottom"/>
            <w:tcBorders>
              <w:bottom w:val="single" w:sz="8" w:color="CCEBF8"/>
            </w:tcBorders>
            <w:shd w:val="clear" w:color="auto" w:fill="CCEBF8"/>
          </w:tcPr>
          <w:p>
            <w:pPr>
              <w:jc w:val="right"/>
              <w:ind w:right="209"/>
              <w:spacing w:after="0"/>
              <w:rPr>
                <w:sz w:val="20"/>
                <w:szCs w:val="20"/>
                <w:color w:val="auto"/>
              </w:rPr>
            </w:pPr>
            <w:r>
              <w:rPr>
                <w:rFonts w:ascii="Arial" w:cs="Arial" w:eastAsia="Arial" w:hAnsi="Arial"/>
                <w:sz w:val="14"/>
                <w:szCs w:val="14"/>
                <w:b w:val="1"/>
                <w:bCs w:val="1"/>
                <w:color w:val="009BDE"/>
              </w:rPr>
              <w:t>2025</w:t>
            </w:r>
          </w:p>
        </w:tc>
        <w:tc>
          <w:tcPr>
            <w:tcW w:w="240" w:type="dxa"/>
            <w:vAlign w:val="bottom"/>
            <w:tcBorders>
              <w:bottom w:val="single" w:sz="8" w:color="CCEBF8"/>
            </w:tcBorders>
            <w:shd w:val="clear" w:color="auto" w:fill="CCEBF8"/>
          </w:tcPr>
          <w:p>
            <w:pPr>
              <w:spacing w:after="0"/>
              <w:rPr>
                <w:sz w:val="20"/>
                <w:szCs w:val="20"/>
                <w:color w:val="auto"/>
              </w:rPr>
            </w:pPr>
          </w:p>
        </w:tc>
        <w:tc>
          <w:tcPr>
            <w:tcW w:w="660" w:type="dxa"/>
            <w:vAlign w:val="bottom"/>
            <w:tcBorders>
              <w:bottom w:val="single" w:sz="8" w:color="CCEBF8"/>
            </w:tcBorders>
            <w:shd w:val="clear" w:color="auto" w:fill="CCEBF8"/>
          </w:tcPr>
          <w:p>
            <w:pPr>
              <w:jc w:val="right"/>
              <w:ind w:right="209"/>
              <w:spacing w:after="0"/>
              <w:rPr>
                <w:sz w:val="20"/>
                <w:szCs w:val="20"/>
                <w:color w:val="auto"/>
              </w:rPr>
            </w:pPr>
            <w:r>
              <w:rPr>
                <w:rFonts w:ascii="Arial" w:cs="Arial" w:eastAsia="Arial" w:hAnsi="Arial"/>
                <w:sz w:val="14"/>
                <w:szCs w:val="14"/>
                <w:b w:val="1"/>
                <w:bCs w:val="1"/>
                <w:color w:val="009BDE"/>
              </w:rPr>
              <w:t>2024</w:t>
            </w:r>
          </w:p>
        </w:tc>
        <w:tc>
          <w:tcPr>
            <w:tcW w:w="200" w:type="dxa"/>
            <w:vAlign w:val="bottom"/>
            <w:tcBorders>
              <w:bottom w:val="single" w:sz="8" w:color="CCEBF8"/>
            </w:tcBorders>
            <w:shd w:val="clear" w:color="auto" w:fill="CCEBF8"/>
          </w:tcPr>
          <w:p>
            <w:pPr>
              <w:spacing w:after="0"/>
              <w:rPr>
                <w:sz w:val="20"/>
                <w:szCs w:val="20"/>
                <w:color w:val="auto"/>
              </w:rPr>
            </w:pPr>
          </w:p>
        </w:tc>
        <w:tc>
          <w:tcPr>
            <w:tcW w:w="660" w:type="dxa"/>
            <w:vAlign w:val="bottom"/>
            <w:tcBorders>
              <w:bottom w:val="single" w:sz="8" w:color="CCEBF8"/>
            </w:tcBorders>
            <w:shd w:val="clear" w:color="auto" w:fill="CCEBF8"/>
          </w:tcPr>
          <w:p>
            <w:pPr>
              <w:jc w:val="right"/>
              <w:ind w:right="209"/>
              <w:spacing w:after="0"/>
              <w:rPr>
                <w:sz w:val="20"/>
                <w:szCs w:val="20"/>
                <w:color w:val="auto"/>
              </w:rPr>
            </w:pPr>
            <w:r>
              <w:rPr>
                <w:rFonts w:ascii="Arial" w:cs="Arial" w:eastAsia="Arial" w:hAnsi="Arial"/>
                <w:sz w:val="14"/>
                <w:szCs w:val="14"/>
                <w:b w:val="1"/>
                <w:bCs w:val="1"/>
                <w:color w:val="009BDE"/>
              </w:rPr>
              <w:t>2023</w:t>
            </w:r>
          </w:p>
        </w:tc>
      </w:tr>
      <w:tr>
        <w:trPr>
          <w:trHeight w:val="240"/>
        </w:trPr>
        <w:tc>
          <w:tcPr>
            <w:tcW w:w="7760" w:type="dxa"/>
            <w:vAlign w:val="bottom"/>
            <w:tcBorders>
              <w:top w:val="single" w:sz="8" w:color="009BDE"/>
            </w:tcBorders>
          </w:tcPr>
          <w:p>
            <w:pPr>
              <w:ind w:left="80"/>
              <w:spacing w:after="0"/>
              <w:rPr>
                <w:sz w:val="20"/>
                <w:szCs w:val="20"/>
                <w:color w:val="auto"/>
              </w:rPr>
            </w:pPr>
            <w:r>
              <w:rPr>
                <w:rFonts w:ascii="Arial" w:cs="Arial" w:eastAsia="Arial" w:hAnsi="Arial"/>
                <w:sz w:val="14"/>
                <w:szCs w:val="14"/>
                <w:color w:val="auto"/>
              </w:rPr>
              <w:t>Chris Cocks</w:t>
            </w:r>
          </w:p>
        </w:tc>
        <w:tc>
          <w:tcPr>
            <w:tcW w:w="300" w:type="dxa"/>
            <w:vAlign w:val="bottom"/>
            <w:tcBorders>
              <w:top w:val="single" w:sz="8" w:color="009BDE"/>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009BDE"/>
            </w:tcBorders>
          </w:tcPr>
          <w:p>
            <w:pPr>
              <w:jc w:val="right"/>
              <w:ind w:right="49"/>
              <w:spacing w:after="0"/>
              <w:rPr>
                <w:sz w:val="20"/>
                <w:szCs w:val="20"/>
                <w:color w:val="auto"/>
              </w:rPr>
            </w:pPr>
            <w:r>
              <w:rPr>
                <w:rFonts w:ascii="Arial" w:cs="Arial" w:eastAsia="Arial" w:hAnsi="Arial"/>
                <w:sz w:val="14"/>
                <w:szCs w:val="14"/>
                <w:color w:val="auto"/>
              </w:rPr>
              <w:t>547,518</w:t>
            </w:r>
          </w:p>
        </w:tc>
        <w:tc>
          <w:tcPr>
            <w:tcW w:w="240" w:type="dxa"/>
            <w:vAlign w:val="bottom"/>
            <w:tcBorders>
              <w:top w:val="single" w:sz="8" w:color="009BDE"/>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009BDE"/>
            </w:tcBorders>
          </w:tcPr>
          <w:p>
            <w:pPr>
              <w:jc w:val="right"/>
              <w:ind w:right="49"/>
              <w:spacing w:after="0"/>
              <w:rPr>
                <w:sz w:val="20"/>
                <w:szCs w:val="20"/>
                <w:color w:val="auto"/>
              </w:rPr>
            </w:pPr>
            <w:r>
              <w:rPr>
                <w:rFonts w:ascii="Arial" w:cs="Arial" w:eastAsia="Arial" w:hAnsi="Arial"/>
                <w:sz w:val="14"/>
                <w:szCs w:val="14"/>
                <w:color w:val="auto"/>
              </w:rPr>
              <w:t>520,853</w:t>
            </w:r>
          </w:p>
        </w:tc>
        <w:tc>
          <w:tcPr>
            <w:tcW w:w="200" w:type="dxa"/>
            <w:vAlign w:val="bottom"/>
            <w:tcBorders>
              <w:top w:val="single" w:sz="8" w:color="009BDE"/>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009BDE"/>
            </w:tcBorders>
          </w:tcPr>
          <w:p>
            <w:pPr>
              <w:jc w:val="right"/>
              <w:ind w:right="29"/>
              <w:spacing w:after="0"/>
              <w:rPr>
                <w:sz w:val="20"/>
                <w:szCs w:val="20"/>
                <w:color w:val="auto"/>
              </w:rPr>
            </w:pPr>
            <w:r>
              <w:rPr>
                <w:rFonts w:ascii="Arial" w:cs="Arial" w:eastAsia="Arial" w:hAnsi="Arial"/>
                <w:sz w:val="14"/>
                <w:szCs w:val="14"/>
                <w:color w:val="auto"/>
              </w:rPr>
              <w:t>369,347</w:t>
            </w:r>
          </w:p>
        </w:tc>
      </w:tr>
      <w:tr>
        <w:trPr>
          <w:trHeight w:val="61"/>
        </w:trPr>
        <w:tc>
          <w:tcPr>
            <w:tcW w:w="776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20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r>
      <w:tr>
        <w:trPr>
          <w:trHeight w:val="240"/>
        </w:trPr>
        <w:tc>
          <w:tcPr>
            <w:tcW w:w="7760" w:type="dxa"/>
            <w:vAlign w:val="bottom"/>
          </w:tcPr>
          <w:p>
            <w:pPr>
              <w:ind w:left="80"/>
              <w:spacing w:after="0"/>
              <w:rPr>
                <w:sz w:val="20"/>
                <w:szCs w:val="20"/>
                <w:color w:val="auto"/>
              </w:rPr>
            </w:pPr>
            <w:r>
              <w:rPr>
                <w:rFonts w:ascii="Arial" w:cs="Arial" w:eastAsia="Arial" w:hAnsi="Arial"/>
                <w:sz w:val="14"/>
                <w:szCs w:val="14"/>
                <w:color w:val="auto"/>
              </w:rPr>
              <w:t>Gina Goetter</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3,332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285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61"/>
        </w:trPr>
        <w:tc>
          <w:tcPr>
            <w:tcW w:w="776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20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r>
      <w:tr>
        <w:trPr>
          <w:trHeight w:val="240"/>
        </w:trPr>
        <w:tc>
          <w:tcPr>
            <w:tcW w:w="7760" w:type="dxa"/>
            <w:vAlign w:val="bottom"/>
          </w:tcPr>
          <w:p>
            <w:pPr>
              <w:ind w:left="80"/>
              <w:spacing w:after="0"/>
              <w:rPr>
                <w:sz w:val="20"/>
                <w:szCs w:val="20"/>
                <w:color w:val="auto"/>
              </w:rPr>
            </w:pPr>
            <w:r>
              <w:rPr>
                <w:rFonts w:ascii="Arial" w:cs="Arial" w:eastAsia="Arial" w:hAnsi="Arial"/>
                <w:sz w:val="14"/>
                <w:szCs w:val="14"/>
                <w:color w:val="auto"/>
              </w:rPr>
              <w:t>John Hight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25,956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61"/>
        </w:trPr>
        <w:tc>
          <w:tcPr>
            <w:tcW w:w="776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20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r>
      <w:tr>
        <w:trPr>
          <w:trHeight w:val="240"/>
        </w:trPr>
        <w:tc>
          <w:tcPr>
            <w:tcW w:w="7760" w:type="dxa"/>
            <w:vAlign w:val="bottom"/>
          </w:tcPr>
          <w:p>
            <w:pPr>
              <w:ind w:left="80"/>
              <w:spacing w:after="0"/>
              <w:rPr>
                <w:sz w:val="20"/>
                <w:szCs w:val="20"/>
                <w:color w:val="auto"/>
              </w:rPr>
            </w:pPr>
            <w:r>
              <w:rPr>
                <w:rFonts w:ascii="Arial" w:cs="Arial" w:eastAsia="Arial" w:hAnsi="Arial"/>
                <w:sz w:val="14"/>
                <w:szCs w:val="14"/>
                <w:color w:val="auto"/>
              </w:rPr>
              <w:t>Tim Kilpin</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11,574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4,877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1,399</w:t>
            </w:r>
          </w:p>
        </w:tc>
      </w:tr>
      <w:tr>
        <w:trPr>
          <w:trHeight w:val="61"/>
        </w:trPr>
        <w:tc>
          <w:tcPr>
            <w:tcW w:w="776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20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r>
      <w:tr>
        <w:trPr>
          <w:trHeight w:val="240"/>
        </w:trPr>
        <w:tc>
          <w:tcPr>
            <w:tcW w:w="7760" w:type="dxa"/>
            <w:vAlign w:val="bottom"/>
          </w:tcPr>
          <w:p>
            <w:pPr>
              <w:ind w:left="80"/>
              <w:spacing w:after="0"/>
              <w:rPr>
                <w:sz w:val="20"/>
                <w:szCs w:val="20"/>
                <w:color w:val="auto"/>
              </w:rPr>
            </w:pPr>
            <w:r>
              <w:rPr>
                <w:rFonts w:ascii="Arial" w:cs="Arial" w:eastAsia="Arial" w:hAnsi="Arial"/>
                <w:sz w:val="14"/>
                <w:szCs w:val="14"/>
                <w:color w:val="auto"/>
              </w:rPr>
              <w:t>Tarrant Sibley</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28,810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25,635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19,754</w:t>
            </w:r>
          </w:p>
        </w:tc>
      </w:tr>
      <w:tr>
        <w:trPr>
          <w:trHeight w:val="61"/>
        </w:trPr>
        <w:tc>
          <w:tcPr>
            <w:tcW w:w="7760" w:type="dxa"/>
            <w:vAlign w:val="bottom"/>
            <w:tcBorders>
              <w:bottom w:val="single" w:sz="8" w:color="009BDE"/>
            </w:tcBorders>
          </w:tcPr>
          <w:p>
            <w:pPr>
              <w:spacing w:after="0"/>
              <w:rPr>
                <w:sz w:val="5"/>
                <w:szCs w:val="5"/>
                <w:color w:val="auto"/>
              </w:rPr>
            </w:pPr>
          </w:p>
        </w:tc>
        <w:tc>
          <w:tcPr>
            <w:tcW w:w="30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c>
          <w:tcPr>
            <w:tcW w:w="200" w:type="dxa"/>
            <w:vAlign w:val="bottom"/>
            <w:tcBorders>
              <w:bottom w:val="single" w:sz="8" w:color="009BDE"/>
            </w:tcBorders>
          </w:tcPr>
          <w:p>
            <w:pPr>
              <w:spacing w:after="0"/>
              <w:rPr>
                <w:sz w:val="5"/>
                <w:szCs w:val="5"/>
                <w:color w:val="auto"/>
              </w:rPr>
            </w:pPr>
          </w:p>
        </w:tc>
        <w:tc>
          <w:tcPr>
            <w:tcW w:w="660" w:type="dxa"/>
            <w:vAlign w:val="bottom"/>
            <w:tcBorders>
              <w:bottom w:val="single" w:sz="8" w:color="009BDE"/>
            </w:tcBorders>
          </w:tcPr>
          <w:p>
            <w:pPr>
              <w:spacing w:after="0"/>
              <w:rPr>
                <w:sz w:val="5"/>
                <w:szCs w:val="5"/>
                <w:color w:val="auto"/>
              </w:rPr>
            </w:pPr>
          </w:p>
        </w:tc>
      </w:tr>
    </w:tbl>
    <w:p>
      <w:pPr>
        <w:spacing w:after="0" w:line="138" w:lineRule="exact"/>
        <w:rPr>
          <w:sz w:val="20"/>
          <w:szCs w:val="20"/>
          <w:color w:val="auto"/>
        </w:rPr>
      </w:pPr>
    </w:p>
    <w:p>
      <w:pPr>
        <w:ind w:left="600" w:right="60" w:hanging="433"/>
        <w:spacing w:after="0" w:line="281"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Earnings on compensation previously deferred by the executive officers and on the Company’s prior contributions to the Supplemental Plan do not exceed the market returns on the relevant investments which are earned by other participants selecting the same investment options.</w:t>
      </w:r>
    </w:p>
    <w:p>
      <w:pPr>
        <w:spacing w:after="0" w:line="24" w:lineRule="exact"/>
        <w:rPr>
          <w:sz w:val="20"/>
          <w:szCs w:val="20"/>
          <w:color w:val="auto"/>
        </w:rPr>
      </w:pPr>
    </w:p>
    <w:p>
      <w:pPr>
        <w:ind w:left="600" w:right="300" w:hanging="433"/>
        <w:spacing w:after="0" w:line="281" w:lineRule="auto"/>
        <w:tabs>
          <w:tab w:leader="none" w:pos="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the following amounts for fiscal 2025, 2024 and 2023, respectively, paid by the Company for each Named Executive Officer in connection with a program whereby certain financial planning, legal and tax preparation services provided to the individual are paid for by the Company:</w:t>
      </w:r>
    </w:p>
    <w:p>
      <w:pPr>
        <w:spacing w:after="0" w:line="194" w:lineRule="exact"/>
        <w:rPr>
          <w:sz w:val="20"/>
          <w:szCs w:val="20"/>
          <w:color w:val="auto"/>
        </w:rPr>
      </w:pPr>
    </w:p>
    <w:tbl>
      <w:tblPr>
        <w:tblLayout w:type="fixed"/>
        <w:tblInd w:w="600" w:type="dxa"/>
        <w:tblCellMar>
          <w:top w:w="0" w:type="dxa"/>
          <w:left w:w="0" w:type="dxa"/>
          <w:bottom w:w="0" w:type="dxa"/>
          <w:right w:w="0" w:type="dxa"/>
        </w:tblCellMar>
      </w:tblPr>
      <w:tr>
        <w:trPr>
          <w:trHeight w:val="286"/>
        </w:trPr>
        <w:tc>
          <w:tcPr>
            <w:tcW w:w="8420" w:type="dxa"/>
            <w:vAlign w:val="bottom"/>
            <w:tcBorders>
              <w:bottom w:val="single" w:sz="8" w:color="CCEBF8"/>
            </w:tcBorders>
            <w:shd w:val="clear" w:color="auto" w:fill="CCEBF8"/>
          </w:tcPr>
          <w:p>
            <w:pPr>
              <w:spacing w:after="0"/>
              <w:rPr>
                <w:sz w:val="20"/>
                <w:szCs w:val="20"/>
                <w:color w:val="auto"/>
              </w:rPr>
            </w:pPr>
            <w:r>
              <w:rPr>
                <w:rFonts w:ascii="Arial" w:cs="Arial" w:eastAsia="Arial" w:hAnsi="Arial"/>
                <w:sz w:val="14"/>
                <w:szCs w:val="14"/>
                <w:b w:val="1"/>
                <w:bCs w:val="1"/>
                <w:color w:val="009BDE"/>
              </w:rPr>
              <w:t>  Financial Planning, Legal and Tax Preparation Services</w:t>
            </w:r>
          </w:p>
        </w:tc>
        <w:tc>
          <w:tcPr>
            <w:tcW w:w="760" w:type="dxa"/>
            <w:vAlign w:val="bottom"/>
            <w:tcBorders>
              <w:bottom w:val="single" w:sz="8" w:color="CCEBF8"/>
            </w:tcBorders>
            <w:gridSpan w:val="2"/>
            <w:shd w:val="clear" w:color="auto" w:fill="CCEBF8"/>
          </w:tcPr>
          <w:p>
            <w:pPr>
              <w:jc w:val="right"/>
              <w:ind w:right="109"/>
              <w:spacing w:after="0"/>
              <w:rPr>
                <w:sz w:val="20"/>
                <w:szCs w:val="20"/>
                <w:color w:val="auto"/>
              </w:rPr>
            </w:pPr>
            <w:r>
              <w:rPr>
                <w:rFonts w:ascii="Arial" w:cs="Arial" w:eastAsia="Arial" w:hAnsi="Arial"/>
                <w:sz w:val="14"/>
                <w:szCs w:val="14"/>
                <w:b w:val="1"/>
                <w:bCs w:val="1"/>
                <w:color w:val="009BDE"/>
              </w:rPr>
              <w:t>2025</w:t>
            </w:r>
          </w:p>
        </w:tc>
        <w:tc>
          <w:tcPr>
            <w:tcW w:w="200" w:type="dxa"/>
            <w:vAlign w:val="bottom"/>
            <w:tcBorders>
              <w:bottom w:val="single" w:sz="8" w:color="CCEBF8"/>
            </w:tcBorders>
            <w:shd w:val="clear" w:color="auto" w:fill="CCEBF8"/>
          </w:tcPr>
          <w:p>
            <w:pPr>
              <w:spacing w:after="0"/>
              <w:rPr>
                <w:sz w:val="24"/>
                <w:szCs w:val="24"/>
                <w:color w:val="auto"/>
              </w:rPr>
            </w:pPr>
          </w:p>
        </w:tc>
        <w:tc>
          <w:tcPr>
            <w:tcW w:w="500" w:type="dxa"/>
            <w:vAlign w:val="bottom"/>
            <w:tcBorders>
              <w:bottom w:val="single" w:sz="8" w:color="CCEBF8"/>
            </w:tcBorders>
            <w:shd w:val="clear" w:color="auto" w:fill="CCEBF8"/>
          </w:tcPr>
          <w:p>
            <w:pPr>
              <w:jc w:val="right"/>
              <w:ind w:right="89"/>
              <w:spacing w:after="0"/>
              <w:rPr>
                <w:sz w:val="20"/>
                <w:szCs w:val="20"/>
                <w:color w:val="auto"/>
              </w:rPr>
            </w:pPr>
            <w:r>
              <w:rPr>
                <w:rFonts w:ascii="Arial" w:cs="Arial" w:eastAsia="Arial" w:hAnsi="Arial"/>
                <w:sz w:val="14"/>
                <w:szCs w:val="14"/>
                <w:b w:val="1"/>
                <w:bCs w:val="1"/>
                <w:color w:val="009BDE"/>
              </w:rPr>
              <w:t>2024</w:t>
            </w:r>
          </w:p>
        </w:tc>
        <w:tc>
          <w:tcPr>
            <w:tcW w:w="600" w:type="dxa"/>
            <w:vAlign w:val="bottom"/>
            <w:tcBorders>
              <w:bottom w:val="single" w:sz="8" w:color="CCEBF8"/>
            </w:tcBorders>
            <w:gridSpan w:val="2"/>
            <w:shd w:val="clear" w:color="auto" w:fill="CCEBF8"/>
          </w:tcPr>
          <w:p>
            <w:pPr>
              <w:jc w:val="right"/>
              <w:ind w:right="89"/>
              <w:spacing w:after="0"/>
              <w:rPr>
                <w:sz w:val="20"/>
                <w:szCs w:val="20"/>
                <w:color w:val="auto"/>
              </w:rPr>
            </w:pPr>
            <w:r>
              <w:rPr>
                <w:rFonts w:ascii="Arial" w:cs="Arial" w:eastAsia="Arial" w:hAnsi="Arial"/>
                <w:sz w:val="14"/>
                <w:szCs w:val="14"/>
                <w:b w:val="1"/>
                <w:bCs w:val="1"/>
                <w:color w:val="009BDE"/>
              </w:rPr>
              <w:t>2023</w:t>
            </w:r>
          </w:p>
        </w:tc>
      </w:tr>
      <w:tr>
        <w:trPr>
          <w:trHeight w:val="240"/>
        </w:trPr>
        <w:tc>
          <w:tcPr>
            <w:tcW w:w="8420" w:type="dxa"/>
            <w:vAlign w:val="bottom"/>
            <w:tcBorders>
              <w:top w:val="single" w:sz="8" w:color="009BDE"/>
            </w:tcBorders>
          </w:tcPr>
          <w:p>
            <w:pPr>
              <w:ind w:left="80"/>
              <w:spacing w:after="0"/>
              <w:rPr>
                <w:sz w:val="20"/>
                <w:szCs w:val="20"/>
                <w:color w:val="auto"/>
              </w:rPr>
            </w:pPr>
            <w:r>
              <w:rPr>
                <w:rFonts w:ascii="Arial" w:cs="Arial" w:eastAsia="Arial" w:hAnsi="Arial"/>
                <w:sz w:val="14"/>
                <w:szCs w:val="14"/>
                <w:color w:val="auto"/>
              </w:rPr>
              <w:t>Chris Cocks</w:t>
            </w:r>
          </w:p>
        </w:tc>
        <w:tc>
          <w:tcPr>
            <w:tcW w:w="280" w:type="dxa"/>
            <w:vAlign w:val="bottom"/>
            <w:tcBorders>
              <w:top w:val="single" w:sz="8" w:color="009BDE"/>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009BDE"/>
            </w:tcBorders>
          </w:tcPr>
          <w:p>
            <w:pPr>
              <w:jc w:val="right"/>
              <w:ind w:right="49"/>
              <w:spacing w:after="0"/>
              <w:rPr>
                <w:sz w:val="20"/>
                <w:szCs w:val="20"/>
                <w:color w:val="auto"/>
              </w:rPr>
            </w:pPr>
            <w:r>
              <w:rPr>
                <w:rFonts w:ascii="Arial" w:cs="Arial" w:eastAsia="Arial" w:hAnsi="Arial"/>
                <w:sz w:val="14"/>
                <w:szCs w:val="14"/>
                <w:color w:val="auto"/>
                <w:w w:val="96"/>
              </w:rPr>
              <w:t>3,750</w:t>
            </w:r>
          </w:p>
        </w:tc>
        <w:tc>
          <w:tcPr>
            <w:tcW w:w="200" w:type="dxa"/>
            <w:vAlign w:val="bottom"/>
            <w:tcBorders>
              <w:top w:val="single" w:sz="8" w:color="009BDE"/>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009BDE"/>
            </w:tcBorders>
          </w:tcPr>
          <w:p>
            <w:pPr>
              <w:jc w:val="right"/>
              <w:spacing w:after="0"/>
              <w:rPr>
                <w:sz w:val="20"/>
                <w:szCs w:val="20"/>
                <w:color w:val="auto"/>
              </w:rPr>
            </w:pPr>
            <w:r>
              <w:rPr>
                <w:rFonts w:ascii="Arial" w:cs="Arial" w:eastAsia="Arial" w:hAnsi="Arial"/>
                <w:sz w:val="14"/>
                <w:szCs w:val="14"/>
                <w:color w:val="auto"/>
                <w:w w:val="97"/>
              </w:rPr>
              <w:t>11,181</w:t>
            </w:r>
          </w:p>
        </w:tc>
        <w:tc>
          <w:tcPr>
            <w:tcW w:w="140" w:type="dxa"/>
            <w:vAlign w:val="bottom"/>
            <w:tcBorders>
              <w:top w:val="single" w:sz="8" w:color="009BDE"/>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009BDE"/>
            </w:tcBorders>
          </w:tcPr>
          <w:p>
            <w:pPr>
              <w:jc w:val="right"/>
              <w:ind w:right="29"/>
              <w:spacing w:after="0"/>
              <w:rPr>
                <w:sz w:val="20"/>
                <w:szCs w:val="20"/>
                <w:color w:val="auto"/>
              </w:rPr>
            </w:pPr>
            <w:r>
              <w:rPr>
                <w:rFonts w:ascii="Arial" w:cs="Arial" w:eastAsia="Arial" w:hAnsi="Arial"/>
                <w:sz w:val="14"/>
                <w:szCs w:val="14"/>
                <w:color w:val="auto"/>
                <w:w w:val="96"/>
              </w:rPr>
              <w:t>3,275</w:t>
            </w:r>
          </w:p>
        </w:tc>
      </w:tr>
      <w:tr>
        <w:trPr>
          <w:trHeight w:val="61"/>
        </w:trPr>
        <w:tc>
          <w:tcPr>
            <w:tcW w:w="84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20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r>
      <w:tr>
        <w:trPr>
          <w:trHeight w:val="240"/>
        </w:trPr>
        <w:tc>
          <w:tcPr>
            <w:tcW w:w="8420" w:type="dxa"/>
            <w:vAlign w:val="bottom"/>
          </w:tcPr>
          <w:p>
            <w:pPr>
              <w:ind w:left="80"/>
              <w:spacing w:after="0"/>
              <w:rPr>
                <w:sz w:val="20"/>
                <w:szCs w:val="20"/>
                <w:color w:val="auto"/>
              </w:rPr>
            </w:pPr>
            <w:r>
              <w:rPr>
                <w:rFonts w:ascii="Arial" w:cs="Arial" w:eastAsia="Arial" w:hAnsi="Arial"/>
                <w:sz w:val="14"/>
                <w:szCs w:val="14"/>
                <w:color w:val="auto"/>
              </w:rPr>
              <w:t>Gina Goetter</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9"/>
              <w:spacing w:after="0"/>
              <w:rPr>
                <w:sz w:val="20"/>
                <w:szCs w:val="20"/>
                <w:color w:val="auto"/>
              </w:rPr>
            </w:pPr>
            <w:r>
              <w:rPr>
                <w:rFonts w:ascii="Arial" w:cs="Arial" w:eastAsia="Arial" w:hAnsi="Arial"/>
                <w:sz w:val="14"/>
                <w:szCs w:val="14"/>
                <w:color w:val="auto"/>
                <w:w w:val="96"/>
              </w:rPr>
              <w:t>1,949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61"/>
        </w:trPr>
        <w:tc>
          <w:tcPr>
            <w:tcW w:w="84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20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r>
      <w:tr>
        <w:trPr>
          <w:trHeight w:val="240"/>
        </w:trPr>
        <w:tc>
          <w:tcPr>
            <w:tcW w:w="8420" w:type="dxa"/>
            <w:vAlign w:val="bottom"/>
          </w:tcPr>
          <w:p>
            <w:pPr>
              <w:ind w:left="80"/>
              <w:spacing w:after="0"/>
              <w:rPr>
                <w:sz w:val="20"/>
                <w:szCs w:val="20"/>
                <w:color w:val="auto"/>
              </w:rPr>
            </w:pPr>
            <w:r>
              <w:rPr>
                <w:rFonts w:ascii="Arial" w:cs="Arial" w:eastAsia="Arial" w:hAnsi="Arial"/>
                <w:sz w:val="14"/>
                <w:szCs w:val="14"/>
                <w:color w:val="auto"/>
              </w:rPr>
              <w:t>John Hight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61"/>
        </w:trPr>
        <w:tc>
          <w:tcPr>
            <w:tcW w:w="84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20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r>
      <w:tr>
        <w:trPr>
          <w:trHeight w:val="240"/>
        </w:trPr>
        <w:tc>
          <w:tcPr>
            <w:tcW w:w="8420" w:type="dxa"/>
            <w:vAlign w:val="bottom"/>
          </w:tcPr>
          <w:p>
            <w:pPr>
              <w:ind w:left="80"/>
              <w:spacing w:after="0"/>
              <w:rPr>
                <w:sz w:val="20"/>
                <w:szCs w:val="20"/>
                <w:color w:val="auto"/>
              </w:rPr>
            </w:pPr>
            <w:r>
              <w:rPr>
                <w:rFonts w:ascii="Arial" w:cs="Arial" w:eastAsia="Arial" w:hAnsi="Arial"/>
                <w:sz w:val="14"/>
                <w:szCs w:val="14"/>
                <w:color w:val="auto"/>
              </w:rPr>
              <w:t>Tim Kilpin</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9"/>
              <w:spacing w:after="0"/>
              <w:rPr>
                <w:sz w:val="20"/>
                <w:szCs w:val="20"/>
                <w:color w:val="auto"/>
              </w:rPr>
            </w:pPr>
            <w:r>
              <w:rPr>
                <w:rFonts w:ascii="Arial" w:cs="Arial" w:eastAsia="Arial" w:hAnsi="Arial"/>
                <w:sz w:val="14"/>
                <w:szCs w:val="14"/>
                <w:color w:val="auto"/>
                <w:w w:val="96"/>
              </w:rPr>
              <w:t>5,000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61"/>
        </w:trPr>
        <w:tc>
          <w:tcPr>
            <w:tcW w:w="842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480" w:type="dxa"/>
            <w:vAlign w:val="bottom"/>
            <w:tcBorders>
              <w:bottom w:val="single" w:sz="8" w:color="009BDE"/>
            </w:tcBorders>
          </w:tcPr>
          <w:p>
            <w:pPr>
              <w:spacing w:after="0"/>
              <w:rPr>
                <w:sz w:val="5"/>
                <w:szCs w:val="5"/>
                <w:color w:val="auto"/>
              </w:rPr>
            </w:pPr>
          </w:p>
        </w:tc>
        <w:tc>
          <w:tcPr>
            <w:tcW w:w="200" w:type="dxa"/>
            <w:vAlign w:val="bottom"/>
            <w:tcBorders>
              <w:bottom w:val="single" w:sz="8" w:color="009BDE"/>
            </w:tcBorders>
          </w:tcPr>
          <w:p>
            <w:pPr>
              <w:spacing w:after="0"/>
              <w:rPr>
                <w:sz w:val="5"/>
                <w:szCs w:val="5"/>
                <w:color w:val="auto"/>
              </w:rPr>
            </w:pPr>
          </w:p>
        </w:tc>
        <w:tc>
          <w:tcPr>
            <w:tcW w:w="500" w:type="dxa"/>
            <w:vAlign w:val="bottom"/>
            <w:tcBorders>
              <w:bottom w:val="single" w:sz="8" w:color="009BDE"/>
            </w:tcBorders>
          </w:tcPr>
          <w:p>
            <w:pPr>
              <w:spacing w:after="0"/>
              <w:rPr>
                <w:sz w:val="5"/>
                <w:szCs w:val="5"/>
                <w:color w:val="auto"/>
              </w:rPr>
            </w:pPr>
          </w:p>
        </w:tc>
        <w:tc>
          <w:tcPr>
            <w:tcW w:w="140" w:type="dxa"/>
            <w:vAlign w:val="bottom"/>
            <w:tcBorders>
              <w:bottom w:val="single" w:sz="8" w:color="009BDE"/>
            </w:tcBorders>
          </w:tcPr>
          <w:p>
            <w:pPr>
              <w:spacing w:after="0"/>
              <w:rPr>
                <w:sz w:val="5"/>
                <w:szCs w:val="5"/>
                <w:color w:val="auto"/>
              </w:rPr>
            </w:pPr>
          </w:p>
        </w:tc>
        <w:tc>
          <w:tcPr>
            <w:tcW w:w="460" w:type="dxa"/>
            <w:vAlign w:val="bottom"/>
            <w:tcBorders>
              <w:bottom w:val="single" w:sz="8" w:color="009BDE"/>
            </w:tcBorders>
          </w:tcPr>
          <w:p>
            <w:pPr>
              <w:spacing w:after="0"/>
              <w:rPr>
                <w:sz w:val="5"/>
                <w:szCs w:val="5"/>
                <w:color w:val="auto"/>
              </w:rPr>
            </w:pPr>
          </w:p>
        </w:tc>
      </w:tr>
      <w:tr>
        <w:trPr>
          <w:trHeight w:val="240"/>
        </w:trPr>
        <w:tc>
          <w:tcPr>
            <w:tcW w:w="8420" w:type="dxa"/>
            <w:vAlign w:val="bottom"/>
          </w:tcPr>
          <w:p>
            <w:pPr>
              <w:ind w:left="80"/>
              <w:spacing w:after="0"/>
              <w:rPr>
                <w:sz w:val="20"/>
                <w:szCs w:val="20"/>
                <w:color w:val="auto"/>
              </w:rPr>
            </w:pPr>
            <w:r>
              <w:rPr>
                <w:rFonts w:ascii="Arial" w:cs="Arial" w:eastAsia="Arial" w:hAnsi="Arial"/>
                <w:sz w:val="14"/>
                <w:szCs w:val="14"/>
                <w:color w:val="auto"/>
              </w:rPr>
              <w:t>Tarrant Sibley</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9"/>
              <w:spacing w:after="0"/>
              <w:rPr>
                <w:sz w:val="20"/>
                <w:szCs w:val="20"/>
                <w:color w:val="auto"/>
              </w:rPr>
            </w:pPr>
            <w:r>
              <w:rPr>
                <w:rFonts w:ascii="Arial" w:cs="Arial" w:eastAsia="Arial" w:hAnsi="Arial"/>
                <w:sz w:val="14"/>
                <w:szCs w:val="14"/>
                <w:color w:val="auto"/>
                <w:w w:val="96"/>
              </w:rPr>
              <w:t>2,622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2,350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9"/>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38735</wp:posOffset>
            </wp:positionV>
            <wp:extent cx="664972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6649720" cy="8255"/>
                    </a:xfrm>
                    <a:prstGeom prst="rect">
                      <a:avLst/>
                    </a:prstGeom>
                    <a:noFill/>
                  </pic:spPr>
                </pic:pic>
              </a:graphicData>
            </a:graphic>
          </wp:anchor>
        </w:drawing>
      </w:r>
    </w:p>
    <w:p>
      <w:pPr>
        <w:spacing w:after="0" w:line="125" w:lineRule="exact"/>
        <w:rPr>
          <w:sz w:val="20"/>
          <w:szCs w:val="20"/>
          <w:color w:val="auto"/>
        </w:rPr>
      </w:pPr>
    </w:p>
    <w:p>
      <w:pPr>
        <w:ind w:left="600" w:right="120" w:hanging="433"/>
        <w:spacing w:after="0" w:line="260"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Mr. Cocks, the amounts in 2025, 2024 and 2023 include $125,000, $125,000 and $104,875, respectively, related to family travel expenses. The amounts in 2025 also include matching charitable contributions made in the name of Mr. Cocks for $10,000. The amounts in 2023 also include $392,606 in payments related to his relocation, and $70,059 in additional gross-up payments intended to negate the impact of taxes on the relocation benefits.</w:t>
      </w:r>
    </w:p>
    <w:p>
      <w:pPr>
        <w:spacing w:after="0" w:line="38" w:lineRule="exact"/>
        <w:rPr>
          <w:rFonts w:ascii="Arial" w:cs="Arial" w:eastAsia="Arial" w:hAnsi="Arial"/>
          <w:sz w:val="14"/>
          <w:szCs w:val="14"/>
          <w:color w:val="auto"/>
        </w:rPr>
      </w:pPr>
    </w:p>
    <w:p>
      <w:pPr>
        <w:jc w:val="both"/>
        <w:ind w:left="600" w:right="320" w:hanging="433"/>
        <w:spacing w:after="0" w:line="260"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Ms. Goetter, the amounts in 2025, 2024 and 2023 include $14,914, $35,896 and $36,484, respectively, related to family travel expenses, as well as matching charitable contributions made in 2024 in the name of Ms. Goetter for $1,250. The amounts in 2023 also include $66,420 in payments related to her relocation and $55,095 in additional gross-up payments intended to negate the impact of taxes on the relocation benefits.</w:t>
      </w:r>
    </w:p>
    <w:p>
      <w:pPr>
        <w:spacing w:after="0" w:line="38" w:lineRule="exact"/>
        <w:rPr>
          <w:rFonts w:ascii="Arial" w:cs="Arial" w:eastAsia="Arial" w:hAnsi="Arial"/>
          <w:sz w:val="14"/>
          <w:szCs w:val="14"/>
          <w:color w:val="auto"/>
        </w:rPr>
      </w:pPr>
    </w:p>
    <w:p>
      <w:pPr>
        <w:ind w:left="600" w:right="100" w:hanging="433"/>
        <w:spacing w:after="0" w:line="253"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Mr. Hight, the amounts in 2025 and 2024 include $17,160 and $51,938, respectively, related to his relocation. The amounts in 2025 include $1,078 in additional gross-up payments intended to negate the impact of taxes on the relocation benefits, $1,578 related to family travel expenses, as well as $14,504 related to personal travel expenses. The amounts in 2024 include $35,627 in additional gross-up payments intended to negate the impact of taxes on the relocation benefits, as well as $29,197 related to family travel expenses.</w:t>
      </w:r>
    </w:p>
    <w:p>
      <w:pPr>
        <w:spacing w:after="0" w:line="43" w:lineRule="exact"/>
        <w:rPr>
          <w:rFonts w:ascii="Arial" w:cs="Arial" w:eastAsia="Arial" w:hAnsi="Arial"/>
          <w:sz w:val="14"/>
          <w:szCs w:val="14"/>
          <w:color w:val="auto"/>
        </w:rPr>
      </w:pPr>
    </w:p>
    <w:p>
      <w:pPr>
        <w:ind w:left="600" w:right="40" w:hanging="433"/>
        <w:spacing w:after="0" w:line="256"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Mr. Kilpin, the amount in 2025 includes matching charitable contributions in the name of Mr. Kilpin for $1,000. The amounts in 2024 and 2023 include $22,380 and $72,369, respectively, related to family travel expenses, as well as matching charitable contributions made in 2024 in the name of Mr. Kilpin for $500. The amounts in 2023 also include $101,571 in payments related to his relocation and $87,119 in additional gross-up payments intended to negate the impact of taxes on the relocation benefits</w:t>
      </w:r>
      <w:r>
        <w:rPr>
          <w:rFonts w:ascii="Arial" w:cs="Arial" w:eastAsia="Arial" w:hAnsi="Arial"/>
          <w:sz w:val="14"/>
          <w:szCs w:val="14"/>
          <w:b w:val="1"/>
          <w:bCs w:val="1"/>
          <w:color w:val="auto"/>
        </w:rPr>
        <w:t>.</w:t>
      </w:r>
    </w:p>
    <w:p>
      <w:pPr>
        <w:spacing w:after="0" w:line="35" w:lineRule="exact"/>
        <w:rPr>
          <w:rFonts w:ascii="Arial" w:cs="Arial" w:eastAsia="Arial" w:hAnsi="Arial"/>
          <w:sz w:val="14"/>
          <w:szCs w:val="14"/>
          <w:color w:val="auto"/>
        </w:rPr>
      </w:pPr>
    </w:p>
    <w:p>
      <w:pPr>
        <w:ind w:left="600" w:hanging="433"/>
        <w:spacing w:after="0"/>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Mr. Sibley, the amount in 2025 includes matching charitable contributions in the name of Mr. Sibley for $565.</w:t>
      </w:r>
    </w:p>
    <w:p>
      <w:pPr>
        <w:spacing w:after="0" w:line="200" w:lineRule="exact"/>
        <w:rPr>
          <w:rFonts w:ascii="Arial" w:cs="Arial" w:eastAsia="Arial" w:hAnsi="Arial"/>
          <w:sz w:val="14"/>
          <w:szCs w:val="14"/>
          <w:color w:val="auto"/>
        </w:rPr>
      </w:pPr>
    </w:p>
    <w:p>
      <w:pPr>
        <w:spacing w:after="0" w:line="383" w:lineRule="exact"/>
        <w:rPr>
          <w:rFonts w:ascii="Arial" w:cs="Arial" w:eastAsia="Arial" w:hAnsi="Arial"/>
          <w:sz w:val="14"/>
          <w:szCs w:val="14"/>
          <w:color w:val="auto"/>
        </w:rPr>
      </w:pPr>
    </w:p>
    <w:p>
      <w:pPr>
        <w:ind w:left="300" w:hanging="80"/>
        <w:spacing w:after="0"/>
        <w:tabs>
          <w:tab w:leader="none" w:pos="300" w:val="left"/>
        </w:tabs>
        <w:numPr>
          <w:ilvl w:val="1"/>
          <w:numId w:val="54"/>
        </w:numPr>
        <w:rPr>
          <w:rFonts w:ascii="Arial" w:cs="Arial" w:eastAsia="Arial" w:hAnsi="Arial"/>
          <w:sz w:val="15"/>
          <w:szCs w:val="15"/>
          <w:b w:val="1"/>
          <w:bCs w:val="1"/>
          <w:color w:val="FCFCFC"/>
        </w:rPr>
      </w:pPr>
      <w:r>
        <w:rPr>
          <w:rFonts w:ascii="Arial" w:cs="Arial" w:eastAsia="Arial" w:hAnsi="Arial"/>
          <w:sz w:val="15"/>
          <w:szCs w:val="15"/>
          <w:b w:val="1"/>
          <w:bCs w:val="1"/>
          <w:color w:val="FCFCFC"/>
        </w:rPr>
        <w: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-227330</wp:posOffset>
            </wp:positionV>
            <wp:extent cx="6964045" cy="39052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600" w:right="240" w:hanging="433"/>
        <w:spacing w:after="0" w:line="281"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NEOs, the amounts include the Company’s matching contribution to each executive’s savings account and the annual company contribution for each executive under the 401(k) Plan and the Supplemental Plan, with such amounts as follows:</w:t>
      </w:r>
    </w:p>
    <w:p>
      <w:pPr>
        <w:spacing w:after="0" w:line="194" w:lineRule="exact"/>
        <w:rPr>
          <w:sz w:val="20"/>
          <w:szCs w:val="20"/>
          <w:color w:val="auto"/>
        </w:rPr>
      </w:pPr>
    </w:p>
    <w:tbl>
      <w:tblPr>
        <w:tblLayout w:type="fixed"/>
        <w:tblInd w:w="600" w:type="dxa"/>
        <w:tblCellMar>
          <w:top w:w="0" w:type="dxa"/>
          <w:left w:w="0" w:type="dxa"/>
          <w:bottom w:w="0" w:type="dxa"/>
          <w:right w:w="0" w:type="dxa"/>
        </w:tblCellMar>
      </w:tblPr>
      <w:tr>
        <w:trPr>
          <w:trHeight w:val="286"/>
        </w:trPr>
        <w:tc>
          <w:tcPr>
            <w:tcW w:w="7960" w:type="dxa"/>
            <w:vAlign w:val="bottom"/>
            <w:tcBorders>
              <w:bottom w:val="single" w:sz="8" w:color="CCEBF8"/>
            </w:tcBorders>
            <w:shd w:val="clear" w:color="auto" w:fill="CCEBF8"/>
          </w:tcPr>
          <w:p>
            <w:pPr>
              <w:spacing w:after="0"/>
              <w:rPr>
                <w:sz w:val="20"/>
                <w:szCs w:val="20"/>
                <w:color w:val="auto"/>
              </w:rPr>
            </w:pPr>
            <w:r>
              <w:rPr>
                <w:rFonts w:ascii="Arial" w:cs="Arial" w:eastAsia="Arial" w:hAnsi="Arial"/>
                <w:sz w:val="14"/>
                <w:szCs w:val="14"/>
                <w:b w:val="1"/>
                <w:bCs w:val="1"/>
                <w:color w:val="009BDE"/>
              </w:rPr>
              <w:t>  Matching Contributions</w:t>
            </w:r>
          </w:p>
        </w:tc>
        <w:tc>
          <w:tcPr>
            <w:tcW w:w="280" w:type="dxa"/>
            <w:vAlign w:val="bottom"/>
            <w:tcBorders>
              <w:bottom w:val="single" w:sz="8" w:color="CCEBF8"/>
            </w:tcBorders>
            <w:shd w:val="clear" w:color="auto" w:fill="CCEBF8"/>
          </w:tcPr>
          <w:p>
            <w:pPr>
              <w:spacing w:after="0"/>
              <w:rPr>
                <w:sz w:val="24"/>
                <w:szCs w:val="24"/>
                <w:color w:val="auto"/>
              </w:rPr>
            </w:pPr>
          </w:p>
        </w:tc>
        <w:tc>
          <w:tcPr>
            <w:tcW w:w="640" w:type="dxa"/>
            <w:vAlign w:val="bottom"/>
            <w:tcBorders>
              <w:bottom w:val="single" w:sz="8" w:color="CCEBF8"/>
            </w:tcBorders>
            <w:shd w:val="clear" w:color="auto" w:fill="CCEBF8"/>
          </w:tcPr>
          <w:p>
            <w:pPr>
              <w:jc w:val="right"/>
              <w:ind w:right="189"/>
              <w:spacing w:after="0"/>
              <w:rPr>
                <w:sz w:val="20"/>
                <w:szCs w:val="20"/>
                <w:color w:val="auto"/>
              </w:rPr>
            </w:pPr>
            <w:r>
              <w:rPr>
                <w:rFonts w:ascii="Arial" w:cs="Arial" w:eastAsia="Arial" w:hAnsi="Arial"/>
                <w:sz w:val="14"/>
                <w:szCs w:val="14"/>
                <w:b w:val="1"/>
                <w:bCs w:val="1"/>
                <w:color w:val="009BDE"/>
              </w:rPr>
              <w:t>2025</w:t>
            </w:r>
          </w:p>
        </w:tc>
        <w:tc>
          <w:tcPr>
            <w:tcW w:w="220" w:type="dxa"/>
            <w:vAlign w:val="bottom"/>
            <w:tcBorders>
              <w:bottom w:val="single" w:sz="8" w:color="CCEBF8"/>
            </w:tcBorders>
            <w:shd w:val="clear" w:color="auto" w:fill="CCEBF8"/>
          </w:tcPr>
          <w:p>
            <w:pPr>
              <w:spacing w:after="0"/>
              <w:rPr>
                <w:sz w:val="24"/>
                <w:szCs w:val="24"/>
                <w:color w:val="auto"/>
              </w:rPr>
            </w:pPr>
          </w:p>
        </w:tc>
        <w:tc>
          <w:tcPr>
            <w:tcW w:w="600" w:type="dxa"/>
            <w:vAlign w:val="bottom"/>
            <w:tcBorders>
              <w:bottom w:val="single" w:sz="8" w:color="CCEBF8"/>
            </w:tcBorders>
            <w:shd w:val="clear" w:color="auto" w:fill="CCEBF8"/>
          </w:tcPr>
          <w:p>
            <w:pPr>
              <w:jc w:val="right"/>
              <w:ind w:right="149"/>
              <w:spacing w:after="0"/>
              <w:rPr>
                <w:sz w:val="20"/>
                <w:szCs w:val="20"/>
                <w:color w:val="auto"/>
              </w:rPr>
            </w:pPr>
            <w:r>
              <w:rPr>
                <w:rFonts w:ascii="Arial" w:cs="Arial" w:eastAsia="Arial" w:hAnsi="Arial"/>
                <w:sz w:val="14"/>
                <w:szCs w:val="14"/>
                <w:b w:val="1"/>
                <w:bCs w:val="1"/>
                <w:color w:val="009BDE"/>
              </w:rPr>
              <w:t>2024</w:t>
            </w:r>
          </w:p>
        </w:tc>
        <w:tc>
          <w:tcPr>
            <w:tcW w:w="160" w:type="dxa"/>
            <w:vAlign w:val="bottom"/>
            <w:tcBorders>
              <w:bottom w:val="single" w:sz="8" w:color="CCEBF8"/>
            </w:tcBorders>
            <w:shd w:val="clear" w:color="auto" w:fill="CCEBF8"/>
          </w:tcPr>
          <w:p>
            <w:pPr>
              <w:spacing w:after="0"/>
              <w:rPr>
                <w:sz w:val="24"/>
                <w:szCs w:val="24"/>
                <w:color w:val="auto"/>
              </w:rPr>
            </w:pPr>
          </w:p>
        </w:tc>
        <w:tc>
          <w:tcPr>
            <w:tcW w:w="620" w:type="dxa"/>
            <w:vAlign w:val="bottom"/>
            <w:tcBorders>
              <w:bottom w:val="single" w:sz="8" w:color="CCEBF8"/>
            </w:tcBorders>
            <w:shd w:val="clear" w:color="auto" w:fill="CCEBF8"/>
          </w:tcPr>
          <w:p>
            <w:pPr>
              <w:jc w:val="right"/>
              <w:ind w:right="169"/>
              <w:spacing w:after="0"/>
              <w:rPr>
                <w:sz w:val="20"/>
                <w:szCs w:val="20"/>
                <w:color w:val="auto"/>
              </w:rPr>
            </w:pPr>
            <w:r>
              <w:rPr>
                <w:rFonts w:ascii="Arial" w:cs="Arial" w:eastAsia="Arial" w:hAnsi="Arial"/>
                <w:sz w:val="14"/>
                <w:szCs w:val="14"/>
                <w:b w:val="1"/>
                <w:bCs w:val="1"/>
                <w:color w:val="009BDE"/>
              </w:rPr>
              <w:t>2023</w:t>
            </w:r>
          </w:p>
        </w:tc>
      </w:tr>
      <w:tr>
        <w:trPr>
          <w:trHeight w:val="240"/>
        </w:trPr>
        <w:tc>
          <w:tcPr>
            <w:tcW w:w="7960" w:type="dxa"/>
            <w:vAlign w:val="bottom"/>
            <w:tcBorders>
              <w:top w:val="single" w:sz="8" w:color="009BDE"/>
            </w:tcBorders>
          </w:tcPr>
          <w:p>
            <w:pPr>
              <w:ind w:left="80"/>
              <w:spacing w:after="0"/>
              <w:rPr>
                <w:sz w:val="20"/>
                <w:szCs w:val="20"/>
                <w:color w:val="auto"/>
              </w:rPr>
            </w:pPr>
            <w:r>
              <w:rPr>
                <w:rFonts w:ascii="Arial" w:cs="Arial" w:eastAsia="Arial" w:hAnsi="Arial"/>
                <w:sz w:val="14"/>
                <w:szCs w:val="14"/>
                <w:color w:val="auto"/>
              </w:rPr>
              <w:t>Chris Cocks</w:t>
            </w:r>
          </w:p>
        </w:tc>
        <w:tc>
          <w:tcPr>
            <w:tcW w:w="280" w:type="dxa"/>
            <w:vAlign w:val="bottom"/>
            <w:tcBorders>
              <w:top w:val="single" w:sz="8" w:color="009BDE"/>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009BDE"/>
            </w:tcBorders>
          </w:tcPr>
          <w:p>
            <w:pPr>
              <w:jc w:val="right"/>
              <w:ind w:right="49"/>
              <w:spacing w:after="0"/>
              <w:rPr>
                <w:sz w:val="20"/>
                <w:szCs w:val="20"/>
                <w:color w:val="auto"/>
              </w:rPr>
            </w:pPr>
            <w:r>
              <w:rPr>
                <w:rFonts w:ascii="Arial" w:cs="Arial" w:eastAsia="Arial" w:hAnsi="Arial"/>
                <w:sz w:val="14"/>
                <w:szCs w:val="14"/>
                <w:color w:val="auto"/>
                <w:w w:val="98"/>
              </w:rPr>
              <w:t>533,672</w:t>
            </w:r>
          </w:p>
        </w:tc>
        <w:tc>
          <w:tcPr>
            <w:tcW w:w="220" w:type="dxa"/>
            <w:vAlign w:val="bottom"/>
            <w:tcBorders>
              <w:top w:val="single" w:sz="8" w:color="009BDE"/>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009BDE"/>
            </w:tcBorders>
          </w:tcPr>
          <w:p>
            <w:pPr>
              <w:jc w:val="right"/>
              <w:ind w:right="9"/>
              <w:spacing w:after="0"/>
              <w:rPr>
                <w:sz w:val="20"/>
                <w:szCs w:val="20"/>
                <w:color w:val="auto"/>
              </w:rPr>
            </w:pPr>
            <w:r>
              <w:rPr>
                <w:rFonts w:ascii="Arial" w:cs="Arial" w:eastAsia="Arial" w:hAnsi="Arial"/>
                <w:sz w:val="14"/>
                <w:szCs w:val="14"/>
                <w:color w:val="auto"/>
                <w:w w:val="98"/>
              </w:rPr>
              <w:t>275,520</w:t>
            </w:r>
          </w:p>
        </w:tc>
        <w:tc>
          <w:tcPr>
            <w:tcW w:w="160" w:type="dxa"/>
            <w:vAlign w:val="bottom"/>
            <w:tcBorders>
              <w:top w:val="single" w:sz="8" w:color="009BDE"/>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009BDE"/>
            </w:tcBorders>
          </w:tcPr>
          <w:p>
            <w:pPr>
              <w:jc w:val="right"/>
              <w:ind w:right="29"/>
              <w:spacing w:after="0"/>
              <w:rPr>
                <w:sz w:val="20"/>
                <w:szCs w:val="20"/>
                <w:color w:val="auto"/>
              </w:rPr>
            </w:pPr>
            <w:r>
              <w:rPr>
                <w:rFonts w:ascii="Arial" w:cs="Arial" w:eastAsia="Arial" w:hAnsi="Arial"/>
                <w:sz w:val="14"/>
                <w:szCs w:val="14"/>
                <w:color w:val="auto"/>
                <w:w w:val="98"/>
              </w:rPr>
              <w:t>135,000</w:t>
            </w:r>
          </w:p>
        </w:tc>
      </w:tr>
      <w:tr>
        <w:trPr>
          <w:trHeight w:val="61"/>
        </w:trPr>
        <w:tc>
          <w:tcPr>
            <w:tcW w:w="796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2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r>
      <w:tr>
        <w:trPr>
          <w:trHeight w:val="240"/>
        </w:trPr>
        <w:tc>
          <w:tcPr>
            <w:tcW w:w="7960" w:type="dxa"/>
            <w:vAlign w:val="bottom"/>
          </w:tcPr>
          <w:p>
            <w:pPr>
              <w:ind w:left="80"/>
              <w:spacing w:after="0"/>
              <w:rPr>
                <w:sz w:val="20"/>
                <w:szCs w:val="20"/>
                <w:color w:val="auto"/>
              </w:rPr>
            </w:pPr>
            <w:r>
              <w:rPr>
                <w:rFonts w:ascii="Arial" w:cs="Arial" w:eastAsia="Arial" w:hAnsi="Arial"/>
                <w:sz w:val="14"/>
                <w:szCs w:val="14"/>
                <w:color w:val="auto"/>
              </w:rPr>
              <w:t>Gina Goetter</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w w:val="98"/>
              </w:rPr>
              <w:t>241,875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w w:val="98"/>
              </w:rPr>
              <w:t>123,865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19,038</w:t>
            </w:r>
          </w:p>
        </w:tc>
      </w:tr>
      <w:tr>
        <w:trPr>
          <w:trHeight w:val="61"/>
        </w:trPr>
        <w:tc>
          <w:tcPr>
            <w:tcW w:w="796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2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r>
      <w:tr>
        <w:trPr>
          <w:trHeight w:val="240"/>
        </w:trPr>
        <w:tc>
          <w:tcPr>
            <w:tcW w:w="7960" w:type="dxa"/>
            <w:vAlign w:val="bottom"/>
          </w:tcPr>
          <w:p>
            <w:pPr>
              <w:ind w:left="80"/>
              <w:spacing w:after="0"/>
              <w:rPr>
                <w:sz w:val="20"/>
                <w:szCs w:val="20"/>
                <w:color w:val="auto"/>
              </w:rPr>
            </w:pPr>
            <w:r>
              <w:rPr>
                <w:rFonts w:ascii="Arial" w:cs="Arial" w:eastAsia="Arial" w:hAnsi="Arial"/>
                <w:sz w:val="14"/>
                <w:szCs w:val="14"/>
                <w:color w:val="auto"/>
              </w:rPr>
              <w:t>John Hight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96,620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12,046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61"/>
        </w:trPr>
        <w:tc>
          <w:tcPr>
            <w:tcW w:w="796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2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r>
      <w:tr>
        <w:trPr>
          <w:trHeight w:val="240"/>
        </w:trPr>
        <w:tc>
          <w:tcPr>
            <w:tcW w:w="7960" w:type="dxa"/>
            <w:vAlign w:val="bottom"/>
          </w:tcPr>
          <w:p>
            <w:pPr>
              <w:ind w:left="80"/>
              <w:spacing w:after="0"/>
              <w:rPr>
                <w:sz w:val="20"/>
                <w:szCs w:val="20"/>
                <w:color w:val="auto"/>
              </w:rPr>
            </w:pPr>
            <w:r>
              <w:rPr>
                <w:rFonts w:ascii="Arial" w:cs="Arial" w:eastAsia="Arial" w:hAnsi="Arial"/>
                <w:sz w:val="14"/>
                <w:szCs w:val="14"/>
                <w:color w:val="auto"/>
              </w:rPr>
              <w:t>Tim Kilpin</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w w:val="98"/>
              </w:rPr>
              <w:t>153,000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w w:val="98"/>
              </w:rPr>
              <w:t>118,812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51,490</w:t>
            </w:r>
          </w:p>
        </w:tc>
      </w:tr>
      <w:tr>
        <w:trPr>
          <w:trHeight w:val="61"/>
        </w:trPr>
        <w:tc>
          <w:tcPr>
            <w:tcW w:w="796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2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r>
      <w:tr>
        <w:trPr>
          <w:trHeight w:val="240"/>
        </w:trPr>
        <w:tc>
          <w:tcPr>
            <w:tcW w:w="7960" w:type="dxa"/>
            <w:vAlign w:val="bottom"/>
          </w:tcPr>
          <w:p>
            <w:pPr>
              <w:ind w:left="80"/>
              <w:spacing w:after="0"/>
              <w:rPr>
                <w:sz w:val="20"/>
                <w:szCs w:val="20"/>
                <w:color w:val="auto"/>
              </w:rPr>
            </w:pPr>
            <w:r>
              <w:rPr>
                <w:rFonts w:ascii="Arial" w:cs="Arial" w:eastAsia="Arial" w:hAnsi="Arial"/>
                <w:sz w:val="14"/>
                <w:szCs w:val="14"/>
                <w:color w:val="auto"/>
              </w:rPr>
              <w:t>Tarrant Sibley</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w w:val="98"/>
              </w:rPr>
              <w:t>136,174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84,111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71,948</w:t>
            </w:r>
          </w:p>
        </w:tc>
      </w:tr>
      <w:tr>
        <w:trPr>
          <w:trHeight w:val="61"/>
        </w:trPr>
        <w:tc>
          <w:tcPr>
            <w:tcW w:w="7960" w:type="dxa"/>
            <w:vAlign w:val="bottom"/>
            <w:tcBorders>
              <w:bottom w:val="single" w:sz="8" w:color="009BDE"/>
            </w:tcBorders>
          </w:tcPr>
          <w:p>
            <w:pPr>
              <w:spacing w:after="0"/>
              <w:rPr>
                <w:sz w:val="5"/>
                <w:szCs w:val="5"/>
                <w:color w:val="auto"/>
              </w:rPr>
            </w:pPr>
          </w:p>
        </w:tc>
        <w:tc>
          <w:tcPr>
            <w:tcW w:w="28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2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16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r>
    </w:tbl>
    <w:p>
      <w:pPr>
        <w:spacing w:after="0" w:line="138" w:lineRule="exact"/>
        <w:rPr>
          <w:sz w:val="20"/>
          <w:szCs w:val="20"/>
          <w:color w:val="auto"/>
        </w:rPr>
      </w:pPr>
    </w:p>
    <w:p>
      <w:pPr>
        <w:ind w:left="600" w:right="140" w:hanging="433"/>
        <w:spacing w:after="0" w:line="281"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These amounts are in part contributed to the individual’s account in the 401(k) Plan and, to the extent in excess of certain Code maximums, deemed allocated to the individual’s account in the Supplemental Plan (401(k)).</w:t>
      </w:r>
    </w:p>
    <w:p>
      <w:pPr>
        <w:spacing w:after="0" w:line="200" w:lineRule="exact"/>
        <w:rPr>
          <w:rFonts w:ascii="Arial" w:cs="Arial" w:eastAsia="Arial" w:hAnsi="Arial"/>
          <w:sz w:val="14"/>
          <w:szCs w:val="14"/>
          <w:color w:val="auto"/>
        </w:rPr>
      </w:pPr>
    </w:p>
    <w:p>
      <w:pPr>
        <w:spacing w:after="0" w:line="327" w:lineRule="exact"/>
        <w:rPr>
          <w:rFonts w:ascii="Arial" w:cs="Arial" w:eastAsia="Arial" w:hAnsi="Arial"/>
          <w:sz w:val="14"/>
          <w:szCs w:val="14"/>
          <w:color w:val="auto"/>
        </w:rPr>
      </w:pPr>
    </w:p>
    <w:p>
      <w:pPr>
        <w:ind w:left="300" w:hanging="80"/>
        <w:spacing w:after="0"/>
        <w:tabs>
          <w:tab w:leader="none" w:pos="300" w:val="left"/>
        </w:tabs>
        <w:numPr>
          <w:ilvl w:val="1"/>
          <w:numId w:val="56"/>
        </w:numPr>
        <w:rPr>
          <w:rFonts w:ascii="Arial" w:cs="Arial" w:eastAsia="Arial" w:hAnsi="Arial"/>
          <w:sz w:val="15"/>
          <w:szCs w:val="15"/>
          <w:b w:val="1"/>
          <w:bCs w:val="1"/>
          <w:color w:val="FCFCFC"/>
        </w:rPr>
      </w:pPr>
      <w:r>
        <w:rPr>
          <w:rFonts w:ascii="Arial" w:cs="Arial" w:eastAsia="Arial" w:hAnsi="Arial"/>
          <w:sz w:val="15"/>
          <w:szCs w:val="15"/>
          <w:b w:val="1"/>
          <w:bCs w:val="1"/>
          <w:color w:val="FCFCFC"/>
        </w:rPr>
        <w: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-227330</wp:posOffset>
            </wp:positionV>
            <wp:extent cx="6964045" cy="39052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sets forth certain information regarding grants of plan-based awards for fiscal 2025 to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33972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6929755" cy="339725"/>
                    </a:xfrm>
                    <a:prstGeom prst="rect">
                      <a:avLst/>
                    </a:prstGeom>
                    <a:noFill/>
                  </pic:spPr>
                </pic:pic>
              </a:graphicData>
            </a:graphic>
          </wp:anchor>
        </w:drawing>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Grants of Plan-Based Awards</w:t>
      </w:r>
    </w:p>
    <w:p>
      <w:pPr>
        <w:spacing w:after="0" w:line="95" w:lineRule="exact"/>
        <w:rPr>
          <w:sz w:val="20"/>
          <w:szCs w:val="20"/>
          <w:color w:val="auto"/>
        </w:rPr>
      </w:pPr>
    </w:p>
    <w:tbl>
      <w:tblPr>
        <w:tblLayout w:type="fixed"/>
        <w:tblInd w:w="160" w:type="dxa"/>
        <w:tblCellMar>
          <w:top w:w="0" w:type="dxa"/>
          <w:left w:w="0" w:type="dxa"/>
          <w:bottom w:w="0" w:type="dxa"/>
          <w:right w:w="0" w:type="dxa"/>
        </w:tblCellMar>
      </w:tblPr>
      <w:tr>
        <w:trPr>
          <w:trHeight w:val="67"/>
        </w:trPr>
        <w:tc>
          <w:tcPr>
            <w:tcW w:w="3720" w:type="dxa"/>
            <w:vAlign w:val="bottom"/>
            <w:shd w:val="clear" w:color="auto" w:fill="0060ED"/>
          </w:tcPr>
          <w:p>
            <w:pPr>
              <w:spacing w:after="0"/>
              <w:rPr>
                <w:sz w:val="5"/>
                <w:szCs w:val="5"/>
                <w:color w:val="auto"/>
              </w:rPr>
            </w:pPr>
          </w:p>
        </w:tc>
        <w:tc>
          <w:tcPr>
            <w:tcW w:w="840" w:type="dxa"/>
            <w:vAlign w:val="bottom"/>
            <w:shd w:val="clear" w:color="auto" w:fill="0060ED"/>
          </w:tcPr>
          <w:p>
            <w:pPr>
              <w:spacing w:after="0"/>
              <w:rPr>
                <w:sz w:val="5"/>
                <w:szCs w:val="5"/>
                <w:color w:val="auto"/>
              </w:rPr>
            </w:pPr>
          </w:p>
        </w:tc>
        <w:tc>
          <w:tcPr>
            <w:tcW w:w="180" w:type="dxa"/>
            <w:vAlign w:val="bottom"/>
            <w:shd w:val="clear" w:color="auto" w:fill="0060ED"/>
          </w:tcPr>
          <w:p>
            <w:pPr>
              <w:spacing w:after="0"/>
              <w:rPr>
                <w:sz w:val="5"/>
                <w:szCs w:val="5"/>
                <w:color w:val="auto"/>
              </w:rPr>
            </w:pPr>
          </w:p>
        </w:tc>
        <w:tc>
          <w:tcPr>
            <w:tcW w:w="900" w:type="dxa"/>
            <w:vAlign w:val="bottom"/>
            <w:shd w:val="clear" w:color="auto" w:fill="0060ED"/>
          </w:tcPr>
          <w:p>
            <w:pPr>
              <w:spacing w:after="0"/>
              <w:rPr>
                <w:sz w:val="5"/>
                <w:szCs w:val="5"/>
                <w:color w:val="auto"/>
              </w:rPr>
            </w:pPr>
          </w:p>
        </w:tc>
        <w:tc>
          <w:tcPr>
            <w:tcW w:w="680" w:type="dxa"/>
            <w:vAlign w:val="bottom"/>
            <w:shd w:val="clear" w:color="auto" w:fill="0060ED"/>
          </w:tcPr>
          <w:p>
            <w:pPr>
              <w:spacing w:after="0"/>
              <w:rPr>
                <w:sz w:val="5"/>
                <w:szCs w:val="5"/>
                <w:color w:val="auto"/>
              </w:rPr>
            </w:pPr>
          </w:p>
        </w:tc>
        <w:tc>
          <w:tcPr>
            <w:tcW w:w="800" w:type="dxa"/>
            <w:vAlign w:val="bottom"/>
            <w:shd w:val="clear" w:color="auto" w:fill="0060ED"/>
          </w:tcPr>
          <w:p>
            <w:pPr>
              <w:spacing w:after="0"/>
              <w:rPr>
                <w:sz w:val="5"/>
                <w:szCs w:val="5"/>
                <w:color w:val="auto"/>
              </w:rPr>
            </w:pPr>
          </w:p>
        </w:tc>
        <w:tc>
          <w:tcPr>
            <w:tcW w:w="740" w:type="dxa"/>
            <w:vAlign w:val="bottom"/>
            <w:shd w:val="clear" w:color="auto" w:fill="0060ED"/>
          </w:tcPr>
          <w:p>
            <w:pPr>
              <w:spacing w:after="0"/>
              <w:rPr>
                <w:sz w:val="5"/>
                <w:szCs w:val="5"/>
                <w:color w:val="auto"/>
              </w:rPr>
            </w:pPr>
          </w:p>
        </w:tc>
        <w:tc>
          <w:tcPr>
            <w:tcW w:w="820" w:type="dxa"/>
            <w:vAlign w:val="bottom"/>
            <w:shd w:val="clear" w:color="auto" w:fill="0060ED"/>
          </w:tcPr>
          <w:p>
            <w:pPr>
              <w:spacing w:after="0"/>
              <w:rPr>
                <w:sz w:val="5"/>
                <w:szCs w:val="5"/>
                <w:color w:val="auto"/>
              </w:rPr>
            </w:pPr>
          </w:p>
        </w:tc>
        <w:tc>
          <w:tcPr>
            <w:tcW w:w="640" w:type="dxa"/>
            <w:vAlign w:val="bottom"/>
            <w:shd w:val="clear" w:color="auto" w:fill="0060ED"/>
          </w:tcPr>
          <w:p>
            <w:pPr>
              <w:spacing w:after="0"/>
              <w:rPr>
                <w:sz w:val="5"/>
                <w:szCs w:val="5"/>
                <w:color w:val="auto"/>
              </w:rPr>
            </w:pPr>
          </w:p>
        </w:tc>
        <w:tc>
          <w:tcPr>
            <w:tcW w:w="800" w:type="dxa"/>
            <w:vAlign w:val="bottom"/>
            <w:shd w:val="clear" w:color="auto" w:fill="0060ED"/>
          </w:tcPr>
          <w:p>
            <w:pPr>
              <w:spacing w:after="0"/>
              <w:rPr>
                <w:sz w:val="5"/>
                <w:szCs w:val="5"/>
                <w:color w:val="auto"/>
              </w:rPr>
            </w:pPr>
          </w:p>
        </w:tc>
        <w:tc>
          <w:tcPr>
            <w:tcW w:w="200" w:type="dxa"/>
            <w:vAlign w:val="bottom"/>
            <w:shd w:val="clear" w:color="auto" w:fill="0060ED"/>
          </w:tcPr>
          <w:p>
            <w:pPr>
              <w:spacing w:after="0"/>
              <w:rPr>
                <w:sz w:val="5"/>
                <w:szCs w:val="5"/>
                <w:color w:val="auto"/>
              </w:rPr>
            </w:pPr>
          </w:p>
        </w:tc>
        <w:tc>
          <w:tcPr>
            <w:tcW w:w="600" w:type="dxa"/>
            <w:vAlign w:val="bottom"/>
            <w:shd w:val="clear" w:color="auto" w:fill="0060ED"/>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CEBF8"/>
          </w:tcPr>
          <w:p>
            <w:pPr>
              <w:spacing w:after="0"/>
              <w:rPr>
                <w:sz w:val="15"/>
                <w:szCs w:val="15"/>
                <w:color w:val="auto"/>
              </w:rPr>
            </w:pPr>
          </w:p>
        </w:tc>
        <w:tc>
          <w:tcPr>
            <w:tcW w:w="840" w:type="dxa"/>
            <w:vAlign w:val="bottom"/>
            <w:shd w:val="clear" w:color="auto" w:fill="CCEBF8"/>
          </w:tcPr>
          <w:p>
            <w:pPr>
              <w:spacing w:after="0"/>
              <w:rPr>
                <w:sz w:val="15"/>
                <w:szCs w:val="15"/>
                <w:color w:val="auto"/>
              </w:rPr>
            </w:pPr>
          </w:p>
        </w:tc>
        <w:tc>
          <w:tcPr>
            <w:tcW w:w="180" w:type="dxa"/>
            <w:vAlign w:val="bottom"/>
            <w:shd w:val="clear" w:color="auto" w:fill="CCEBF8"/>
          </w:tcPr>
          <w:p>
            <w:pPr>
              <w:spacing w:after="0"/>
              <w:rPr>
                <w:sz w:val="15"/>
                <w:szCs w:val="15"/>
                <w:color w:val="auto"/>
              </w:rPr>
            </w:pPr>
          </w:p>
        </w:tc>
        <w:tc>
          <w:tcPr>
            <w:tcW w:w="900" w:type="dxa"/>
            <w:vAlign w:val="bottom"/>
            <w:shd w:val="clear" w:color="auto" w:fill="CCEBF8"/>
          </w:tcPr>
          <w:p>
            <w:pPr>
              <w:spacing w:after="0"/>
              <w:rPr>
                <w:sz w:val="15"/>
                <w:szCs w:val="15"/>
                <w:color w:val="auto"/>
              </w:rPr>
            </w:pPr>
          </w:p>
        </w:tc>
        <w:tc>
          <w:tcPr>
            <w:tcW w:w="680" w:type="dxa"/>
            <w:vAlign w:val="bottom"/>
            <w:shd w:val="clear" w:color="auto" w:fill="CCEBF8"/>
          </w:tcPr>
          <w:p>
            <w:pPr>
              <w:spacing w:after="0"/>
              <w:rPr>
                <w:sz w:val="15"/>
                <w:szCs w:val="15"/>
                <w:color w:val="auto"/>
              </w:rPr>
            </w:pPr>
          </w:p>
        </w:tc>
        <w:tc>
          <w:tcPr>
            <w:tcW w:w="800" w:type="dxa"/>
            <w:vAlign w:val="bottom"/>
            <w:shd w:val="clear" w:color="auto" w:fill="CCEBF8"/>
          </w:tcPr>
          <w:p>
            <w:pPr>
              <w:spacing w:after="0"/>
              <w:rPr>
                <w:sz w:val="15"/>
                <w:szCs w:val="15"/>
                <w:color w:val="auto"/>
              </w:rPr>
            </w:pPr>
          </w:p>
        </w:tc>
        <w:tc>
          <w:tcPr>
            <w:tcW w:w="740" w:type="dxa"/>
            <w:vAlign w:val="bottom"/>
            <w:shd w:val="clear" w:color="auto" w:fill="CCEBF8"/>
          </w:tcPr>
          <w:p>
            <w:pPr>
              <w:spacing w:after="0"/>
              <w:rPr>
                <w:sz w:val="15"/>
                <w:szCs w:val="15"/>
                <w:color w:val="auto"/>
              </w:rPr>
            </w:pPr>
          </w:p>
        </w:tc>
        <w:tc>
          <w:tcPr>
            <w:tcW w:w="820" w:type="dxa"/>
            <w:vAlign w:val="bottom"/>
            <w:shd w:val="clear" w:color="auto" w:fill="CCEBF8"/>
          </w:tcPr>
          <w:p>
            <w:pPr>
              <w:spacing w:after="0"/>
              <w:rPr>
                <w:sz w:val="15"/>
                <w:szCs w:val="15"/>
                <w:color w:val="auto"/>
              </w:rPr>
            </w:pPr>
          </w:p>
        </w:tc>
        <w:tc>
          <w:tcPr>
            <w:tcW w:w="640" w:type="dxa"/>
            <w:vAlign w:val="bottom"/>
            <w:shd w:val="clear" w:color="auto" w:fill="CCEBF8"/>
          </w:tcPr>
          <w:p>
            <w:pPr>
              <w:spacing w:after="0"/>
              <w:rPr>
                <w:sz w:val="15"/>
                <w:szCs w:val="15"/>
                <w:color w:val="auto"/>
              </w:rPr>
            </w:pPr>
          </w:p>
        </w:tc>
        <w:tc>
          <w:tcPr>
            <w:tcW w:w="800" w:type="dxa"/>
            <w:vAlign w:val="bottom"/>
            <w:shd w:val="clear" w:color="auto" w:fill="CCEBF8"/>
          </w:tcPr>
          <w:p>
            <w:pPr>
              <w:jc w:val="center"/>
              <w:ind w:left="18"/>
              <w:spacing w:after="0"/>
              <w:rPr>
                <w:sz w:val="20"/>
                <w:szCs w:val="20"/>
                <w:color w:val="auto"/>
              </w:rPr>
            </w:pPr>
            <w:r>
              <w:rPr>
                <w:rFonts w:ascii="Arial" w:cs="Arial" w:eastAsia="Arial" w:hAnsi="Arial"/>
                <w:sz w:val="12"/>
                <w:szCs w:val="12"/>
                <w:b w:val="1"/>
                <w:bCs w:val="1"/>
                <w:color w:val="009BDE"/>
              </w:rPr>
              <w:t>All</w:t>
            </w:r>
          </w:p>
        </w:tc>
        <w:tc>
          <w:tcPr>
            <w:tcW w:w="200" w:type="dxa"/>
            <w:vAlign w:val="bottom"/>
            <w:shd w:val="clear" w:color="auto" w:fill="CCEBF8"/>
          </w:tcPr>
          <w:p>
            <w:pPr>
              <w:spacing w:after="0"/>
              <w:rPr>
                <w:sz w:val="15"/>
                <w:szCs w:val="15"/>
                <w:color w:val="auto"/>
              </w:rPr>
            </w:pPr>
          </w:p>
        </w:tc>
        <w:tc>
          <w:tcPr>
            <w:tcW w:w="600" w:type="dxa"/>
            <w:vAlign w:val="bottom"/>
            <w:shd w:val="clear" w:color="auto" w:fill="CCEBF8"/>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720" w:type="dxa"/>
            <w:vAlign w:val="bottom"/>
            <w:shd w:val="clear" w:color="auto" w:fill="CCEBF8"/>
          </w:tcPr>
          <w:p>
            <w:pPr>
              <w:spacing w:after="0"/>
              <w:rPr>
                <w:sz w:val="11"/>
                <w:szCs w:val="11"/>
                <w:color w:val="auto"/>
              </w:rPr>
            </w:pPr>
          </w:p>
        </w:tc>
        <w:tc>
          <w:tcPr>
            <w:tcW w:w="84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90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800" w:type="dxa"/>
            <w:vAlign w:val="bottom"/>
            <w:shd w:val="clear" w:color="auto" w:fill="CCEBF8"/>
          </w:tcPr>
          <w:p>
            <w:pPr>
              <w:spacing w:after="0"/>
              <w:rPr>
                <w:sz w:val="11"/>
                <w:szCs w:val="11"/>
                <w:color w:val="auto"/>
              </w:rPr>
            </w:pPr>
          </w:p>
        </w:tc>
        <w:tc>
          <w:tcPr>
            <w:tcW w:w="740" w:type="dxa"/>
            <w:vAlign w:val="bottom"/>
            <w:shd w:val="clear" w:color="auto" w:fill="CCEBF8"/>
          </w:tcPr>
          <w:p>
            <w:pPr>
              <w:spacing w:after="0"/>
              <w:rPr>
                <w:sz w:val="11"/>
                <w:szCs w:val="11"/>
                <w:color w:val="auto"/>
              </w:rPr>
            </w:pPr>
          </w:p>
        </w:tc>
        <w:tc>
          <w:tcPr>
            <w:tcW w:w="820" w:type="dxa"/>
            <w:vAlign w:val="bottom"/>
            <w:shd w:val="clear" w:color="auto" w:fill="CCEBF8"/>
          </w:tcPr>
          <w:p>
            <w:pPr>
              <w:spacing w:after="0"/>
              <w:rPr>
                <w:sz w:val="11"/>
                <w:szCs w:val="11"/>
                <w:color w:val="auto"/>
              </w:rPr>
            </w:pPr>
          </w:p>
        </w:tc>
        <w:tc>
          <w:tcPr>
            <w:tcW w:w="640" w:type="dxa"/>
            <w:vAlign w:val="bottom"/>
            <w:shd w:val="clear" w:color="auto" w:fill="CCEBF8"/>
          </w:tcPr>
          <w:p>
            <w:pPr>
              <w:spacing w:after="0"/>
              <w:rPr>
                <w:sz w:val="11"/>
                <w:szCs w:val="11"/>
                <w:color w:val="auto"/>
              </w:rPr>
            </w:pPr>
          </w:p>
        </w:tc>
        <w:tc>
          <w:tcPr>
            <w:tcW w:w="800" w:type="dxa"/>
            <w:vAlign w:val="bottom"/>
            <w:shd w:val="clear" w:color="auto" w:fill="CCEBF8"/>
          </w:tcPr>
          <w:p>
            <w:pPr>
              <w:jc w:val="center"/>
              <w:ind w:left="38"/>
              <w:spacing w:after="0" w:line="134" w:lineRule="exact"/>
              <w:rPr>
                <w:sz w:val="20"/>
                <w:szCs w:val="20"/>
                <w:color w:val="auto"/>
              </w:rPr>
            </w:pPr>
            <w:r>
              <w:rPr>
                <w:rFonts w:ascii="Arial" w:cs="Arial" w:eastAsia="Arial" w:hAnsi="Arial"/>
                <w:sz w:val="12"/>
                <w:szCs w:val="12"/>
                <w:b w:val="1"/>
                <w:bCs w:val="1"/>
                <w:color w:val="009BDE"/>
              </w:rPr>
              <w:t>Other</w:t>
            </w:r>
          </w:p>
        </w:tc>
        <w:tc>
          <w:tcPr>
            <w:tcW w:w="200" w:type="dxa"/>
            <w:vAlign w:val="bottom"/>
            <w:shd w:val="clear" w:color="auto" w:fill="CCEBF8"/>
          </w:tcPr>
          <w:p>
            <w:pPr>
              <w:spacing w:after="0"/>
              <w:rPr>
                <w:sz w:val="11"/>
                <w:szCs w:val="11"/>
                <w:color w:val="auto"/>
              </w:rPr>
            </w:pPr>
          </w:p>
        </w:tc>
        <w:tc>
          <w:tcPr>
            <w:tcW w:w="600" w:type="dxa"/>
            <w:vAlign w:val="bottom"/>
            <w:shd w:val="clear" w:color="auto" w:fill="CCEBF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720" w:type="dxa"/>
            <w:vAlign w:val="bottom"/>
            <w:shd w:val="clear" w:color="auto" w:fill="CCEBF8"/>
          </w:tcPr>
          <w:p>
            <w:pPr>
              <w:spacing w:after="0"/>
              <w:rPr>
                <w:sz w:val="11"/>
                <w:szCs w:val="11"/>
                <w:color w:val="auto"/>
              </w:rPr>
            </w:pPr>
          </w:p>
        </w:tc>
        <w:tc>
          <w:tcPr>
            <w:tcW w:w="84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90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800" w:type="dxa"/>
            <w:vAlign w:val="bottom"/>
            <w:shd w:val="clear" w:color="auto" w:fill="CCEBF8"/>
          </w:tcPr>
          <w:p>
            <w:pPr>
              <w:spacing w:after="0"/>
              <w:rPr>
                <w:sz w:val="11"/>
                <w:szCs w:val="11"/>
                <w:color w:val="auto"/>
              </w:rPr>
            </w:pPr>
          </w:p>
        </w:tc>
        <w:tc>
          <w:tcPr>
            <w:tcW w:w="740" w:type="dxa"/>
            <w:vAlign w:val="bottom"/>
            <w:shd w:val="clear" w:color="auto" w:fill="CCEBF8"/>
          </w:tcPr>
          <w:p>
            <w:pPr>
              <w:spacing w:after="0"/>
              <w:rPr>
                <w:sz w:val="11"/>
                <w:szCs w:val="11"/>
                <w:color w:val="auto"/>
              </w:rPr>
            </w:pPr>
          </w:p>
        </w:tc>
        <w:tc>
          <w:tcPr>
            <w:tcW w:w="820" w:type="dxa"/>
            <w:vAlign w:val="bottom"/>
            <w:shd w:val="clear" w:color="auto" w:fill="CCEBF8"/>
          </w:tcPr>
          <w:p>
            <w:pPr>
              <w:spacing w:after="0"/>
              <w:rPr>
                <w:sz w:val="11"/>
                <w:szCs w:val="11"/>
                <w:color w:val="auto"/>
              </w:rPr>
            </w:pPr>
          </w:p>
        </w:tc>
        <w:tc>
          <w:tcPr>
            <w:tcW w:w="640" w:type="dxa"/>
            <w:vAlign w:val="bottom"/>
            <w:shd w:val="clear" w:color="auto" w:fill="CCEBF8"/>
          </w:tcPr>
          <w:p>
            <w:pPr>
              <w:spacing w:after="0"/>
              <w:rPr>
                <w:sz w:val="11"/>
                <w:szCs w:val="11"/>
                <w:color w:val="auto"/>
              </w:rPr>
            </w:pPr>
          </w:p>
        </w:tc>
        <w:tc>
          <w:tcPr>
            <w:tcW w:w="800" w:type="dxa"/>
            <w:vAlign w:val="bottom"/>
            <w:shd w:val="clear" w:color="auto" w:fill="CCEBF8"/>
          </w:tcPr>
          <w:p>
            <w:pPr>
              <w:jc w:val="center"/>
              <w:ind w:left="38"/>
              <w:spacing w:after="0" w:line="134" w:lineRule="exact"/>
              <w:rPr>
                <w:sz w:val="20"/>
                <w:szCs w:val="20"/>
                <w:color w:val="auto"/>
              </w:rPr>
            </w:pPr>
            <w:r>
              <w:rPr>
                <w:rFonts w:ascii="Arial" w:cs="Arial" w:eastAsia="Arial" w:hAnsi="Arial"/>
                <w:sz w:val="12"/>
                <w:szCs w:val="12"/>
                <w:b w:val="1"/>
                <w:bCs w:val="1"/>
                <w:color w:val="009BDE"/>
              </w:rPr>
              <w:t>Stock</w:t>
            </w:r>
          </w:p>
        </w:tc>
        <w:tc>
          <w:tcPr>
            <w:tcW w:w="200" w:type="dxa"/>
            <w:vAlign w:val="bottom"/>
            <w:shd w:val="clear" w:color="auto" w:fill="CCEBF8"/>
          </w:tcPr>
          <w:p>
            <w:pPr>
              <w:spacing w:after="0"/>
              <w:rPr>
                <w:sz w:val="11"/>
                <w:szCs w:val="11"/>
                <w:color w:val="auto"/>
              </w:rPr>
            </w:pPr>
          </w:p>
        </w:tc>
        <w:tc>
          <w:tcPr>
            <w:tcW w:w="600" w:type="dxa"/>
            <w:vAlign w:val="bottom"/>
            <w:shd w:val="clear" w:color="auto" w:fill="CCEBF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720" w:type="dxa"/>
            <w:vAlign w:val="bottom"/>
            <w:shd w:val="clear" w:color="auto" w:fill="CCEBF8"/>
          </w:tcPr>
          <w:p>
            <w:pPr>
              <w:spacing w:after="0"/>
              <w:rPr>
                <w:sz w:val="11"/>
                <w:szCs w:val="11"/>
                <w:color w:val="auto"/>
              </w:rPr>
            </w:pPr>
          </w:p>
        </w:tc>
        <w:tc>
          <w:tcPr>
            <w:tcW w:w="84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90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800" w:type="dxa"/>
            <w:vAlign w:val="bottom"/>
            <w:shd w:val="clear" w:color="auto" w:fill="CCEBF8"/>
          </w:tcPr>
          <w:p>
            <w:pPr>
              <w:spacing w:after="0"/>
              <w:rPr>
                <w:sz w:val="11"/>
                <w:szCs w:val="11"/>
                <w:color w:val="auto"/>
              </w:rPr>
            </w:pPr>
          </w:p>
        </w:tc>
        <w:tc>
          <w:tcPr>
            <w:tcW w:w="740" w:type="dxa"/>
            <w:vAlign w:val="bottom"/>
            <w:shd w:val="clear" w:color="auto" w:fill="CCEBF8"/>
          </w:tcPr>
          <w:p>
            <w:pPr>
              <w:spacing w:after="0"/>
              <w:rPr>
                <w:sz w:val="11"/>
                <w:szCs w:val="11"/>
                <w:color w:val="auto"/>
              </w:rPr>
            </w:pPr>
          </w:p>
        </w:tc>
        <w:tc>
          <w:tcPr>
            <w:tcW w:w="820" w:type="dxa"/>
            <w:vAlign w:val="bottom"/>
            <w:shd w:val="clear" w:color="auto" w:fill="CCEBF8"/>
          </w:tcPr>
          <w:p>
            <w:pPr>
              <w:spacing w:after="0"/>
              <w:rPr>
                <w:sz w:val="11"/>
                <w:szCs w:val="11"/>
                <w:color w:val="auto"/>
              </w:rPr>
            </w:pPr>
          </w:p>
        </w:tc>
        <w:tc>
          <w:tcPr>
            <w:tcW w:w="640" w:type="dxa"/>
            <w:vAlign w:val="bottom"/>
            <w:shd w:val="clear" w:color="auto" w:fill="CCEBF8"/>
          </w:tcPr>
          <w:p>
            <w:pPr>
              <w:spacing w:after="0"/>
              <w:rPr>
                <w:sz w:val="11"/>
                <w:szCs w:val="11"/>
                <w:color w:val="auto"/>
              </w:rPr>
            </w:pPr>
          </w:p>
        </w:tc>
        <w:tc>
          <w:tcPr>
            <w:tcW w:w="800" w:type="dxa"/>
            <w:vAlign w:val="bottom"/>
            <w:shd w:val="clear" w:color="auto" w:fill="CCEBF8"/>
          </w:tcPr>
          <w:p>
            <w:pPr>
              <w:jc w:val="center"/>
              <w:ind w:left="18"/>
              <w:spacing w:after="0" w:line="134" w:lineRule="exact"/>
              <w:rPr>
                <w:sz w:val="20"/>
                <w:szCs w:val="20"/>
                <w:color w:val="auto"/>
              </w:rPr>
            </w:pPr>
            <w:r>
              <w:rPr>
                <w:rFonts w:ascii="Arial" w:cs="Arial" w:eastAsia="Arial" w:hAnsi="Arial"/>
                <w:sz w:val="12"/>
                <w:szCs w:val="12"/>
                <w:b w:val="1"/>
                <w:bCs w:val="1"/>
                <w:color w:val="009BDE"/>
              </w:rPr>
              <w:t>Awards:</w:t>
            </w:r>
          </w:p>
        </w:tc>
        <w:tc>
          <w:tcPr>
            <w:tcW w:w="200" w:type="dxa"/>
            <w:vAlign w:val="bottom"/>
            <w:shd w:val="clear" w:color="auto" w:fill="CCEBF8"/>
          </w:tcPr>
          <w:p>
            <w:pPr>
              <w:spacing w:after="0"/>
              <w:rPr>
                <w:sz w:val="11"/>
                <w:szCs w:val="11"/>
                <w:color w:val="auto"/>
              </w:rPr>
            </w:pPr>
          </w:p>
        </w:tc>
        <w:tc>
          <w:tcPr>
            <w:tcW w:w="600" w:type="dxa"/>
            <w:vAlign w:val="bottom"/>
            <w:shd w:val="clear" w:color="auto" w:fill="CCEBF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720" w:type="dxa"/>
            <w:vAlign w:val="bottom"/>
            <w:shd w:val="clear" w:color="auto" w:fill="CCEBF8"/>
          </w:tcPr>
          <w:p>
            <w:pPr>
              <w:spacing w:after="0"/>
              <w:rPr>
                <w:sz w:val="11"/>
                <w:szCs w:val="11"/>
                <w:color w:val="auto"/>
              </w:rPr>
            </w:pPr>
          </w:p>
        </w:tc>
        <w:tc>
          <w:tcPr>
            <w:tcW w:w="84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90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800" w:type="dxa"/>
            <w:vAlign w:val="bottom"/>
            <w:shd w:val="clear" w:color="auto" w:fill="CCEBF8"/>
          </w:tcPr>
          <w:p>
            <w:pPr>
              <w:spacing w:after="0"/>
              <w:rPr>
                <w:sz w:val="11"/>
                <w:szCs w:val="11"/>
                <w:color w:val="auto"/>
              </w:rPr>
            </w:pPr>
          </w:p>
        </w:tc>
        <w:tc>
          <w:tcPr>
            <w:tcW w:w="740" w:type="dxa"/>
            <w:vAlign w:val="bottom"/>
            <w:shd w:val="clear" w:color="auto" w:fill="CCEBF8"/>
          </w:tcPr>
          <w:p>
            <w:pPr>
              <w:spacing w:after="0"/>
              <w:rPr>
                <w:sz w:val="11"/>
                <w:szCs w:val="11"/>
                <w:color w:val="auto"/>
              </w:rPr>
            </w:pPr>
          </w:p>
        </w:tc>
        <w:tc>
          <w:tcPr>
            <w:tcW w:w="820" w:type="dxa"/>
            <w:vAlign w:val="bottom"/>
            <w:shd w:val="clear" w:color="auto" w:fill="CCEBF8"/>
          </w:tcPr>
          <w:p>
            <w:pPr>
              <w:spacing w:after="0"/>
              <w:rPr>
                <w:sz w:val="11"/>
                <w:szCs w:val="11"/>
                <w:color w:val="auto"/>
              </w:rPr>
            </w:pPr>
          </w:p>
        </w:tc>
        <w:tc>
          <w:tcPr>
            <w:tcW w:w="640" w:type="dxa"/>
            <w:vAlign w:val="bottom"/>
            <w:shd w:val="clear" w:color="auto" w:fill="CCEBF8"/>
          </w:tcPr>
          <w:p>
            <w:pPr>
              <w:spacing w:after="0"/>
              <w:rPr>
                <w:sz w:val="11"/>
                <w:szCs w:val="11"/>
                <w:color w:val="auto"/>
              </w:rPr>
            </w:pPr>
          </w:p>
        </w:tc>
        <w:tc>
          <w:tcPr>
            <w:tcW w:w="800" w:type="dxa"/>
            <w:vAlign w:val="bottom"/>
            <w:shd w:val="clear" w:color="auto" w:fill="CCEBF8"/>
          </w:tcPr>
          <w:p>
            <w:pPr>
              <w:jc w:val="center"/>
              <w:ind w:left="18"/>
              <w:spacing w:after="0" w:line="134" w:lineRule="exact"/>
              <w:rPr>
                <w:sz w:val="20"/>
                <w:szCs w:val="20"/>
                <w:color w:val="auto"/>
              </w:rPr>
            </w:pPr>
            <w:r>
              <w:rPr>
                <w:rFonts w:ascii="Arial" w:cs="Arial" w:eastAsia="Arial" w:hAnsi="Arial"/>
                <w:sz w:val="12"/>
                <w:szCs w:val="12"/>
                <w:b w:val="1"/>
                <w:bCs w:val="1"/>
                <w:color w:val="009BDE"/>
              </w:rPr>
              <w:t>Number</w:t>
            </w:r>
          </w:p>
        </w:tc>
        <w:tc>
          <w:tcPr>
            <w:tcW w:w="200" w:type="dxa"/>
            <w:vAlign w:val="bottom"/>
            <w:shd w:val="clear" w:color="auto" w:fill="CCEBF8"/>
          </w:tcPr>
          <w:p>
            <w:pPr>
              <w:spacing w:after="0"/>
              <w:rPr>
                <w:sz w:val="11"/>
                <w:szCs w:val="11"/>
                <w:color w:val="auto"/>
              </w:rPr>
            </w:pPr>
          </w:p>
        </w:tc>
        <w:tc>
          <w:tcPr>
            <w:tcW w:w="600" w:type="dxa"/>
            <w:vAlign w:val="bottom"/>
            <w:vMerge w:val="restart"/>
            <w:shd w:val="clear" w:color="auto" w:fill="CCEBF8"/>
          </w:tcPr>
          <w:p>
            <w:pPr>
              <w:jc w:val="center"/>
              <w:ind w:right="58"/>
              <w:spacing w:after="0"/>
              <w:rPr>
                <w:sz w:val="20"/>
                <w:szCs w:val="20"/>
                <w:color w:val="auto"/>
              </w:rPr>
            </w:pPr>
            <w:r>
              <w:rPr>
                <w:rFonts w:ascii="Arial" w:cs="Arial" w:eastAsia="Arial" w:hAnsi="Arial"/>
                <w:sz w:val="12"/>
                <w:szCs w:val="12"/>
                <w:b w:val="1"/>
                <w:bCs w:val="1"/>
                <w:color w:val="009BDE"/>
                <w:w w:val="99"/>
              </w:rPr>
              <w:t>Grant</w:t>
            </w:r>
          </w:p>
        </w:tc>
        <w:tc>
          <w:tcPr>
            <w:tcW w:w="0" w:type="dxa"/>
            <w:vAlign w:val="bottom"/>
          </w:tcPr>
          <w:p>
            <w:pPr>
              <w:spacing w:after="0"/>
              <w:rPr>
                <w:sz w:val="1"/>
                <w:szCs w:val="1"/>
                <w:color w:val="auto"/>
              </w:rPr>
            </w:pPr>
          </w:p>
        </w:tc>
      </w:tr>
      <w:tr>
        <w:trPr>
          <w:trHeight w:val="134"/>
        </w:trPr>
        <w:tc>
          <w:tcPr>
            <w:tcW w:w="3720" w:type="dxa"/>
            <w:vAlign w:val="bottom"/>
            <w:shd w:val="clear" w:color="auto" w:fill="CCEBF8"/>
          </w:tcPr>
          <w:p>
            <w:pPr>
              <w:spacing w:after="0"/>
              <w:rPr>
                <w:sz w:val="11"/>
                <w:szCs w:val="11"/>
                <w:color w:val="auto"/>
              </w:rPr>
            </w:pPr>
          </w:p>
        </w:tc>
        <w:tc>
          <w:tcPr>
            <w:tcW w:w="84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2380" w:type="dxa"/>
            <w:vAlign w:val="bottom"/>
            <w:gridSpan w:val="3"/>
            <w:vMerge w:val="restart"/>
            <w:shd w:val="clear" w:color="auto" w:fill="CCEBF8"/>
          </w:tcPr>
          <w:p>
            <w:pPr>
              <w:jc w:val="center"/>
              <w:ind w:right="38"/>
              <w:spacing w:after="0"/>
              <w:rPr>
                <w:sz w:val="20"/>
                <w:szCs w:val="20"/>
                <w:color w:val="auto"/>
              </w:rPr>
            </w:pPr>
            <w:r>
              <w:rPr>
                <w:rFonts w:ascii="Arial" w:cs="Arial" w:eastAsia="Arial" w:hAnsi="Arial"/>
                <w:sz w:val="12"/>
                <w:szCs w:val="12"/>
                <w:b w:val="1"/>
                <w:bCs w:val="1"/>
                <w:color w:val="009BDE"/>
              </w:rPr>
              <w:t>Estimated Future Payouts Under</w:t>
            </w:r>
          </w:p>
        </w:tc>
        <w:tc>
          <w:tcPr>
            <w:tcW w:w="2200" w:type="dxa"/>
            <w:vAlign w:val="bottom"/>
            <w:gridSpan w:val="3"/>
            <w:vMerge w:val="restart"/>
            <w:shd w:val="clear" w:color="auto" w:fill="CCEBF8"/>
          </w:tcPr>
          <w:p>
            <w:pPr>
              <w:jc w:val="center"/>
              <w:spacing w:after="0"/>
              <w:rPr>
                <w:sz w:val="20"/>
                <w:szCs w:val="20"/>
                <w:color w:val="auto"/>
              </w:rPr>
            </w:pPr>
            <w:r>
              <w:rPr>
                <w:rFonts w:ascii="Arial" w:cs="Arial" w:eastAsia="Arial" w:hAnsi="Arial"/>
                <w:sz w:val="12"/>
                <w:szCs w:val="12"/>
                <w:b w:val="1"/>
                <w:bCs w:val="1"/>
                <w:color w:val="009BDE"/>
              </w:rPr>
              <w:t>Estimated Future Payouts</w:t>
            </w:r>
          </w:p>
        </w:tc>
        <w:tc>
          <w:tcPr>
            <w:tcW w:w="800" w:type="dxa"/>
            <w:vAlign w:val="bottom"/>
            <w:shd w:val="clear" w:color="auto" w:fill="CCEBF8"/>
          </w:tcPr>
          <w:p>
            <w:pPr>
              <w:jc w:val="center"/>
              <w:ind w:left="18"/>
              <w:spacing w:after="0" w:line="134" w:lineRule="exact"/>
              <w:rPr>
                <w:sz w:val="20"/>
                <w:szCs w:val="20"/>
                <w:color w:val="auto"/>
              </w:rPr>
            </w:pPr>
            <w:r>
              <w:rPr>
                <w:rFonts w:ascii="Arial" w:cs="Arial" w:eastAsia="Arial" w:hAnsi="Arial"/>
                <w:sz w:val="12"/>
                <w:szCs w:val="12"/>
                <w:b w:val="1"/>
                <w:bCs w:val="1"/>
                <w:color w:val="009BDE"/>
              </w:rPr>
              <w:t>of</w:t>
            </w:r>
          </w:p>
        </w:tc>
        <w:tc>
          <w:tcPr>
            <w:tcW w:w="200" w:type="dxa"/>
            <w:vAlign w:val="bottom"/>
            <w:shd w:val="clear" w:color="auto" w:fill="CCEBF8"/>
          </w:tcPr>
          <w:p>
            <w:pPr>
              <w:spacing w:after="0"/>
              <w:rPr>
                <w:sz w:val="11"/>
                <w:szCs w:val="11"/>
                <w:color w:val="auto"/>
              </w:rPr>
            </w:pPr>
          </w:p>
        </w:tc>
        <w:tc>
          <w:tcPr>
            <w:tcW w:w="600" w:type="dxa"/>
            <w:vAlign w:val="bottom"/>
            <w:vMerge w:val="continue"/>
            <w:shd w:val="clear" w:color="auto" w:fill="CCEBF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720" w:type="dxa"/>
            <w:vAlign w:val="bottom"/>
            <w:shd w:val="clear" w:color="auto" w:fill="CCEBF8"/>
          </w:tcPr>
          <w:p>
            <w:pPr>
              <w:spacing w:after="0"/>
              <w:rPr>
                <w:sz w:val="11"/>
                <w:szCs w:val="11"/>
                <w:color w:val="auto"/>
              </w:rPr>
            </w:pPr>
          </w:p>
        </w:tc>
        <w:tc>
          <w:tcPr>
            <w:tcW w:w="84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2380" w:type="dxa"/>
            <w:vAlign w:val="bottom"/>
            <w:gridSpan w:val="3"/>
            <w:vMerge w:val="continue"/>
            <w:shd w:val="clear" w:color="auto" w:fill="CCEBF8"/>
          </w:tcPr>
          <w:p>
            <w:pPr>
              <w:spacing w:after="0"/>
              <w:rPr>
                <w:sz w:val="11"/>
                <w:szCs w:val="11"/>
                <w:color w:val="auto"/>
              </w:rPr>
            </w:pPr>
          </w:p>
        </w:tc>
        <w:tc>
          <w:tcPr>
            <w:tcW w:w="2200" w:type="dxa"/>
            <w:vAlign w:val="bottom"/>
            <w:gridSpan w:val="3"/>
            <w:vMerge w:val="continue"/>
            <w:shd w:val="clear" w:color="auto" w:fill="CCEBF8"/>
          </w:tcPr>
          <w:p>
            <w:pPr>
              <w:spacing w:after="0"/>
              <w:rPr>
                <w:sz w:val="11"/>
                <w:szCs w:val="11"/>
                <w:color w:val="auto"/>
              </w:rPr>
            </w:pPr>
          </w:p>
        </w:tc>
        <w:tc>
          <w:tcPr>
            <w:tcW w:w="800" w:type="dxa"/>
            <w:vAlign w:val="bottom"/>
            <w:shd w:val="clear" w:color="auto" w:fill="CCEBF8"/>
          </w:tcPr>
          <w:p>
            <w:pPr>
              <w:jc w:val="center"/>
              <w:ind w:left="38"/>
              <w:spacing w:after="0" w:line="134" w:lineRule="exact"/>
              <w:rPr>
                <w:sz w:val="20"/>
                <w:szCs w:val="20"/>
                <w:color w:val="auto"/>
              </w:rPr>
            </w:pPr>
            <w:r>
              <w:rPr>
                <w:rFonts w:ascii="Arial" w:cs="Arial" w:eastAsia="Arial" w:hAnsi="Arial"/>
                <w:sz w:val="12"/>
                <w:szCs w:val="12"/>
                <w:b w:val="1"/>
                <w:bCs w:val="1"/>
                <w:color w:val="009BDE"/>
              </w:rPr>
              <w:t>Shares</w:t>
            </w:r>
          </w:p>
        </w:tc>
        <w:tc>
          <w:tcPr>
            <w:tcW w:w="800" w:type="dxa"/>
            <w:vAlign w:val="bottom"/>
            <w:gridSpan w:val="2"/>
            <w:shd w:val="clear" w:color="auto" w:fill="CCEBF8"/>
          </w:tcPr>
          <w:p>
            <w:pPr>
              <w:jc w:val="center"/>
              <w:ind w:left="18"/>
              <w:spacing w:after="0" w:line="134" w:lineRule="exact"/>
              <w:rPr>
                <w:sz w:val="20"/>
                <w:szCs w:val="20"/>
                <w:color w:val="auto"/>
              </w:rPr>
            </w:pPr>
            <w:r>
              <w:rPr>
                <w:rFonts w:ascii="Arial" w:cs="Arial" w:eastAsia="Arial" w:hAnsi="Arial"/>
                <w:sz w:val="12"/>
                <w:szCs w:val="12"/>
                <w:b w:val="1"/>
                <w:bCs w:val="1"/>
                <w:color w:val="009BDE"/>
              </w:rPr>
              <w:t>Date Fair</w:t>
            </w:r>
          </w:p>
        </w:tc>
        <w:tc>
          <w:tcPr>
            <w:tcW w:w="0" w:type="dxa"/>
            <w:vAlign w:val="bottom"/>
          </w:tcPr>
          <w:p>
            <w:pPr>
              <w:spacing w:after="0"/>
              <w:rPr>
                <w:sz w:val="1"/>
                <w:szCs w:val="1"/>
                <w:color w:val="auto"/>
              </w:rPr>
            </w:pPr>
          </w:p>
        </w:tc>
      </w:tr>
      <w:tr>
        <w:trPr>
          <w:trHeight w:val="134"/>
        </w:trPr>
        <w:tc>
          <w:tcPr>
            <w:tcW w:w="3720" w:type="dxa"/>
            <w:vAlign w:val="bottom"/>
            <w:shd w:val="clear" w:color="auto" w:fill="CCEBF8"/>
          </w:tcPr>
          <w:p>
            <w:pPr>
              <w:spacing w:after="0"/>
              <w:rPr>
                <w:sz w:val="11"/>
                <w:szCs w:val="11"/>
                <w:color w:val="auto"/>
              </w:rPr>
            </w:pPr>
          </w:p>
        </w:tc>
        <w:tc>
          <w:tcPr>
            <w:tcW w:w="84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1580" w:type="dxa"/>
            <w:vAlign w:val="bottom"/>
            <w:gridSpan w:val="2"/>
            <w:shd w:val="clear" w:color="auto" w:fill="CCEBF8"/>
          </w:tcPr>
          <w:p>
            <w:pPr>
              <w:jc w:val="center"/>
              <w:ind w:left="638"/>
              <w:spacing w:after="0" w:line="134" w:lineRule="exact"/>
              <w:rPr>
                <w:sz w:val="20"/>
                <w:szCs w:val="20"/>
                <w:color w:val="auto"/>
              </w:rPr>
            </w:pPr>
            <w:r>
              <w:rPr>
                <w:rFonts w:ascii="Arial" w:cs="Arial" w:eastAsia="Arial" w:hAnsi="Arial"/>
                <w:sz w:val="12"/>
                <w:szCs w:val="12"/>
                <w:b w:val="1"/>
                <w:bCs w:val="1"/>
                <w:color w:val="009BDE"/>
              </w:rPr>
              <w:t>Non-Equity</w:t>
            </w:r>
          </w:p>
        </w:tc>
        <w:tc>
          <w:tcPr>
            <w:tcW w:w="800" w:type="dxa"/>
            <w:vAlign w:val="bottom"/>
            <w:shd w:val="clear" w:color="auto" w:fill="CCEBF8"/>
          </w:tcPr>
          <w:p>
            <w:pPr>
              <w:spacing w:after="0"/>
              <w:rPr>
                <w:sz w:val="11"/>
                <w:szCs w:val="11"/>
                <w:color w:val="auto"/>
              </w:rPr>
            </w:pPr>
          </w:p>
        </w:tc>
        <w:tc>
          <w:tcPr>
            <w:tcW w:w="740" w:type="dxa"/>
            <w:vAlign w:val="bottom"/>
            <w:shd w:val="clear" w:color="auto" w:fill="CCEBF8"/>
          </w:tcPr>
          <w:p>
            <w:pPr>
              <w:spacing w:after="0"/>
              <w:rPr>
                <w:sz w:val="11"/>
                <w:szCs w:val="11"/>
                <w:color w:val="auto"/>
              </w:rPr>
            </w:pPr>
          </w:p>
        </w:tc>
        <w:tc>
          <w:tcPr>
            <w:tcW w:w="820" w:type="dxa"/>
            <w:vAlign w:val="bottom"/>
            <w:shd w:val="clear" w:color="auto" w:fill="CCEBF8"/>
          </w:tcPr>
          <w:p>
            <w:pPr>
              <w:jc w:val="center"/>
              <w:spacing w:after="0" w:line="134" w:lineRule="exact"/>
              <w:rPr>
                <w:sz w:val="20"/>
                <w:szCs w:val="20"/>
                <w:color w:val="auto"/>
              </w:rPr>
            </w:pPr>
            <w:r>
              <w:rPr>
                <w:rFonts w:ascii="Arial" w:cs="Arial" w:eastAsia="Arial" w:hAnsi="Arial"/>
                <w:sz w:val="12"/>
                <w:szCs w:val="12"/>
                <w:b w:val="1"/>
                <w:bCs w:val="1"/>
                <w:color w:val="009BDE"/>
              </w:rPr>
              <w:t>Under Equity</w:t>
            </w:r>
          </w:p>
        </w:tc>
        <w:tc>
          <w:tcPr>
            <w:tcW w:w="640" w:type="dxa"/>
            <w:vAlign w:val="bottom"/>
            <w:shd w:val="clear" w:color="auto" w:fill="CCEBF8"/>
          </w:tcPr>
          <w:p>
            <w:pPr>
              <w:spacing w:after="0"/>
              <w:rPr>
                <w:sz w:val="11"/>
                <w:szCs w:val="11"/>
                <w:color w:val="auto"/>
              </w:rPr>
            </w:pPr>
          </w:p>
        </w:tc>
        <w:tc>
          <w:tcPr>
            <w:tcW w:w="800" w:type="dxa"/>
            <w:vAlign w:val="bottom"/>
            <w:shd w:val="clear" w:color="auto" w:fill="CCEBF8"/>
          </w:tcPr>
          <w:p>
            <w:pPr>
              <w:jc w:val="center"/>
              <w:ind w:left="18"/>
              <w:spacing w:after="0" w:line="134" w:lineRule="exact"/>
              <w:rPr>
                <w:sz w:val="20"/>
                <w:szCs w:val="20"/>
                <w:color w:val="auto"/>
              </w:rPr>
            </w:pPr>
            <w:r>
              <w:rPr>
                <w:rFonts w:ascii="Arial" w:cs="Arial" w:eastAsia="Arial" w:hAnsi="Arial"/>
                <w:sz w:val="12"/>
                <w:szCs w:val="12"/>
                <w:b w:val="1"/>
                <w:bCs w:val="1"/>
                <w:color w:val="009BDE"/>
              </w:rPr>
              <w:t>of</w:t>
            </w:r>
          </w:p>
        </w:tc>
        <w:tc>
          <w:tcPr>
            <w:tcW w:w="200" w:type="dxa"/>
            <w:vAlign w:val="bottom"/>
            <w:shd w:val="clear" w:color="auto" w:fill="CCEBF8"/>
          </w:tcPr>
          <w:p>
            <w:pPr>
              <w:spacing w:after="0"/>
              <w:rPr>
                <w:sz w:val="11"/>
                <w:szCs w:val="11"/>
                <w:color w:val="auto"/>
              </w:rPr>
            </w:pPr>
          </w:p>
        </w:tc>
        <w:tc>
          <w:tcPr>
            <w:tcW w:w="600" w:type="dxa"/>
            <w:vAlign w:val="bottom"/>
            <w:shd w:val="clear" w:color="auto" w:fill="CCEBF8"/>
          </w:tcPr>
          <w:p>
            <w:pPr>
              <w:jc w:val="center"/>
              <w:ind w:right="58"/>
              <w:spacing w:after="0" w:line="134" w:lineRule="exact"/>
              <w:rPr>
                <w:sz w:val="20"/>
                <w:szCs w:val="20"/>
                <w:color w:val="auto"/>
              </w:rPr>
            </w:pPr>
            <w:r>
              <w:rPr>
                <w:rFonts w:ascii="Arial" w:cs="Arial" w:eastAsia="Arial" w:hAnsi="Arial"/>
                <w:sz w:val="12"/>
                <w:szCs w:val="12"/>
                <w:b w:val="1"/>
                <w:bCs w:val="1"/>
                <w:color w:val="009BDE"/>
              </w:rPr>
              <w:t>Value of</w:t>
            </w:r>
          </w:p>
        </w:tc>
        <w:tc>
          <w:tcPr>
            <w:tcW w:w="0" w:type="dxa"/>
            <w:vAlign w:val="bottom"/>
          </w:tcPr>
          <w:p>
            <w:pPr>
              <w:spacing w:after="0"/>
              <w:rPr>
                <w:sz w:val="1"/>
                <w:szCs w:val="1"/>
                <w:color w:val="auto"/>
              </w:rPr>
            </w:pPr>
          </w:p>
        </w:tc>
      </w:tr>
      <w:tr>
        <w:trPr>
          <w:trHeight w:val="134"/>
        </w:trPr>
        <w:tc>
          <w:tcPr>
            <w:tcW w:w="3720" w:type="dxa"/>
            <w:vAlign w:val="bottom"/>
            <w:shd w:val="clear" w:color="auto" w:fill="CCEBF8"/>
          </w:tcPr>
          <w:p>
            <w:pPr>
              <w:spacing w:after="0"/>
              <w:rPr>
                <w:sz w:val="11"/>
                <w:szCs w:val="11"/>
                <w:color w:val="auto"/>
              </w:rPr>
            </w:pPr>
          </w:p>
        </w:tc>
        <w:tc>
          <w:tcPr>
            <w:tcW w:w="84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2380" w:type="dxa"/>
            <w:vAlign w:val="bottom"/>
            <w:gridSpan w:val="3"/>
            <w:shd w:val="clear" w:color="auto" w:fill="CCEBF8"/>
          </w:tcPr>
          <w:p>
            <w:pPr>
              <w:jc w:val="center"/>
              <w:ind w:right="38"/>
              <w:spacing w:after="0" w:line="134" w:lineRule="exact"/>
              <w:rPr>
                <w:sz w:val="20"/>
                <w:szCs w:val="20"/>
                <w:color w:val="auto"/>
              </w:rPr>
            </w:pPr>
            <w:r>
              <w:rPr>
                <w:rFonts w:ascii="Arial" w:cs="Arial" w:eastAsia="Arial" w:hAnsi="Arial"/>
                <w:sz w:val="12"/>
                <w:szCs w:val="12"/>
                <w:b w:val="1"/>
                <w:bCs w:val="1"/>
                <w:color w:val="009BDE"/>
              </w:rPr>
              <w:t>Incentive Plan Awards</w:t>
            </w:r>
          </w:p>
        </w:tc>
        <w:tc>
          <w:tcPr>
            <w:tcW w:w="2200" w:type="dxa"/>
            <w:vAlign w:val="bottom"/>
            <w:gridSpan w:val="3"/>
            <w:shd w:val="clear" w:color="auto" w:fill="CCEBF8"/>
          </w:tcPr>
          <w:p>
            <w:pPr>
              <w:jc w:val="center"/>
              <w:ind w:left="18"/>
              <w:spacing w:after="0" w:line="134" w:lineRule="exact"/>
              <w:rPr>
                <w:sz w:val="20"/>
                <w:szCs w:val="20"/>
                <w:color w:val="auto"/>
              </w:rPr>
            </w:pPr>
            <w:r>
              <w:rPr>
                <w:rFonts w:ascii="Arial" w:cs="Arial" w:eastAsia="Arial" w:hAnsi="Arial"/>
                <w:sz w:val="12"/>
                <w:szCs w:val="12"/>
                <w:b w:val="1"/>
                <w:bCs w:val="1"/>
                <w:color w:val="009BDE"/>
              </w:rPr>
              <w:t>Incentive Plan Awards</w:t>
            </w:r>
          </w:p>
        </w:tc>
        <w:tc>
          <w:tcPr>
            <w:tcW w:w="800" w:type="dxa"/>
            <w:vAlign w:val="bottom"/>
            <w:shd w:val="clear" w:color="auto" w:fill="CCEBF8"/>
          </w:tcPr>
          <w:p>
            <w:pPr>
              <w:jc w:val="center"/>
              <w:ind w:left="38"/>
              <w:spacing w:after="0" w:line="134" w:lineRule="exact"/>
              <w:rPr>
                <w:sz w:val="20"/>
                <w:szCs w:val="20"/>
                <w:color w:val="auto"/>
              </w:rPr>
            </w:pPr>
            <w:r>
              <w:rPr>
                <w:rFonts w:ascii="Arial" w:cs="Arial" w:eastAsia="Arial" w:hAnsi="Arial"/>
                <w:sz w:val="12"/>
                <w:szCs w:val="12"/>
                <w:b w:val="1"/>
                <w:bCs w:val="1"/>
                <w:color w:val="009BDE"/>
              </w:rPr>
              <w:t>Stock</w:t>
            </w:r>
          </w:p>
        </w:tc>
        <w:tc>
          <w:tcPr>
            <w:tcW w:w="200" w:type="dxa"/>
            <w:vAlign w:val="bottom"/>
            <w:shd w:val="clear" w:color="auto" w:fill="CCEBF8"/>
          </w:tcPr>
          <w:p>
            <w:pPr>
              <w:spacing w:after="0"/>
              <w:rPr>
                <w:sz w:val="11"/>
                <w:szCs w:val="11"/>
                <w:color w:val="auto"/>
              </w:rPr>
            </w:pPr>
          </w:p>
        </w:tc>
        <w:tc>
          <w:tcPr>
            <w:tcW w:w="600" w:type="dxa"/>
            <w:vAlign w:val="bottom"/>
            <w:shd w:val="clear" w:color="auto" w:fill="CCEBF8"/>
          </w:tcPr>
          <w:p>
            <w:pPr>
              <w:jc w:val="center"/>
              <w:ind w:right="78"/>
              <w:spacing w:after="0" w:line="134" w:lineRule="exact"/>
              <w:rPr>
                <w:sz w:val="20"/>
                <w:szCs w:val="20"/>
                <w:color w:val="auto"/>
              </w:rPr>
            </w:pPr>
            <w:r>
              <w:rPr>
                <w:rFonts w:ascii="Arial" w:cs="Arial" w:eastAsia="Arial" w:hAnsi="Arial"/>
                <w:sz w:val="12"/>
                <w:szCs w:val="12"/>
                <w:b w:val="1"/>
                <w:bCs w:val="1"/>
                <w:color w:val="009BDE"/>
              </w:rPr>
              <w:t>Stock</w:t>
            </w:r>
          </w:p>
        </w:tc>
        <w:tc>
          <w:tcPr>
            <w:tcW w:w="0" w:type="dxa"/>
            <w:vAlign w:val="bottom"/>
          </w:tcPr>
          <w:p>
            <w:pPr>
              <w:spacing w:after="0"/>
              <w:rPr>
                <w:sz w:val="1"/>
                <w:szCs w:val="1"/>
                <w:color w:val="auto"/>
              </w:rPr>
            </w:pPr>
          </w:p>
        </w:tc>
      </w:tr>
      <w:tr>
        <w:trPr>
          <w:trHeight w:val="138"/>
        </w:trPr>
        <w:tc>
          <w:tcPr>
            <w:tcW w:w="3720" w:type="dxa"/>
            <w:vAlign w:val="bottom"/>
            <w:vMerge w:val="restart"/>
            <w:shd w:val="clear" w:color="auto" w:fill="CCEBF8"/>
          </w:tcPr>
          <w:p>
            <w:pPr>
              <w:spacing w:after="0"/>
              <w:rPr>
                <w:sz w:val="20"/>
                <w:szCs w:val="20"/>
                <w:color w:val="auto"/>
              </w:rPr>
            </w:pPr>
            <w:r>
              <w:rPr>
                <w:rFonts w:ascii="Arial" w:cs="Arial" w:eastAsia="Arial" w:hAnsi="Arial"/>
                <w:sz w:val="12"/>
                <w:szCs w:val="12"/>
                <w:b w:val="1"/>
                <w:bCs w:val="1"/>
                <w:color w:val="009BDE"/>
              </w:rPr>
              <w:t>  Name</w:t>
            </w:r>
          </w:p>
        </w:tc>
        <w:tc>
          <w:tcPr>
            <w:tcW w:w="840" w:type="dxa"/>
            <w:vAlign w:val="bottom"/>
            <w:shd w:val="clear" w:color="auto" w:fill="CCEBF8"/>
          </w:tcPr>
          <w:p>
            <w:pPr>
              <w:jc w:val="right"/>
              <w:ind w:right="278"/>
              <w:spacing w:after="0"/>
              <w:rPr>
                <w:sz w:val="20"/>
                <w:szCs w:val="20"/>
                <w:color w:val="auto"/>
              </w:rPr>
            </w:pPr>
            <w:r>
              <w:rPr>
                <w:rFonts w:ascii="Arial" w:cs="Arial" w:eastAsia="Arial" w:hAnsi="Arial"/>
                <w:sz w:val="12"/>
                <w:szCs w:val="12"/>
                <w:b w:val="1"/>
                <w:bCs w:val="1"/>
                <w:color w:val="009BDE"/>
              </w:rPr>
              <w:t>Grant</w:t>
            </w:r>
          </w:p>
        </w:tc>
        <w:tc>
          <w:tcPr>
            <w:tcW w:w="180" w:type="dxa"/>
            <w:vAlign w:val="bottom"/>
            <w:shd w:val="clear" w:color="auto" w:fill="CCEBF8"/>
          </w:tcPr>
          <w:p>
            <w:pPr>
              <w:spacing w:after="0"/>
              <w:rPr>
                <w:sz w:val="12"/>
                <w:szCs w:val="12"/>
                <w:color w:val="auto"/>
              </w:rPr>
            </w:pPr>
          </w:p>
        </w:tc>
        <w:tc>
          <w:tcPr>
            <w:tcW w:w="900" w:type="dxa"/>
            <w:vAlign w:val="bottom"/>
            <w:shd w:val="clear" w:color="auto" w:fill="CCEBF8"/>
          </w:tcPr>
          <w:p>
            <w:pPr>
              <w:jc w:val="right"/>
              <w:ind w:right="218"/>
              <w:spacing w:after="0"/>
              <w:rPr>
                <w:sz w:val="20"/>
                <w:szCs w:val="20"/>
                <w:color w:val="auto"/>
              </w:rPr>
            </w:pPr>
            <w:r>
              <w:rPr>
                <w:rFonts w:ascii="Arial" w:cs="Arial" w:eastAsia="Arial" w:hAnsi="Arial"/>
                <w:sz w:val="12"/>
                <w:szCs w:val="12"/>
                <w:b w:val="1"/>
                <w:bCs w:val="1"/>
                <w:color w:val="009BDE"/>
              </w:rPr>
              <w:t>Threshold</w:t>
            </w:r>
          </w:p>
        </w:tc>
        <w:tc>
          <w:tcPr>
            <w:tcW w:w="680" w:type="dxa"/>
            <w:vAlign w:val="bottom"/>
            <w:shd w:val="clear" w:color="auto" w:fill="CCEBF8"/>
          </w:tcPr>
          <w:p>
            <w:pPr>
              <w:jc w:val="center"/>
              <w:ind w:right="118"/>
              <w:spacing w:after="0"/>
              <w:rPr>
                <w:sz w:val="20"/>
                <w:szCs w:val="20"/>
                <w:color w:val="auto"/>
              </w:rPr>
            </w:pPr>
            <w:r>
              <w:rPr>
                <w:rFonts w:ascii="Arial" w:cs="Arial" w:eastAsia="Arial" w:hAnsi="Arial"/>
                <w:sz w:val="12"/>
                <w:szCs w:val="12"/>
                <w:b w:val="1"/>
                <w:bCs w:val="1"/>
                <w:color w:val="009BDE"/>
              </w:rPr>
              <w:t>Target</w:t>
            </w:r>
          </w:p>
        </w:tc>
        <w:tc>
          <w:tcPr>
            <w:tcW w:w="800" w:type="dxa"/>
            <w:vAlign w:val="bottom"/>
            <w:shd w:val="clear" w:color="auto" w:fill="CCEBF8"/>
          </w:tcPr>
          <w:p>
            <w:pPr>
              <w:jc w:val="center"/>
              <w:spacing w:after="0"/>
              <w:rPr>
                <w:sz w:val="20"/>
                <w:szCs w:val="20"/>
                <w:color w:val="auto"/>
              </w:rPr>
            </w:pPr>
            <w:r>
              <w:rPr>
                <w:rFonts w:ascii="Arial" w:cs="Arial" w:eastAsia="Arial" w:hAnsi="Arial"/>
                <w:sz w:val="12"/>
                <w:szCs w:val="12"/>
                <w:b w:val="1"/>
                <w:bCs w:val="1"/>
                <w:color w:val="009BDE"/>
              </w:rPr>
              <w:t>Maximum</w:t>
            </w:r>
          </w:p>
        </w:tc>
        <w:tc>
          <w:tcPr>
            <w:tcW w:w="740" w:type="dxa"/>
            <w:vAlign w:val="bottom"/>
            <w:shd w:val="clear" w:color="auto" w:fill="CCEBF8"/>
          </w:tcPr>
          <w:p>
            <w:pPr>
              <w:jc w:val="right"/>
              <w:spacing w:after="0"/>
              <w:rPr>
                <w:sz w:val="20"/>
                <w:szCs w:val="20"/>
                <w:color w:val="auto"/>
              </w:rPr>
            </w:pPr>
            <w:r>
              <w:rPr>
                <w:rFonts w:ascii="Arial" w:cs="Arial" w:eastAsia="Arial" w:hAnsi="Arial"/>
                <w:sz w:val="12"/>
                <w:szCs w:val="12"/>
                <w:b w:val="1"/>
                <w:bCs w:val="1"/>
                <w:color w:val="009BDE"/>
              </w:rPr>
              <w:t>Threshold</w:t>
            </w:r>
          </w:p>
        </w:tc>
        <w:tc>
          <w:tcPr>
            <w:tcW w:w="820" w:type="dxa"/>
            <w:vAlign w:val="bottom"/>
            <w:shd w:val="clear" w:color="auto" w:fill="CCEBF8"/>
          </w:tcPr>
          <w:p>
            <w:pPr>
              <w:jc w:val="center"/>
              <w:spacing w:after="0"/>
              <w:rPr>
                <w:sz w:val="20"/>
                <w:szCs w:val="20"/>
                <w:color w:val="auto"/>
              </w:rPr>
            </w:pPr>
            <w:r>
              <w:rPr>
                <w:rFonts w:ascii="Arial" w:cs="Arial" w:eastAsia="Arial" w:hAnsi="Arial"/>
                <w:sz w:val="12"/>
                <w:szCs w:val="12"/>
                <w:b w:val="1"/>
                <w:bCs w:val="1"/>
                <w:color w:val="009BDE"/>
              </w:rPr>
              <w:t>Target</w:t>
            </w:r>
          </w:p>
        </w:tc>
        <w:tc>
          <w:tcPr>
            <w:tcW w:w="640" w:type="dxa"/>
            <w:vAlign w:val="bottom"/>
            <w:shd w:val="clear" w:color="auto" w:fill="CCEBF8"/>
          </w:tcPr>
          <w:p>
            <w:pPr>
              <w:jc w:val="right"/>
              <w:spacing w:after="0"/>
              <w:rPr>
                <w:sz w:val="20"/>
                <w:szCs w:val="20"/>
                <w:color w:val="auto"/>
              </w:rPr>
            </w:pPr>
            <w:r>
              <w:rPr>
                <w:rFonts w:ascii="Arial" w:cs="Arial" w:eastAsia="Arial" w:hAnsi="Arial"/>
                <w:sz w:val="12"/>
                <w:szCs w:val="12"/>
                <w:b w:val="1"/>
                <w:bCs w:val="1"/>
                <w:color w:val="009BDE"/>
              </w:rPr>
              <w:t>Maximum</w:t>
            </w:r>
          </w:p>
        </w:tc>
        <w:tc>
          <w:tcPr>
            <w:tcW w:w="800" w:type="dxa"/>
            <w:vAlign w:val="bottom"/>
            <w:shd w:val="clear" w:color="auto" w:fill="CCEBF8"/>
          </w:tcPr>
          <w:p>
            <w:pPr>
              <w:jc w:val="center"/>
              <w:ind w:left="18"/>
              <w:spacing w:after="0"/>
              <w:rPr>
                <w:sz w:val="20"/>
                <w:szCs w:val="20"/>
                <w:color w:val="auto"/>
              </w:rPr>
            </w:pPr>
            <w:r>
              <w:rPr>
                <w:rFonts w:ascii="Arial" w:cs="Arial" w:eastAsia="Arial" w:hAnsi="Arial"/>
                <w:sz w:val="12"/>
                <w:szCs w:val="12"/>
                <w:b w:val="1"/>
                <w:bCs w:val="1"/>
                <w:color w:val="009BDE"/>
              </w:rPr>
              <w:t>or Units</w:t>
            </w:r>
          </w:p>
        </w:tc>
        <w:tc>
          <w:tcPr>
            <w:tcW w:w="200" w:type="dxa"/>
            <w:vAlign w:val="bottom"/>
            <w:shd w:val="clear" w:color="auto" w:fill="CCEBF8"/>
          </w:tcPr>
          <w:p>
            <w:pPr>
              <w:spacing w:after="0"/>
              <w:rPr>
                <w:sz w:val="12"/>
                <w:szCs w:val="12"/>
                <w:color w:val="auto"/>
              </w:rPr>
            </w:pPr>
          </w:p>
        </w:tc>
        <w:tc>
          <w:tcPr>
            <w:tcW w:w="600" w:type="dxa"/>
            <w:vAlign w:val="bottom"/>
            <w:shd w:val="clear" w:color="auto" w:fill="CCEBF8"/>
          </w:tcPr>
          <w:p>
            <w:pPr>
              <w:jc w:val="center"/>
              <w:ind w:right="58"/>
              <w:spacing w:after="0"/>
              <w:rPr>
                <w:sz w:val="20"/>
                <w:szCs w:val="20"/>
                <w:color w:val="auto"/>
              </w:rPr>
            </w:pPr>
            <w:r>
              <w:rPr>
                <w:rFonts w:ascii="Arial" w:cs="Arial" w:eastAsia="Arial" w:hAnsi="Arial"/>
                <w:sz w:val="12"/>
                <w:szCs w:val="12"/>
                <w:b w:val="1"/>
                <w:bCs w:val="1"/>
                <w:color w:val="009BDE"/>
              </w:rPr>
              <w:t>Awards</w:t>
            </w:r>
          </w:p>
        </w:tc>
        <w:tc>
          <w:tcPr>
            <w:tcW w:w="0" w:type="dxa"/>
            <w:vAlign w:val="bottom"/>
          </w:tcPr>
          <w:p>
            <w:pPr>
              <w:spacing w:after="0"/>
              <w:rPr>
                <w:sz w:val="1"/>
                <w:szCs w:val="1"/>
                <w:color w:val="auto"/>
              </w:rPr>
            </w:pPr>
          </w:p>
        </w:tc>
      </w:tr>
      <w:tr>
        <w:trPr>
          <w:trHeight w:val="180"/>
        </w:trPr>
        <w:tc>
          <w:tcPr>
            <w:tcW w:w="3720" w:type="dxa"/>
            <w:vAlign w:val="bottom"/>
            <w:vMerge w:val="continue"/>
            <w:shd w:val="clear" w:color="auto" w:fill="CCEBF8"/>
          </w:tcPr>
          <w:p>
            <w:pPr>
              <w:spacing w:after="0"/>
              <w:rPr>
                <w:sz w:val="15"/>
                <w:szCs w:val="15"/>
                <w:color w:val="auto"/>
              </w:rPr>
            </w:pPr>
          </w:p>
        </w:tc>
        <w:tc>
          <w:tcPr>
            <w:tcW w:w="840" w:type="dxa"/>
            <w:vAlign w:val="bottom"/>
            <w:shd w:val="clear" w:color="auto" w:fill="CCEBF8"/>
          </w:tcPr>
          <w:p>
            <w:pPr>
              <w:jc w:val="right"/>
              <w:ind w:right="318"/>
              <w:spacing w:after="0"/>
              <w:rPr>
                <w:sz w:val="20"/>
                <w:szCs w:val="20"/>
                <w:color w:val="auto"/>
              </w:rPr>
            </w:pPr>
            <w:r>
              <w:rPr>
                <w:rFonts w:ascii="Arial" w:cs="Arial" w:eastAsia="Arial" w:hAnsi="Arial"/>
                <w:sz w:val="12"/>
                <w:szCs w:val="12"/>
                <w:b w:val="1"/>
                <w:bCs w:val="1"/>
                <w:color w:val="009BDE"/>
              </w:rPr>
              <w:t>Date</w:t>
            </w:r>
          </w:p>
        </w:tc>
        <w:tc>
          <w:tcPr>
            <w:tcW w:w="180" w:type="dxa"/>
            <w:vAlign w:val="bottom"/>
            <w:shd w:val="clear" w:color="auto" w:fill="CCEBF8"/>
          </w:tcPr>
          <w:p>
            <w:pPr>
              <w:spacing w:after="0"/>
              <w:rPr>
                <w:sz w:val="15"/>
                <w:szCs w:val="15"/>
                <w:color w:val="auto"/>
              </w:rPr>
            </w:pPr>
          </w:p>
        </w:tc>
        <w:tc>
          <w:tcPr>
            <w:tcW w:w="900" w:type="dxa"/>
            <w:vAlign w:val="bottom"/>
            <w:shd w:val="clear" w:color="auto" w:fill="CCEBF8"/>
          </w:tcPr>
          <w:p>
            <w:pPr>
              <w:jc w:val="right"/>
              <w:ind w:right="458"/>
              <w:spacing w:after="0"/>
              <w:rPr>
                <w:sz w:val="20"/>
                <w:szCs w:val="20"/>
                <w:color w:val="auto"/>
              </w:rPr>
            </w:pPr>
            <w:r>
              <w:rPr>
                <w:rFonts w:ascii="Arial" w:cs="Arial" w:eastAsia="Arial" w:hAnsi="Arial"/>
                <w:sz w:val="12"/>
                <w:szCs w:val="12"/>
                <w:b w:val="1"/>
                <w:bCs w:val="1"/>
                <w:color w:val="009BDE"/>
              </w:rPr>
              <w:t>($)</w:t>
            </w:r>
          </w:p>
        </w:tc>
        <w:tc>
          <w:tcPr>
            <w:tcW w:w="680" w:type="dxa"/>
            <w:vAlign w:val="bottom"/>
            <w:shd w:val="clear" w:color="auto" w:fill="CCEBF8"/>
          </w:tcPr>
          <w:p>
            <w:pPr>
              <w:jc w:val="center"/>
              <w:ind w:right="118"/>
              <w:spacing w:after="0"/>
              <w:rPr>
                <w:sz w:val="20"/>
                <w:szCs w:val="20"/>
                <w:color w:val="auto"/>
              </w:rPr>
            </w:pPr>
            <w:r>
              <w:rPr>
                <w:rFonts w:ascii="Arial" w:cs="Arial" w:eastAsia="Arial" w:hAnsi="Arial"/>
                <w:sz w:val="12"/>
                <w:szCs w:val="12"/>
                <w:b w:val="1"/>
                <w:bCs w:val="1"/>
                <w:color w:val="009BDE"/>
                <w:w w:val="95"/>
              </w:rPr>
              <w:t>($)</w:t>
            </w:r>
          </w:p>
        </w:tc>
        <w:tc>
          <w:tcPr>
            <w:tcW w:w="800" w:type="dxa"/>
            <w:vAlign w:val="bottom"/>
            <w:shd w:val="clear" w:color="auto" w:fill="CCEBF8"/>
          </w:tcPr>
          <w:p>
            <w:pPr>
              <w:jc w:val="right"/>
              <w:ind w:right="258"/>
              <w:spacing w:after="0"/>
              <w:rPr>
                <w:sz w:val="20"/>
                <w:szCs w:val="20"/>
                <w:color w:val="auto"/>
              </w:rPr>
            </w:pPr>
            <w:r>
              <w:rPr>
                <w:rFonts w:ascii="Arial" w:cs="Arial" w:eastAsia="Arial" w:hAnsi="Arial"/>
                <w:sz w:val="12"/>
                <w:szCs w:val="12"/>
                <w:b w:val="1"/>
                <w:bCs w:val="1"/>
                <w:color w:val="009BDE"/>
              </w:rPr>
              <w:t>($)</w:t>
            </w:r>
          </w:p>
        </w:tc>
        <w:tc>
          <w:tcPr>
            <w:tcW w:w="740" w:type="dxa"/>
            <w:vAlign w:val="bottom"/>
            <w:shd w:val="clear" w:color="auto" w:fill="CCEBF8"/>
          </w:tcPr>
          <w:p>
            <w:pPr>
              <w:jc w:val="right"/>
              <w:ind w:right="178"/>
              <w:spacing w:after="0"/>
              <w:rPr>
                <w:sz w:val="20"/>
                <w:szCs w:val="20"/>
                <w:color w:val="auto"/>
              </w:rPr>
            </w:pPr>
            <w:r>
              <w:rPr>
                <w:rFonts w:ascii="Arial" w:cs="Arial" w:eastAsia="Arial" w:hAnsi="Arial"/>
                <w:sz w:val="12"/>
                <w:szCs w:val="12"/>
                <w:b w:val="1"/>
                <w:bCs w:val="1"/>
                <w:color w:val="009BDE"/>
              </w:rPr>
              <w:t>(#)</w:t>
            </w:r>
          </w:p>
        </w:tc>
        <w:tc>
          <w:tcPr>
            <w:tcW w:w="820" w:type="dxa"/>
            <w:vAlign w:val="bottom"/>
            <w:shd w:val="clear" w:color="auto" w:fill="CCEBF8"/>
          </w:tcPr>
          <w:p>
            <w:pPr>
              <w:jc w:val="center"/>
              <w:spacing w:after="0"/>
              <w:rPr>
                <w:sz w:val="20"/>
                <w:szCs w:val="20"/>
                <w:color w:val="auto"/>
              </w:rPr>
            </w:pPr>
            <w:r>
              <w:rPr>
                <w:rFonts w:ascii="Arial" w:cs="Arial" w:eastAsia="Arial" w:hAnsi="Arial"/>
                <w:sz w:val="12"/>
                <w:szCs w:val="12"/>
                <w:b w:val="1"/>
                <w:bCs w:val="1"/>
                <w:color w:val="009BDE"/>
                <w:w w:val="95"/>
              </w:rPr>
              <w:t>(#)</w:t>
            </w:r>
          </w:p>
        </w:tc>
        <w:tc>
          <w:tcPr>
            <w:tcW w:w="640" w:type="dxa"/>
            <w:vAlign w:val="bottom"/>
            <w:shd w:val="clear" w:color="auto" w:fill="CCEBF8"/>
          </w:tcPr>
          <w:p>
            <w:pPr>
              <w:jc w:val="right"/>
              <w:ind w:right="178"/>
              <w:spacing w:after="0"/>
              <w:rPr>
                <w:sz w:val="20"/>
                <w:szCs w:val="20"/>
                <w:color w:val="auto"/>
              </w:rPr>
            </w:pPr>
            <w:r>
              <w:rPr>
                <w:rFonts w:ascii="Arial" w:cs="Arial" w:eastAsia="Arial" w:hAnsi="Arial"/>
                <w:sz w:val="12"/>
                <w:szCs w:val="12"/>
                <w:b w:val="1"/>
                <w:bCs w:val="1"/>
                <w:color w:val="009BDE"/>
              </w:rPr>
              <w:t>(#)</w:t>
            </w:r>
          </w:p>
        </w:tc>
        <w:tc>
          <w:tcPr>
            <w:tcW w:w="800" w:type="dxa"/>
            <w:vAlign w:val="bottom"/>
            <w:shd w:val="clear" w:color="auto" w:fill="CCEBF8"/>
          </w:tcPr>
          <w:p>
            <w:pPr>
              <w:jc w:val="center"/>
              <w:ind w:left="18"/>
              <w:spacing w:after="0"/>
              <w:rPr>
                <w:sz w:val="20"/>
                <w:szCs w:val="20"/>
                <w:color w:val="auto"/>
              </w:rPr>
            </w:pPr>
            <w:r>
              <w:rPr>
                <w:rFonts w:ascii="Arial" w:cs="Arial" w:eastAsia="Arial" w:hAnsi="Arial"/>
                <w:sz w:val="12"/>
                <w:szCs w:val="12"/>
                <w:b w:val="1"/>
                <w:bCs w:val="1"/>
                <w:color w:val="009BDE"/>
              </w:rPr>
              <w:t>(#)</w:t>
            </w:r>
          </w:p>
        </w:tc>
        <w:tc>
          <w:tcPr>
            <w:tcW w:w="200" w:type="dxa"/>
            <w:vAlign w:val="bottom"/>
            <w:shd w:val="clear" w:color="auto" w:fill="CCEBF8"/>
          </w:tcPr>
          <w:p>
            <w:pPr>
              <w:spacing w:after="0"/>
              <w:rPr>
                <w:sz w:val="15"/>
                <w:szCs w:val="15"/>
                <w:color w:val="auto"/>
              </w:rPr>
            </w:pPr>
          </w:p>
        </w:tc>
        <w:tc>
          <w:tcPr>
            <w:tcW w:w="600" w:type="dxa"/>
            <w:vAlign w:val="bottom"/>
            <w:shd w:val="clear" w:color="auto" w:fill="CCEBF8"/>
          </w:tcPr>
          <w:p>
            <w:pPr>
              <w:jc w:val="center"/>
              <w:ind w:right="58"/>
              <w:spacing w:after="0"/>
              <w:rPr>
                <w:sz w:val="20"/>
                <w:szCs w:val="20"/>
                <w:color w:val="auto"/>
              </w:rPr>
            </w:pPr>
            <w:r>
              <w:rPr>
                <w:rFonts w:ascii="Arial" w:cs="Arial" w:eastAsia="Arial" w:hAnsi="Arial"/>
                <w:sz w:val="12"/>
                <w:szCs w:val="12"/>
                <w:b w:val="1"/>
                <w:bCs w:val="1"/>
                <w:color w:val="009BDE"/>
              </w:rPr>
              <w:t>($)</w:t>
            </w:r>
          </w:p>
        </w:tc>
        <w:tc>
          <w:tcPr>
            <w:tcW w:w="0" w:type="dxa"/>
            <w:vAlign w:val="bottom"/>
          </w:tcPr>
          <w:p>
            <w:pPr>
              <w:spacing w:after="0"/>
              <w:rPr>
                <w:sz w:val="1"/>
                <w:szCs w:val="1"/>
                <w:color w:val="auto"/>
              </w:rPr>
            </w:pPr>
          </w:p>
        </w:tc>
      </w:tr>
      <w:tr>
        <w:trPr>
          <w:trHeight w:val="61"/>
        </w:trPr>
        <w:tc>
          <w:tcPr>
            <w:tcW w:w="3720" w:type="dxa"/>
            <w:vAlign w:val="bottom"/>
            <w:tcBorders>
              <w:bottom w:val="single" w:sz="8" w:color="009BDE"/>
            </w:tcBorders>
            <w:shd w:val="clear" w:color="auto" w:fill="CCEBF8"/>
          </w:tcPr>
          <w:p>
            <w:pPr>
              <w:spacing w:after="0"/>
              <w:rPr>
                <w:sz w:val="5"/>
                <w:szCs w:val="5"/>
                <w:color w:val="auto"/>
              </w:rPr>
            </w:pPr>
          </w:p>
        </w:tc>
        <w:tc>
          <w:tcPr>
            <w:tcW w:w="840" w:type="dxa"/>
            <w:vAlign w:val="bottom"/>
            <w:tcBorders>
              <w:bottom w:val="single" w:sz="8" w:color="009BDE"/>
            </w:tcBorders>
            <w:shd w:val="clear" w:color="auto" w:fill="CCEBF8"/>
          </w:tcPr>
          <w:p>
            <w:pPr>
              <w:spacing w:after="0"/>
              <w:rPr>
                <w:sz w:val="5"/>
                <w:szCs w:val="5"/>
                <w:color w:val="auto"/>
              </w:rPr>
            </w:pPr>
          </w:p>
        </w:tc>
        <w:tc>
          <w:tcPr>
            <w:tcW w:w="180" w:type="dxa"/>
            <w:vAlign w:val="bottom"/>
            <w:tcBorders>
              <w:bottom w:val="single" w:sz="8" w:color="009BDE"/>
            </w:tcBorders>
            <w:shd w:val="clear" w:color="auto" w:fill="CCEBF8"/>
          </w:tcPr>
          <w:p>
            <w:pPr>
              <w:spacing w:after="0"/>
              <w:rPr>
                <w:sz w:val="5"/>
                <w:szCs w:val="5"/>
                <w:color w:val="auto"/>
              </w:rPr>
            </w:pPr>
          </w:p>
        </w:tc>
        <w:tc>
          <w:tcPr>
            <w:tcW w:w="900" w:type="dxa"/>
            <w:vAlign w:val="bottom"/>
            <w:tcBorders>
              <w:bottom w:val="single" w:sz="8" w:color="009BDE"/>
            </w:tcBorders>
            <w:shd w:val="clear" w:color="auto" w:fill="CCEBF8"/>
          </w:tcPr>
          <w:p>
            <w:pPr>
              <w:spacing w:after="0"/>
              <w:rPr>
                <w:sz w:val="5"/>
                <w:szCs w:val="5"/>
                <w:color w:val="auto"/>
              </w:rPr>
            </w:pPr>
          </w:p>
        </w:tc>
        <w:tc>
          <w:tcPr>
            <w:tcW w:w="680" w:type="dxa"/>
            <w:vAlign w:val="bottom"/>
            <w:tcBorders>
              <w:bottom w:val="single" w:sz="8" w:color="009BDE"/>
            </w:tcBorders>
            <w:shd w:val="clear" w:color="auto" w:fill="CCEBF8"/>
          </w:tcPr>
          <w:p>
            <w:pPr>
              <w:spacing w:after="0"/>
              <w:rPr>
                <w:sz w:val="5"/>
                <w:szCs w:val="5"/>
                <w:color w:val="auto"/>
              </w:rPr>
            </w:pPr>
          </w:p>
        </w:tc>
        <w:tc>
          <w:tcPr>
            <w:tcW w:w="800" w:type="dxa"/>
            <w:vAlign w:val="bottom"/>
            <w:tcBorders>
              <w:bottom w:val="single" w:sz="8" w:color="009BDE"/>
            </w:tcBorders>
            <w:shd w:val="clear" w:color="auto" w:fill="CCEBF8"/>
          </w:tcPr>
          <w:p>
            <w:pPr>
              <w:spacing w:after="0"/>
              <w:rPr>
                <w:sz w:val="5"/>
                <w:szCs w:val="5"/>
                <w:color w:val="auto"/>
              </w:rPr>
            </w:pPr>
          </w:p>
        </w:tc>
        <w:tc>
          <w:tcPr>
            <w:tcW w:w="740" w:type="dxa"/>
            <w:vAlign w:val="bottom"/>
            <w:tcBorders>
              <w:bottom w:val="single" w:sz="8" w:color="009BDE"/>
            </w:tcBorders>
            <w:shd w:val="clear" w:color="auto" w:fill="CCEBF8"/>
          </w:tcPr>
          <w:p>
            <w:pPr>
              <w:spacing w:after="0"/>
              <w:rPr>
                <w:sz w:val="5"/>
                <w:szCs w:val="5"/>
                <w:color w:val="auto"/>
              </w:rPr>
            </w:pPr>
          </w:p>
        </w:tc>
        <w:tc>
          <w:tcPr>
            <w:tcW w:w="820" w:type="dxa"/>
            <w:vAlign w:val="bottom"/>
            <w:tcBorders>
              <w:bottom w:val="single" w:sz="8" w:color="009BDE"/>
            </w:tcBorders>
            <w:shd w:val="clear" w:color="auto" w:fill="CCEBF8"/>
          </w:tcPr>
          <w:p>
            <w:pPr>
              <w:spacing w:after="0"/>
              <w:rPr>
                <w:sz w:val="5"/>
                <w:szCs w:val="5"/>
                <w:color w:val="auto"/>
              </w:rPr>
            </w:pPr>
          </w:p>
        </w:tc>
        <w:tc>
          <w:tcPr>
            <w:tcW w:w="640" w:type="dxa"/>
            <w:vAlign w:val="bottom"/>
            <w:tcBorders>
              <w:bottom w:val="single" w:sz="8" w:color="009BDE"/>
            </w:tcBorders>
            <w:shd w:val="clear" w:color="auto" w:fill="CCEBF8"/>
          </w:tcPr>
          <w:p>
            <w:pPr>
              <w:spacing w:after="0"/>
              <w:rPr>
                <w:sz w:val="5"/>
                <w:szCs w:val="5"/>
                <w:color w:val="auto"/>
              </w:rPr>
            </w:pPr>
          </w:p>
        </w:tc>
        <w:tc>
          <w:tcPr>
            <w:tcW w:w="800" w:type="dxa"/>
            <w:vAlign w:val="bottom"/>
            <w:tcBorders>
              <w:bottom w:val="single" w:sz="8" w:color="009BDE"/>
            </w:tcBorders>
            <w:shd w:val="clear" w:color="auto" w:fill="CCEBF8"/>
          </w:tcPr>
          <w:p>
            <w:pPr>
              <w:spacing w:after="0"/>
              <w:rPr>
                <w:sz w:val="5"/>
                <w:szCs w:val="5"/>
                <w:color w:val="auto"/>
              </w:rPr>
            </w:pPr>
          </w:p>
        </w:tc>
        <w:tc>
          <w:tcPr>
            <w:tcW w:w="200" w:type="dxa"/>
            <w:vAlign w:val="bottom"/>
            <w:tcBorders>
              <w:bottom w:val="single" w:sz="8" w:color="009BDE"/>
            </w:tcBorders>
            <w:shd w:val="clear" w:color="auto" w:fill="CCEBF8"/>
          </w:tcPr>
          <w:p>
            <w:pPr>
              <w:spacing w:after="0"/>
              <w:rPr>
                <w:sz w:val="5"/>
                <w:szCs w:val="5"/>
                <w:color w:val="auto"/>
              </w:rPr>
            </w:pPr>
          </w:p>
        </w:tc>
        <w:tc>
          <w:tcPr>
            <w:tcW w:w="600" w:type="dxa"/>
            <w:vAlign w:val="bottom"/>
            <w:tcBorders>
              <w:bottom w:val="single" w:sz="8" w:color="009BDE"/>
            </w:tcBorders>
            <w:shd w:val="clear" w:color="auto" w:fill="CCEBF8"/>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80"/>
              <w:spacing w:after="0"/>
              <w:rPr>
                <w:sz w:val="20"/>
                <w:szCs w:val="20"/>
                <w:color w:val="auto"/>
              </w:rPr>
            </w:pPr>
            <w:r>
              <w:rPr>
                <w:rFonts w:ascii="Arial" w:cs="Arial" w:eastAsia="Arial" w:hAnsi="Arial"/>
                <w:sz w:val="12"/>
                <w:szCs w:val="12"/>
                <w:color w:val="auto"/>
              </w:rPr>
              <w:t>Chris Cocks</w:t>
            </w:r>
          </w:p>
        </w:tc>
        <w:tc>
          <w:tcPr>
            <w:tcW w:w="840" w:type="dxa"/>
            <w:vAlign w:val="bottom"/>
          </w:tcPr>
          <w:p>
            <w:pPr>
              <w:jc w:val="right"/>
              <w:spacing w:after="0"/>
              <w:rPr>
                <w:sz w:val="20"/>
                <w:szCs w:val="20"/>
                <w:color w:val="auto"/>
              </w:rPr>
            </w:pPr>
            <w:r>
              <w:rPr>
                <w:rFonts w:ascii="Arial" w:cs="Arial" w:eastAsia="Arial" w:hAnsi="Arial"/>
                <w:sz w:val="12"/>
                <w:szCs w:val="12"/>
                <w:color w:val="auto"/>
              </w:rPr>
              <w:t>2/6/2025(a)</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3,000,000</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2"/>
                <w:szCs w:val="12"/>
                <w:color w:val="auto"/>
              </w:rPr>
              <w:t>3/14/2025(b)</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44,015</w:t>
            </w:r>
          </w:p>
        </w:tc>
        <w:tc>
          <w:tcPr>
            <w:tcW w:w="8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88,029</w:t>
            </w: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220,073</w:t>
            </w:r>
          </w:p>
        </w:tc>
        <w:tc>
          <w:tcPr>
            <w:tcW w:w="800" w:type="dxa"/>
            <w:vAlign w:val="bottom"/>
          </w:tcPr>
          <w:p>
            <w:pPr>
              <w:spacing w:after="0"/>
              <w:rPr>
                <w:sz w:val="11"/>
                <w:szCs w:val="11"/>
                <w:color w:val="auto"/>
              </w:rPr>
            </w:pPr>
          </w:p>
        </w:tc>
        <w:tc>
          <w:tcPr>
            <w:tcW w:w="2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5,250,050</w:t>
            </w:r>
          </w:p>
        </w:tc>
        <w:tc>
          <w:tcPr>
            <w:tcW w:w="0" w:type="dxa"/>
            <w:vAlign w:val="bottom"/>
          </w:tcPr>
          <w:p>
            <w:pPr>
              <w:spacing w:after="0"/>
              <w:rPr>
                <w:sz w:val="1"/>
                <w:szCs w:val="1"/>
                <w:color w:val="auto"/>
              </w:rPr>
            </w:pPr>
          </w:p>
        </w:tc>
      </w:tr>
      <w:tr>
        <w:trPr>
          <w:trHeight w:val="165"/>
        </w:trPr>
        <w:tc>
          <w:tcPr>
            <w:tcW w:w="37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3/14/2025(c)</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88,029</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5,250,050</w:t>
            </w:r>
          </w:p>
        </w:tc>
        <w:tc>
          <w:tcPr>
            <w:tcW w:w="0" w:type="dxa"/>
            <w:vAlign w:val="bottom"/>
          </w:tcPr>
          <w:p>
            <w:pPr>
              <w:spacing w:after="0"/>
              <w:rPr>
                <w:sz w:val="1"/>
                <w:szCs w:val="1"/>
                <w:color w:val="auto"/>
              </w:rPr>
            </w:pPr>
          </w:p>
        </w:tc>
      </w:tr>
      <w:tr>
        <w:trPr>
          <w:trHeight w:val="94"/>
        </w:trPr>
        <w:tc>
          <w:tcPr>
            <w:tcW w:w="372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1080" w:type="dxa"/>
            <w:vAlign w:val="bottom"/>
            <w:tcBorders>
              <w:bottom w:val="single" w:sz="8" w:color="009BDE"/>
            </w:tcBorders>
            <w:gridSpan w:val="2"/>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80"/>
              <w:spacing w:after="0"/>
              <w:rPr>
                <w:sz w:val="20"/>
                <w:szCs w:val="20"/>
                <w:color w:val="auto"/>
              </w:rPr>
            </w:pPr>
            <w:r>
              <w:rPr>
                <w:rFonts w:ascii="Arial" w:cs="Arial" w:eastAsia="Arial" w:hAnsi="Arial"/>
                <w:sz w:val="12"/>
                <w:szCs w:val="12"/>
                <w:color w:val="auto"/>
              </w:rPr>
              <w:t>Gina Goetter</w:t>
            </w:r>
          </w:p>
        </w:tc>
        <w:tc>
          <w:tcPr>
            <w:tcW w:w="840" w:type="dxa"/>
            <w:vAlign w:val="bottom"/>
          </w:tcPr>
          <w:p>
            <w:pPr>
              <w:jc w:val="right"/>
              <w:spacing w:after="0"/>
              <w:rPr>
                <w:sz w:val="20"/>
                <w:szCs w:val="20"/>
                <w:color w:val="auto"/>
              </w:rPr>
            </w:pPr>
            <w:r>
              <w:rPr>
                <w:rFonts w:ascii="Arial" w:cs="Arial" w:eastAsia="Arial" w:hAnsi="Arial"/>
                <w:sz w:val="12"/>
                <w:szCs w:val="12"/>
                <w:color w:val="auto"/>
              </w:rPr>
              <w:t>2/6/2025(a)</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1,000,000</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2"/>
                <w:szCs w:val="12"/>
                <w:color w:val="auto"/>
              </w:rPr>
              <w:t>3/14/2025(b)</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12,576</w:t>
            </w:r>
          </w:p>
        </w:tc>
        <w:tc>
          <w:tcPr>
            <w:tcW w:w="8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25,151</w:t>
            </w: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62,878</w:t>
            </w:r>
          </w:p>
        </w:tc>
        <w:tc>
          <w:tcPr>
            <w:tcW w:w="800" w:type="dxa"/>
            <w:vAlign w:val="bottom"/>
          </w:tcPr>
          <w:p>
            <w:pPr>
              <w:spacing w:after="0"/>
              <w:rPr>
                <w:sz w:val="11"/>
                <w:szCs w:val="11"/>
                <w:color w:val="auto"/>
              </w:rPr>
            </w:pPr>
          </w:p>
        </w:tc>
        <w:tc>
          <w:tcPr>
            <w:tcW w:w="2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1,500,006</w:t>
            </w:r>
          </w:p>
        </w:tc>
        <w:tc>
          <w:tcPr>
            <w:tcW w:w="0" w:type="dxa"/>
            <w:vAlign w:val="bottom"/>
          </w:tcPr>
          <w:p>
            <w:pPr>
              <w:spacing w:after="0"/>
              <w:rPr>
                <w:sz w:val="1"/>
                <w:szCs w:val="1"/>
                <w:color w:val="auto"/>
              </w:rPr>
            </w:pPr>
          </w:p>
        </w:tc>
      </w:tr>
      <w:tr>
        <w:trPr>
          <w:trHeight w:val="165"/>
        </w:trPr>
        <w:tc>
          <w:tcPr>
            <w:tcW w:w="37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3/14/2025(c)</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25,151</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1,500,006</w:t>
            </w:r>
          </w:p>
        </w:tc>
        <w:tc>
          <w:tcPr>
            <w:tcW w:w="0" w:type="dxa"/>
            <w:vAlign w:val="bottom"/>
          </w:tcPr>
          <w:p>
            <w:pPr>
              <w:spacing w:after="0"/>
              <w:rPr>
                <w:sz w:val="1"/>
                <w:szCs w:val="1"/>
                <w:color w:val="auto"/>
              </w:rPr>
            </w:pPr>
          </w:p>
        </w:tc>
      </w:tr>
      <w:tr>
        <w:trPr>
          <w:trHeight w:val="94"/>
        </w:trPr>
        <w:tc>
          <w:tcPr>
            <w:tcW w:w="372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1080" w:type="dxa"/>
            <w:vAlign w:val="bottom"/>
            <w:tcBorders>
              <w:bottom w:val="single" w:sz="8" w:color="009BDE"/>
            </w:tcBorders>
            <w:gridSpan w:val="2"/>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80"/>
              <w:spacing w:after="0"/>
              <w:rPr>
                <w:sz w:val="20"/>
                <w:szCs w:val="20"/>
                <w:color w:val="auto"/>
              </w:rPr>
            </w:pPr>
            <w:r>
              <w:rPr>
                <w:rFonts w:ascii="Arial" w:cs="Arial" w:eastAsia="Arial" w:hAnsi="Arial"/>
                <w:sz w:val="12"/>
                <w:szCs w:val="12"/>
                <w:color w:val="auto"/>
              </w:rPr>
              <w:t>John Hight</w:t>
            </w:r>
          </w:p>
        </w:tc>
        <w:tc>
          <w:tcPr>
            <w:tcW w:w="840" w:type="dxa"/>
            <w:vAlign w:val="bottom"/>
          </w:tcPr>
          <w:p>
            <w:pPr>
              <w:jc w:val="right"/>
              <w:spacing w:after="0"/>
              <w:rPr>
                <w:sz w:val="20"/>
                <w:szCs w:val="20"/>
                <w:color w:val="auto"/>
              </w:rPr>
            </w:pPr>
            <w:r>
              <w:rPr>
                <w:rFonts w:ascii="Arial" w:cs="Arial" w:eastAsia="Arial" w:hAnsi="Arial"/>
                <w:sz w:val="12"/>
                <w:szCs w:val="12"/>
                <w:color w:val="auto"/>
              </w:rPr>
              <w:t>2/6/2025(a)</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725,000</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2"/>
                <w:szCs w:val="12"/>
                <w:color w:val="auto"/>
              </w:rPr>
              <w:t>3/14/2025(b)</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7,598</w:t>
            </w:r>
          </w:p>
        </w:tc>
        <w:tc>
          <w:tcPr>
            <w:tcW w:w="8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15,196</w:t>
            </w: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37,990</w:t>
            </w:r>
          </w:p>
        </w:tc>
        <w:tc>
          <w:tcPr>
            <w:tcW w:w="800" w:type="dxa"/>
            <w:vAlign w:val="bottom"/>
          </w:tcPr>
          <w:p>
            <w:pPr>
              <w:spacing w:after="0"/>
              <w:rPr>
                <w:sz w:val="11"/>
                <w:szCs w:val="11"/>
                <w:color w:val="auto"/>
              </w:rPr>
            </w:pPr>
          </w:p>
        </w:tc>
        <w:tc>
          <w:tcPr>
            <w:tcW w:w="2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906,289</w:t>
            </w:r>
          </w:p>
        </w:tc>
        <w:tc>
          <w:tcPr>
            <w:tcW w:w="0" w:type="dxa"/>
            <w:vAlign w:val="bottom"/>
          </w:tcPr>
          <w:p>
            <w:pPr>
              <w:spacing w:after="0"/>
              <w:rPr>
                <w:sz w:val="1"/>
                <w:szCs w:val="1"/>
                <w:color w:val="auto"/>
              </w:rPr>
            </w:pPr>
          </w:p>
        </w:tc>
      </w:tr>
      <w:tr>
        <w:trPr>
          <w:trHeight w:val="165"/>
        </w:trPr>
        <w:tc>
          <w:tcPr>
            <w:tcW w:w="37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3/14/2025(c)</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15,196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906,289</w:t>
            </w:r>
          </w:p>
        </w:tc>
        <w:tc>
          <w:tcPr>
            <w:tcW w:w="0" w:type="dxa"/>
            <w:vAlign w:val="bottom"/>
          </w:tcPr>
          <w:p>
            <w:pPr>
              <w:spacing w:after="0"/>
              <w:rPr>
                <w:sz w:val="1"/>
                <w:szCs w:val="1"/>
                <w:color w:val="auto"/>
              </w:rPr>
            </w:pPr>
          </w:p>
        </w:tc>
      </w:tr>
      <w:tr>
        <w:trPr>
          <w:trHeight w:val="94"/>
        </w:trPr>
        <w:tc>
          <w:tcPr>
            <w:tcW w:w="372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1080" w:type="dxa"/>
            <w:vAlign w:val="bottom"/>
            <w:tcBorders>
              <w:bottom w:val="single" w:sz="8" w:color="009BDE"/>
            </w:tcBorders>
            <w:gridSpan w:val="2"/>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80"/>
              <w:spacing w:after="0"/>
              <w:rPr>
                <w:sz w:val="20"/>
                <w:szCs w:val="20"/>
                <w:color w:val="auto"/>
              </w:rPr>
            </w:pPr>
            <w:r>
              <w:rPr>
                <w:rFonts w:ascii="Arial" w:cs="Arial" w:eastAsia="Arial" w:hAnsi="Arial"/>
                <w:sz w:val="12"/>
                <w:szCs w:val="12"/>
                <w:color w:val="auto"/>
              </w:rPr>
              <w:t>Tim Kilpin</w:t>
            </w:r>
          </w:p>
        </w:tc>
        <w:tc>
          <w:tcPr>
            <w:tcW w:w="840" w:type="dxa"/>
            <w:vAlign w:val="bottom"/>
          </w:tcPr>
          <w:p>
            <w:pPr>
              <w:jc w:val="right"/>
              <w:spacing w:after="0"/>
              <w:rPr>
                <w:sz w:val="20"/>
                <w:szCs w:val="20"/>
                <w:color w:val="auto"/>
              </w:rPr>
            </w:pPr>
            <w:r>
              <w:rPr>
                <w:rFonts w:ascii="Arial" w:cs="Arial" w:eastAsia="Arial" w:hAnsi="Arial"/>
                <w:sz w:val="12"/>
                <w:szCs w:val="12"/>
                <w:color w:val="auto"/>
              </w:rPr>
              <w:t>2/6/2025(a)</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850,000</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2"/>
                <w:szCs w:val="12"/>
                <w:color w:val="auto"/>
              </w:rPr>
              <w:t>3/14/2025(b)</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8,908</w:t>
            </w:r>
          </w:p>
        </w:tc>
        <w:tc>
          <w:tcPr>
            <w:tcW w:w="8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17,816</w:t>
            </w: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44,540</w:t>
            </w:r>
          </w:p>
        </w:tc>
        <w:tc>
          <w:tcPr>
            <w:tcW w:w="800" w:type="dxa"/>
            <w:vAlign w:val="bottom"/>
          </w:tcPr>
          <w:p>
            <w:pPr>
              <w:spacing w:after="0"/>
              <w:rPr>
                <w:sz w:val="11"/>
                <w:szCs w:val="11"/>
                <w:color w:val="auto"/>
              </w:rPr>
            </w:pPr>
          </w:p>
        </w:tc>
        <w:tc>
          <w:tcPr>
            <w:tcW w:w="2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1,062,546</w:t>
            </w:r>
          </w:p>
        </w:tc>
        <w:tc>
          <w:tcPr>
            <w:tcW w:w="0" w:type="dxa"/>
            <w:vAlign w:val="bottom"/>
          </w:tcPr>
          <w:p>
            <w:pPr>
              <w:spacing w:after="0"/>
              <w:rPr>
                <w:sz w:val="1"/>
                <w:szCs w:val="1"/>
                <w:color w:val="auto"/>
              </w:rPr>
            </w:pPr>
          </w:p>
        </w:tc>
      </w:tr>
      <w:tr>
        <w:trPr>
          <w:trHeight w:val="165"/>
        </w:trPr>
        <w:tc>
          <w:tcPr>
            <w:tcW w:w="37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3/14/2025(c)</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17,816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1,062,546</w:t>
            </w:r>
          </w:p>
        </w:tc>
        <w:tc>
          <w:tcPr>
            <w:tcW w:w="0" w:type="dxa"/>
            <w:vAlign w:val="bottom"/>
          </w:tcPr>
          <w:p>
            <w:pPr>
              <w:spacing w:after="0"/>
              <w:rPr>
                <w:sz w:val="1"/>
                <w:szCs w:val="1"/>
                <w:color w:val="auto"/>
              </w:rPr>
            </w:pPr>
          </w:p>
        </w:tc>
      </w:tr>
      <w:tr>
        <w:trPr>
          <w:trHeight w:val="94"/>
        </w:trPr>
        <w:tc>
          <w:tcPr>
            <w:tcW w:w="372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1080" w:type="dxa"/>
            <w:vAlign w:val="bottom"/>
            <w:tcBorders>
              <w:bottom w:val="single" w:sz="8" w:color="009BDE"/>
            </w:tcBorders>
            <w:gridSpan w:val="2"/>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80"/>
              <w:spacing w:after="0"/>
              <w:rPr>
                <w:sz w:val="20"/>
                <w:szCs w:val="20"/>
                <w:color w:val="auto"/>
              </w:rPr>
            </w:pPr>
            <w:r>
              <w:rPr>
                <w:rFonts w:ascii="Arial" w:cs="Arial" w:eastAsia="Arial" w:hAnsi="Arial"/>
                <w:sz w:val="12"/>
                <w:szCs w:val="12"/>
                <w:color w:val="auto"/>
              </w:rPr>
              <w:t>Tarrant Sibley</w:t>
            </w:r>
          </w:p>
        </w:tc>
        <w:tc>
          <w:tcPr>
            <w:tcW w:w="840" w:type="dxa"/>
            <w:vAlign w:val="bottom"/>
          </w:tcPr>
          <w:p>
            <w:pPr>
              <w:jc w:val="right"/>
              <w:spacing w:after="0"/>
              <w:rPr>
                <w:sz w:val="20"/>
                <w:szCs w:val="20"/>
                <w:color w:val="auto"/>
              </w:rPr>
            </w:pPr>
            <w:r>
              <w:rPr>
                <w:rFonts w:ascii="Arial" w:cs="Arial" w:eastAsia="Arial" w:hAnsi="Arial"/>
                <w:sz w:val="12"/>
                <w:szCs w:val="12"/>
                <w:color w:val="auto"/>
              </w:rPr>
              <w:t>2/6/2025(a)</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586,827</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2"/>
                <w:szCs w:val="12"/>
                <w:color w:val="auto"/>
              </w:rPr>
              <w:t>3/14/2025(b)</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6,603</w:t>
            </w:r>
          </w:p>
        </w:tc>
        <w:tc>
          <w:tcPr>
            <w:tcW w:w="8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13,205</w:t>
            </w: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33,013</w:t>
            </w:r>
          </w:p>
        </w:tc>
        <w:tc>
          <w:tcPr>
            <w:tcW w:w="800" w:type="dxa"/>
            <w:vAlign w:val="bottom"/>
          </w:tcPr>
          <w:p>
            <w:pPr>
              <w:spacing w:after="0"/>
              <w:rPr>
                <w:sz w:val="11"/>
                <w:szCs w:val="11"/>
                <w:color w:val="auto"/>
              </w:rPr>
            </w:pPr>
          </w:p>
        </w:tc>
        <w:tc>
          <w:tcPr>
            <w:tcW w:w="2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787,546</w:t>
            </w:r>
          </w:p>
        </w:tc>
        <w:tc>
          <w:tcPr>
            <w:tcW w:w="0" w:type="dxa"/>
            <w:vAlign w:val="bottom"/>
          </w:tcPr>
          <w:p>
            <w:pPr>
              <w:spacing w:after="0"/>
              <w:rPr>
                <w:sz w:val="1"/>
                <w:szCs w:val="1"/>
                <w:color w:val="auto"/>
              </w:rPr>
            </w:pPr>
          </w:p>
        </w:tc>
      </w:tr>
      <w:tr>
        <w:trPr>
          <w:trHeight w:val="165"/>
        </w:trPr>
        <w:tc>
          <w:tcPr>
            <w:tcW w:w="37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3/14/2025(c)</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13,205</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787,546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59690</wp:posOffset>
            </wp:positionV>
            <wp:extent cx="69297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management incentive awards were made pursuant to the Company’s Performance Rewards Plan (Annual Incentive Plan).</w:t>
      </w:r>
    </w:p>
    <w:p>
      <w:pPr>
        <w:spacing w:after="0" w:line="79" w:lineRule="exact"/>
        <w:rPr>
          <w:rFonts w:ascii="Arial" w:cs="Arial" w:eastAsia="Arial" w:hAnsi="Arial"/>
          <w:sz w:val="14"/>
          <w:szCs w:val="14"/>
          <w:color w:val="auto"/>
        </w:rPr>
      </w:pPr>
    </w:p>
    <w:p>
      <w:pPr>
        <w:ind w:left="600" w:right="240" w:hanging="433"/>
        <w:spacing w:after="0" w:line="247" w:lineRule="auto"/>
        <w:tabs>
          <w:tab w:leader="none" w:pos="6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All of these PSU awards were granted pursuant to the Company’s Restated 2003 Stock Incentive Performance Plan, as amended (the “2003 Plan”). These awards provide the recipients with the ability to earn shares of the Company’s Common Stock based on the Company’s achievement of stated cumulative diluted EPS and Total Shareholder Return over a three-year period including fiscal years 2025 through 2027. Each PSU award has a target number of shares of Common Stock associated with such award which may be earned by the recipient if the Company achieves the stated EPS targets set for the performance period and may be modified by the TSR performance. For PSUs granted in 2025, if absolute TSR over the performance period achieves at least 33% and the underlying EPS performance is otherwise below the threshold required for vesting, 50% of the target shares will vest.</w:t>
      </w:r>
    </w:p>
    <w:p>
      <w:pPr>
        <w:spacing w:after="0" w:line="49" w:lineRule="exact"/>
        <w:rPr>
          <w:rFonts w:ascii="Arial" w:cs="Arial" w:eastAsia="Arial" w:hAnsi="Arial"/>
          <w:sz w:val="14"/>
          <w:szCs w:val="14"/>
          <w:color w:val="auto"/>
        </w:rPr>
      </w:pPr>
    </w:p>
    <w:p>
      <w:pPr>
        <w:ind w:left="600" w:right="20" w:hanging="433"/>
        <w:spacing w:after="0" w:line="260" w:lineRule="auto"/>
        <w:tabs>
          <w:tab w:leader="none" w:pos="6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All of these restricted share units were granted pursuant to the 2003 Plan. These units vest in equal annual installments over the first three anniversaries of the date of grant. Awards may be eligible for accelerated vesting in connection with a change-in-control or certain termination scenarios, as described more fully below under “Potential Payments Upon Termination or Change in Control; Agreements and Arrangements Providing Post Employment and Change in 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225425</wp:posOffset>
            </wp:positionV>
            <wp:extent cx="6964045" cy="39052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  43</w:t>
      </w:r>
    </w:p>
    <w:p>
      <w:pPr>
        <w:sectPr>
          <w:pgSz w:w="11900" w:h="16838" w:orient="portrait"/>
          <w:cols w:equalWidth="0" w:num="1">
            <w:col w:w="11080"/>
          </w:cols>
          <w:pgMar w:left="320" w:top="478"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sets forth information for equity awards held by the named individuals as of the end of the 2025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33147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6929755" cy="331470"/>
                    </a:xfrm>
                    <a:prstGeom prst="rect">
                      <a:avLst/>
                    </a:prstGeom>
                    <a:noFill/>
                  </pic:spPr>
                </pic:pic>
              </a:graphicData>
            </a:graphic>
          </wp:anchor>
        </w:drawing>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Outstanding Equity Awards at Fiscal Year-End</w:t>
      </w:r>
    </w:p>
    <w:p>
      <w:pPr>
        <w:spacing w:after="0" w:line="75" w:lineRule="exact"/>
        <w:rPr>
          <w:sz w:val="20"/>
          <w:szCs w:val="20"/>
          <w:color w:val="auto"/>
        </w:rPr>
      </w:pPr>
    </w:p>
    <w:tbl>
      <w:tblPr>
        <w:tblLayout w:type="fixed"/>
        <w:tblInd w:w="160" w:type="dxa"/>
        <w:tblCellMar>
          <w:top w:w="0" w:type="dxa"/>
          <w:left w:w="0" w:type="dxa"/>
          <w:bottom w:w="0" w:type="dxa"/>
          <w:right w:w="0" w:type="dxa"/>
        </w:tblCellMar>
      </w:tblPr>
      <w:tr>
        <w:trPr>
          <w:trHeight w:val="277"/>
        </w:trPr>
        <w:tc>
          <w:tcPr>
            <w:tcW w:w="20" w:type="dxa"/>
            <w:vAlign w:val="bottom"/>
          </w:tcPr>
          <w:p>
            <w:pPr>
              <w:spacing w:after="0"/>
              <w:rPr>
                <w:sz w:val="24"/>
                <w:szCs w:val="24"/>
                <w:color w:val="auto"/>
              </w:rPr>
            </w:pPr>
          </w:p>
        </w:tc>
        <w:tc>
          <w:tcPr>
            <w:tcW w:w="1680" w:type="dxa"/>
            <w:vAlign w:val="bottom"/>
            <w:tcBorders>
              <w:top w:val="single" w:sz="8" w:color="0060ED"/>
              <w:bottom w:val="single" w:sz="8" w:color="CCEBF8"/>
            </w:tcBorders>
            <w:shd w:val="clear" w:color="auto" w:fill="CCEBF8"/>
          </w:tcPr>
          <w:p>
            <w:pPr>
              <w:spacing w:after="0"/>
              <w:rPr>
                <w:sz w:val="24"/>
                <w:szCs w:val="24"/>
                <w:color w:val="auto"/>
              </w:rPr>
            </w:pPr>
          </w:p>
        </w:tc>
        <w:tc>
          <w:tcPr>
            <w:tcW w:w="180" w:type="dxa"/>
            <w:vAlign w:val="bottom"/>
            <w:tcBorders>
              <w:top w:val="single" w:sz="8" w:color="0060ED"/>
              <w:bottom w:val="single" w:sz="8" w:color="CCEBF8"/>
            </w:tcBorders>
            <w:shd w:val="clear" w:color="auto" w:fill="CCEBF8"/>
          </w:tcPr>
          <w:p>
            <w:pPr>
              <w:spacing w:after="0"/>
              <w:rPr>
                <w:sz w:val="24"/>
                <w:szCs w:val="24"/>
                <w:color w:val="auto"/>
              </w:rPr>
            </w:pPr>
          </w:p>
        </w:tc>
        <w:tc>
          <w:tcPr>
            <w:tcW w:w="1140" w:type="dxa"/>
            <w:vAlign w:val="bottom"/>
            <w:tcBorders>
              <w:top w:val="single" w:sz="8" w:color="0060ED"/>
              <w:bottom w:val="single" w:sz="8" w:color="009BDE"/>
            </w:tcBorders>
            <w:shd w:val="clear" w:color="auto" w:fill="CCEBF8"/>
          </w:tcPr>
          <w:p>
            <w:pPr>
              <w:spacing w:after="0"/>
              <w:rPr>
                <w:sz w:val="24"/>
                <w:szCs w:val="24"/>
                <w:color w:val="auto"/>
              </w:rPr>
            </w:pPr>
          </w:p>
        </w:tc>
        <w:tc>
          <w:tcPr>
            <w:tcW w:w="2300" w:type="dxa"/>
            <w:vAlign w:val="bottom"/>
            <w:tcBorders>
              <w:top w:val="single" w:sz="8" w:color="0060ED"/>
              <w:bottom w:val="single" w:sz="8" w:color="009BDE"/>
            </w:tcBorders>
            <w:gridSpan w:val="2"/>
            <w:shd w:val="clear" w:color="auto" w:fill="CCEBF8"/>
          </w:tcPr>
          <w:p>
            <w:pPr>
              <w:jc w:val="right"/>
              <w:ind w:right="478"/>
              <w:spacing w:after="0"/>
              <w:rPr>
                <w:sz w:val="20"/>
                <w:szCs w:val="20"/>
                <w:color w:val="auto"/>
              </w:rPr>
            </w:pPr>
            <w:r>
              <w:rPr>
                <w:rFonts w:ascii="Arial" w:cs="Arial" w:eastAsia="Arial" w:hAnsi="Arial"/>
                <w:sz w:val="12"/>
                <w:szCs w:val="12"/>
                <w:b w:val="1"/>
                <w:bCs w:val="1"/>
                <w:color w:val="009BDE"/>
              </w:rPr>
              <w:t>Option Awards</w:t>
            </w:r>
          </w:p>
        </w:tc>
        <w:tc>
          <w:tcPr>
            <w:tcW w:w="200" w:type="dxa"/>
            <w:vAlign w:val="bottom"/>
            <w:tcBorders>
              <w:top w:val="single" w:sz="8" w:color="0060ED"/>
              <w:bottom w:val="single" w:sz="8" w:color="009BDE"/>
            </w:tcBorders>
            <w:shd w:val="clear" w:color="auto" w:fill="CCEBF8"/>
          </w:tcPr>
          <w:p>
            <w:pPr>
              <w:spacing w:after="0"/>
              <w:rPr>
                <w:sz w:val="24"/>
                <w:szCs w:val="24"/>
                <w:color w:val="auto"/>
              </w:rPr>
            </w:pPr>
          </w:p>
        </w:tc>
        <w:tc>
          <w:tcPr>
            <w:tcW w:w="540" w:type="dxa"/>
            <w:vAlign w:val="bottom"/>
            <w:tcBorders>
              <w:top w:val="single" w:sz="8" w:color="0060ED"/>
              <w:bottom w:val="single" w:sz="8" w:color="009BDE"/>
            </w:tcBorders>
            <w:shd w:val="clear" w:color="auto" w:fill="CCEBF8"/>
          </w:tcPr>
          <w:p>
            <w:pPr>
              <w:spacing w:after="0"/>
              <w:rPr>
                <w:sz w:val="24"/>
                <w:szCs w:val="24"/>
                <w:color w:val="auto"/>
              </w:rPr>
            </w:pPr>
          </w:p>
        </w:tc>
        <w:tc>
          <w:tcPr>
            <w:tcW w:w="760" w:type="dxa"/>
            <w:vAlign w:val="bottom"/>
            <w:tcBorders>
              <w:top w:val="single" w:sz="8" w:color="0060ED"/>
              <w:bottom w:val="single" w:sz="8" w:color="009BDE"/>
            </w:tcBorders>
            <w:shd w:val="clear" w:color="auto" w:fill="CCEBF8"/>
          </w:tcPr>
          <w:p>
            <w:pPr>
              <w:spacing w:after="0"/>
              <w:rPr>
                <w:sz w:val="24"/>
                <w:szCs w:val="24"/>
                <w:color w:val="auto"/>
              </w:rPr>
            </w:pPr>
          </w:p>
        </w:tc>
        <w:tc>
          <w:tcPr>
            <w:tcW w:w="80" w:type="dxa"/>
            <w:vAlign w:val="bottom"/>
            <w:tcBorders>
              <w:top w:val="single" w:sz="8" w:color="0060ED"/>
              <w:bottom w:val="single" w:sz="8" w:color="CCEBF8"/>
            </w:tcBorders>
            <w:shd w:val="clear" w:color="auto" w:fill="CCEBF8"/>
          </w:tcPr>
          <w:p>
            <w:pPr>
              <w:spacing w:after="0"/>
              <w:rPr>
                <w:sz w:val="24"/>
                <w:szCs w:val="24"/>
                <w:color w:val="auto"/>
              </w:rPr>
            </w:pPr>
          </w:p>
        </w:tc>
        <w:tc>
          <w:tcPr>
            <w:tcW w:w="900" w:type="dxa"/>
            <w:vAlign w:val="bottom"/>
            <w:tcBorders>
              <w:top w:val="single" w:sz="8" w:color="0060ED"/>
              <w:bottom w:val="single" w:sz="8" w:color="009BDE"/>
            </w:tcBorders>
            <w:shd w:val="clear" w:color="auto" w:fill="CCEBF8"/>
          </w:tcPr>
          <w:p>
            <w:pPr>
              <w:spacing w:after="0"/>
              <w:rPr>
                <w:sz w:val="24"/>
                <w:szCs w:val="24"/>
                <w:color w:val="auto"/>
              </w:rPr>
            </w:pPr>
          </w:p>
        </w:tc>
        <w:tc>
          <w:tcPr>
            <w:tcW w:w="180" w:type="dxa"/>
            <w:vAlign w:val="bottom"/>
            <w:tcBorders>
              <w:top w:val="single" w:sz="8" w:color="0060ED"/>
              <w:bottom w:val="single" w:sz="8" w:color="009BDE"/>
            </w:tcBorders>
            <w:shd w:val="clear" w:color="auto" w:fill="CCEBF8"/>
          </w:tcPr>
          <w:p>
            <w:pPr>
              <w:spacing w:after="0"/>
              <w:rPr>
                <w:sz w:val="24"/>
                <w:szCs w:val="24"/>
                <w:color w:val="auto"/>
              </w:rPr>
            </w:pPr>
          </w:p>
        </w:tc>
        <w:tc>
          <w:tcPr>
            <w:tcW w:w="1880" w:type="dxa"/>
            <w:vAlign w:val="bottom"/>
            <w:tcBorders>
              <w:top w:val="single" w:sz="8" w:color="0060ED"/>
              <w:bottom w:val="single" w:sz="8" w:color="009BDE"/>
            </w:tcBorders>
            <w:gridSpan w:val="2"/>
            <w:shd w:val="clear" w:color="auto" w:fill="CCEBF8"/>
          </w:tcPr>
          <w:p>
            <w:pPr>
              <w:jc w:val="right"/>
              <w:ind w:right="498"/>
              <w:spacing w:after="0"/>
              <w:rPr>
                <w:sz w:val="20"/>
                <w:szCs w:val="20"/>
                <w:color w:val="auto"/>
              </w:rPr>
            </w:pPr>
            <w:r>
              <w:rPr>
                <w:rFonts w:ascii="Arial" w:cs="Arial" w:eastAsia="Arial" w:hAnsi="Arial"/>
                <w:sz w:val="12"/>
                <w:szCs w:val="12"/>
                <w:b w:val="1"/>
                <w:bCs w:val="1"/>
                <w:color w:val="009BDE"/>
              </w:rPr>
              <w:t>Stock Awards</w:t>
            </w:r>
          </w:p>
        </w:tc>
        <w:tc>
          <w:tcPr>
            <w:tcW w:w="180" w:type="dxa"/>
            <w:vAlign w:val="bottom"/>
            <w:tcBorders>
              <w:top w:val="single" w:sz="8" w:color="0060ED"/>
              <w:bottom w:val="single" w:sz="8" w:color="009BDE"/>
            </w:tcBorders>
            <w:shd w:val="clear" w:color="auto" w:fill="CCEBF8"/>
          </w:tcPr>
          <w:p>
            <w:pPr>
              <w:spacing w:after="0"/>
              <w:rPr>
                <w:sz w:val="24"/>
                <w:szCs w:val="24"/>
                <w:color w:val="auto"/>
              </w:rPr>
            </w:pPr>
          </w:p>
        </w:tc>
        <w:tc>
          <w:tcPr>
            <w:tcW w:w="880" w:type="dxa"/>
            <w:vAlign w:val="bottom"/>
            <w:tcBorders>
              <w:top w:val="single" w:sz="8" w:color="0060ED"/>
              <w:bottom w:val="single" w:sz="8" w:color="009BDE"/>
            </w:tcBorders>
            <w:shd w:val="clear" w:color="auto" w:fill="CCEBF8"/>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80" w:type="dxa"/>
            <w:vAlign w:val="bottom"/>
            <w:shd w:val="clear" w:color="auto" w:fill="CCEBF8"/>
          </w:tcPr>
          <w:p>
            <w:pPr>
              <w:spacing w:after="0"/>
              <w:rPr>
                <w:sz w:val="14"/>
                <w:szCs w:val="14"/>
                <w:color w:val="auto"/>
              </w:rPr>
            </w:pPr>
          </w:p>
        </w:tc>
        <w:tc>
          <w:tcPr>
            <w:tcW w:w="180" w:type="dxa"/>
            <w:vAlign w:val="bottom"/>
            <w:shd w:val="clear" w:color="auto" w:fill="CCEBF8"/>
          </w:tcPr>
          <w:p>
            <w:pPr>
              <w:spacing w:after="0"/>
              <w:rPr>
                <w:sz w:val="14"/>
                <w:szCs w:val="14"/>
                <w:color w:val="auto"/>
              </w:rPr>
            </w:pPr>
          </w:p>
        </w:tc>
        <w:tc>
          <w:tcPr>
            <w:tcW w:w="1140" w:type="dxa"/>
            <w:vAlign w:val="bottom"/>
            <w:shd w:val="clear" w:color="auto" w:fill="CCEBF8"/>
          </w:tcPr>
          <w:p>
            <w:pPr>
              <w:spacing w:after="0"/>
              <w:rPr>
                <w:sz w:val="14"/>
                <w:szCs w:val="14"/>
                <w:color w:val="auto"/>
              </w:rPr>
            </w:pPr>
          </w:p>
        </w:tc>
        <w:tc>
          <w:tcPr>
            <w:tcW w:w="1280" w:type="dxa"/>
            <w:vAlign w:val="bottom"/>
            <w:shd w:val="clear" w:color="auto" w:fill="CCEBF8"/>
          </w:tcPr>
          <w:p>
            <w:pPr>
              <w:spacing w:after="0"/>
              <w:rPr>
                <w:sz w:val="14"/>
                <w:szCs w:val="14"/>
                <w:color w:val="auto"/>
              </w:rPr>
            </w:pPr>
          </w:p>
        </w:tc>
        <w:tc>
          <w:tcPr>
            <w:tcW w:w="1020" w:type="dxa"/>
            <w:vAlign w:val="bottom"/>
            <w:shd w:val="clear" w:color="auto" w:fill="CCEBF8"/>
          </w:tcPr>
          <w:p>
            <w:pPr>
              <w:spacing w:after="0"/>
              <w:rPr>
                <w:sz w:val="14"/>
                <w:szCs w:val="14"/>
                <w:color w:val="auto"/>
              </w:rPr>
            </w:pPr>
          </w:p>
        </w:tc>
        <w:tc>
          <w:tcPr>
            <w:tcW w:w="200" w:type="dxa"/>
            <w:vAlign w:val="bottom"/>
            <w:shd w:val="clear" w:color="auto" w:fill="CCEBF8"/>
          </w:tcPr>
          <w:p>
            <w:pPr>
              <w:spacing w:after="0"/>
              <w:rPr>
                <w:sz w:val="14"/>
                <w:szCs w:val="14"/>
                <w:color w:val="auto"/>
              </w:rPr>
            </w:pPr>
          </w:p>
        </w:tc>
        <w:tc>
          <w:tcPr>
            <w:tcW w:w="540" w:type="dxa"/>
            <w:vAlign w:val="bottom"/>
            <w:shd w:val="clear" w:color="auto" w:fill="CCEBF8"/>
          </w:tcPr>
          <w:p>
            <w:pPr>
              <w:spacing w:after="0"/>
              <w:rPr>
                <w:sz w:val="14"/>
                <w:szCs w:val="14"/>
                <w:color w:val="auto"/>
              </w:rPr>
            </w:pPr>
          </w:p>
        </w:tc>
        <w:tc>
          <w:tcPr>
            <w:tcW w:w="760" w:type="dxa"/>
            <w:vAlign w:val="bottom"/>
            <w:shd w:val="clear" w:color="auto" w:fill="CCEBF8"/>
          </w:tcPr>
          <w:p>
            <w:pPr>
              <w:spacing w:after="0"/>
              <w:rPr>
                <w:sz w:val="14"/>
                <w:szCs w:val="14"/>
                <w:color w:val="auto"/>
              </w:rPr>
            </w:pPr>
          </w:p>
        </w:tc>
        <w:tc>
          <w:tcPr>
            <w:tcW w:w="80" w:type="dxa"/>
            <w:vAlign w:val="bottom"/>
            <w:shd w:val="clear" w:color="auto" w:fill="CCEBF8"/>
          </w:tcPr>
          <w:p>
            <w:pPr>
              <w:spacing w:after="0"/>
              <w:rPr>
                <w:sz w:val="14"/>
                <w:szCs w:val="14"/>
                <w:color w:val="auto"/>
              </w:rPr>
            </w:pPr>
          </w:p>
        </w:tc>
        <w:tc>
          <w:tcPr>
            <w:tcW w:w="900" w:type="dxa"/>
            <w:vAlign w:val="bottom"/>
            <w:shd w:val="clear" w:color="auto" w:fill="CCEBF8"/>
          </w:tcPr>
          <w:p>
            <w:pPr>
              <w:spacing w:after="0"/>
              <w:rPr>
                <w:sz w:val="14"/>
                <w:szCs w:val="14"/>
                <w:color w:val="auto"/>
              </w:rPr>
            </w:pPr>
          </w:p>
        </w:tc>
        <w:tc>
          <w:tcPr>
            <w:tcW w:w="180" w:type="dxa"/>
            <w:vAlign w:val="bottom"/>
            <w:shd w:val="clear" w:color="auto" w:fill="CCEBF8"/>
          </w:tcPr>
          <w:p>
            <w:pPr>
              <w:spacing w:after="0"/>
              <w:rPr>
                <w:sz w:val="14"/>
                <w:szCs w:val="14"/>
                <w:color w:val="auto"/>
              </w:rPr>
            </w:pPr>
          </w:p>
        </w:tc>
        <w:tc>
          <w:tcPr>
            <w:tcW w:w="700" w:type="dxa"/>
            <w:vAlign w:val="bottom"/>
            <w:shd w:val="clear" w:color="auto" w:fill="CCEBF8"/>
          </w:tcPr>
          <w:p>
            <w:pPr>
              <w:spacing w:after="0"/>
              <w:rPr>
                <w:sz w:val="14"/>
                <w:szCs w:val="14"/>
                <w:color w:val="auto"/>
              </w:rPr>
            </w:pPr>
          </w:p>
        </w:tc>
        <w:tc>
          <w:tcPr>
            <w:tcW w:w="1180" w:type="dxa"/>
            <w:vAlign w:val="bottom"/>
            <w:shd w:val="clear" w:color="auto" w:fill="CCEBF8"/>
          </w:tcPr>
          <w:p>
            <w:pPr>
              <w:jc w:val="center"/>
              <w:ind w:right="98"/>
              <w:spacing w:after="0"/>
              <w:rPr>
                <w:sz w:val="20"/>
                <w:szCs w:val="20"/>
                <w:color w:val="auto"/>
              </w:rPr>
            </w:pPr>
            <w:r>
              <w:rPr>
                <w:rFonts w:ascii="Arial" w:cs="Arial" w:eastAsia="Arial" w:hAnsi="Arial"/>
                <w:sz w:val="12"/>
                <w:szCs w:val="12"/>
                <w:b w:val="1"/>
                <w:bCs w:val="1"/>
                <w:color w:val="009BDE"/>
              </w:rPr>
              <w:t>Equity</w:t>
            </w:r>
          </w:p>
        </w:tc>
        <w:tc>
          <w:tcPr>
            <w:tcW w:w="180" w:type="dxa"/>
            <w:vAlign w:val="bottom"/>
            <w:shd w:val="clear" w:color="auto" w:fill="CCEBF8"/>
          </w:tcPr>
          <w:p>
            <w:pPr>
              <w:spacing w:after="0"/>
              <w:rPr>
                <w:sz w:val="14"/>
                <w:szCs w:val="14"/>
                <w:color w:val="auto"/>
              </w:rPr>
            </w:pPr>
          </w:p>
        </w:tc>
        <w:tc>
          <w:tcPr>
            <w:tcW w:w="880" w:type="dxa"/>
            <w:vAlign w:val="bottom"/>
            <w:shd w:val="clear" w:color="auto" w:fill="CCEBF8"/>
          </w:tcPr>
          <w:p>
            <w:pPr>
              <w:jc w:val="center"/>
              <w:ind w:right="78"/>
              <w:spacing w:after="0"/>
              <w:rPr>
                <w:sz w:val="20"/>
                <w:szCs w:val="20"/>
                <w:color w:val="auto"/>
              </w:rPr>
            </w:pPr>
            <w:r>
              <w:rPr>
                <w:rFonts w:ascii="Arial" w:cs="Arial" w:eastAsia="Arial" w:hAnsi="Arial"/>
                <w:sz w:val="12"/>
                <w:szCs w:val="12"/>
                <w:b w:val="1"/>
                <w:bCs w:val="1"/>
                <w:color w:val="009BDE"/>
                <w:w w:val="98"/>
              </w:rPr>
              <w:t>Equity </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1140" w:type="dxa"/>
            <w:vAlign w:val="bottom"/>
            <w:shd w:val="clear" w:color="auto" w:fill="CCEBF8"/>
          </w:tcPr>
          <w:p>
            <w:pPr>
              <w:spacing w:after="0"/>
              <w:rPr>
                <w:sz w:val="11"/>
                <w:szCs w:val="11"/>
                <w:color w:val="auto"/>
              </w:rPr>
            </w:pPr>
          </w:p>
        </w:tc>
        <w:tc>
          <w:tcPr>
            <w:tcW w:w="1280" w:type="dxa"/>
            <w:vAlign w:val="bottom"/>
            <w:shd w:val="clear" w:color="auto" w:fill="CCEBF8"/>
          </w:tcPr>
          <w:p>
            <w:pPr>
              <w:spacing w:after="0"/>
              <w:rPr>
                <w:sz w:val="11"/>
                <w:szCs w:val="11"/>
                <w:color w:val="auto"/>
              </w:rPr>
            </w:pPr>
          </w:p>
        </w:tc>
        <w:tc>
          <w:tcPr>
            <w:tcW w:w="1020" w:type="dxa"/>
            <w:vAlign w:val="bottom"/>
            <w:vMerge w:val="restart"/>
            <w:shd w:val="clear" w:color="auto" w:fill="CCEBF8"/>
          </w:tcPr>
          <w:p>
            <w:pPr>
              <w:jc w:val="center"/>
              <w:spacing w:after="0"/>
              <w:rPr>
                <w:sz w:val="20"/>
                <w:szCs w:val="20"/>
                <w:color w:val="auto"/>
              </w:rPr>
            </w:pPr>
            <w:r>
              <w:rPr>
                <w:rFonts w:ascii="Arial" w:cs="Arial" w:eastAsia="Arial" w:hAnsi="Arial"/>
                <w:sz w:val="12"/>
                <w:szCs w:val="12"/>
                <w:b w:val="1"/>
                <w:bCs w:val="1"/>
                <w:color w:val="009BDE"/>
              </w:rPr>
              <w:t>Equity</w:t>
            </w:r>
          </w:p>
        </w:tc>
        <w:tc>
          <w:tcPr>
            <w:tcW w:w="200" w:type="dxa"/>
            <w:vAlign w:val="bottom"/>
            <w:shd w:val="clear" w:color="auto" w:fill="CCEBF8"/>
          </w:tcPr>
          <w:p>
            <w:pPr>
              <w:spacing w:after="0"/>
              <w:rPr>
                <w:sz w:val="11"/>
                <w:szCs w:val="11"/>
                <w:color w:val="auto"/>
              </w:rPr>
            </w:pPr>
          </w:p>
        </w:tc>
        <w:tc>
          <w:tcPr>
            <w:tcW w:w="540" w:type="dxa"/>
            <w:vAlign w:val="bottom"/>
            <w:shd w:val="clear" w:color="auto" w:fill="CCEBF8"/>
          </w:tcPr>
          <w:p>
            <w:pPr>
              <w:spacing w:after="0"/>
              <w:rPr>
                <w:sz w:val="11"/>
                <w:szCs w:val="11"/>
                <w:color w:val="auto"/>
              </w:rPr>
            </w:pPr>
          </w:p>
        </w:tc>
        <w:tc>
          <w:tcPr>
            <w:tcW w:w="760" w:type="dxa"/>
            <w:vAlign w:val="bottom"/>
            <w:shd w:val="clear" w:color="auto" w:fill="CCEBF8"/>
          </w:tcPr>
          <w:p>
            <w:pPr>
              <w:spacing w:after="0"/>
              <w:rPr>
                <w:sz w:val="11"/>
                <w:szCs w:val="11"/>
                <w:color w:val="auto"/>
              </w:rPr>
            </w:pPr>
          </w:p>
        </w:tc>
        <w:tc>
          <w:tcPr>
            <w:tcW w:w="80" w:type="dxa"/>
            <w:vAlign w:val="bottom"/>
            <w:shd w:val="clear" w:color="auto" w:fill="CCEBF8"/>
          </w:tcPr>
          <w:p>
            <w:pPr>
              <w:spacing w:after="0"/>
              <w:rPr>
                <w:sz w:val="11"/>
                <w:szCs w:val="11"/>
                <w:color w:val="auto"/>
              </w:rPr>
            </w:pPr>
          </w:p>
        </w:tc>
        <w:tc>
          <w:tcPr>
            <w:tcW w:w="90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700" w:type="dxa"/>
            <w:vAlign w:val="bottom"/>
            <w:shd w:val="clear" w:color="auto" w:fill="CCEBF8"/>
          </w:tcPr>
          <w:p>
            <w:pPr>
              <w:spacing w:after="0"/>
              <w:rPr>
                <w:sz w:val="11"/>
                <w:szCs w:val="11"/>
                <w:color w:val="auto"/>
              </w:rPr>
            </w:pPr>
          </w:p>
        </w:tc>
        <w:tc>
          <w:tcPr>
            <w:tcW w:w="1180" w:type="dxa"/>
            <w:vAlign w:val="bottom"/>
            <w:shd w:val="clear" w:color="auto" w:fill="CCEBF8"/>
          </w:tcPr>
          <w:p>
            <w:pPr>
              <w:jc w:val="center"/>
              <w:ind w:right="98"/>
              <w:spacing w:after="0" w:line="134" w:lineRule="exact"/>
              <w:rPr>
                <w:sz w:val="20"/>
                <w:szCs w:val="20"/>
                <w:color w:val="auto"/>
              </w:rPr>
            </w:pPr>
            <w:r>
              <w:rPr>
                <w:rFonts w:ascii="Arial" w:cs="Arial" w:eastAsia="Arial" w:hAnsi="Arial"/>
                <w:sz w:val="12"/>
                <w:szCs w:val="12"/>
                <w:b w:val="1"/>
                <w:bCs w:val="1"/>
                <w:color w:val="009BDE"/>
              </w:rPr>
              <w:t>Incentive</w:t>
            </w:r>
          </w:p>
        </w:tc>
        <w:tc>
          <w:tcPr>
            <w:tcW w:w="1060" w:type="dxa"/>
            <w:vAlign w:val="bottom"/>
            <w:gridSpan w:val="2"/>
            <w:shd w:val="clear" w:color="auto" w:fill="CCEBF8"/>
          </w:tcPr>
          <w:p>
            <w:pPr>
              <w:ind w:left="120"/>
              <w:spacing w:after="0" w:line="134" w:lineRule="exact"/>
              <w:rPr>
                <w:sz w:val="20"/>
                <w:szCs w:val="20"/>
                <w:color w:val="auto"/>
              </w:rPr>
            </w:pPr>
            <w:r>
              <w:rPr>
                <w:rFonts w:ascii="Arial" w:cs="Arial" w:eastAsia="Arial" w:hAnsi="Arial"/>
                <w:sz w:val="12"/>
                <w:szCs w:val="12"/>
                <w:b w:val="1"/>
                <w:bCs w:val="1"/>
                <w:color w:val="009BDE"/>
              </w:rPr>
              <w:t xml:space="preserve">Incentive Plan </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1140" w:type="dxa"/>
            <w:vAlign w:val="bottom"/>
            <w:shd w:val="clear" w:color="auto" w:fill="CCEBF8"/>
          </w:tcPr>
          <w:p>
            <w:pPr>
              <w:spacing w:after="0"/>
              <w:rPr>
                <w:sz w:val="11"/>
                <w:szCs w:val="11"/>
                <w:color w:val="auto"/>
              </w:rPr>
            </w:pPr>
          </w:p>
        </w:tc>
        <w:tc>
          <w:tcPr>
            <w:tcW w:w="1280" w:type="dxa"/>
            <w:vAlign w:val="bottom"/>
            <w:shd w:val="clear" w:color="auto" w:fill="CCEBF8"/>
          </w:tcPr>
          <w:p>
            <w:pPr>
              <w:spacing w:after="0"/>
              <w:rPr>
                <w:sz w:val="11"/>
                <w:szCs w:val="11"/>
                <w:color w:val="auto"/>
              </w:rPr>
            </w:pPr>
          </w:p>
        </w:tc>
        <w:tc>
          <w:tcPr>
            <w:tcW w:w="1020" w:type="dxa"/>
            <w:vAlign w:val="bottom"/>
            <w:vMerge w:val="continue"/>
            <w:shd w:val="clear" w:color="auto" w:fill="CCEBF8"/>
          </w:tcPr>
          <w:p>
            <w:pPr>
              <w:spacing w:after="0"/>
              <w:rPr>
                <w:sz w:val="11"/>
                <w:szCs w:val="11"/>
                <w:color w:val="auto"/>
              </w:rPr>
            </w:pPr>
          </w:p>
        </w:tc>
        <w:tc>
          <w:tcPr>
            <w:tcW w:w="200" w:type="dxa"/>
            <w:vAlign w:val="bottom"/>
            <w:shd w:val="clear" w:color="auto" w:fill="CCEBF8"/>
          </w:tcPr>
          <w:p>
            <w:pPr>
              <w:spacing w:after="0"/>
              <w:rPr>
                <w:sz w:val="11"/>
                <w:szCs w:val="11"/>
                <w:color w:val="auto"/>
              </w:rPr>
            </w:pPr>
          </w:p>
        </w:tc>
        <w:tc>
          <w:tcPr>
            <w:tcW w:w="540" w:type="dxa"/>
            <w:vAlign w:val="bottom"/>
            <w:shd w:val="clear" w:color="auto" w:fill="CCEBF8"/>
          </w:tcPr>
          <w:p>
            <w:pPr>
              <w:spacing w:after="0"/>
              <w:rPr>
                <w:sz w:val="11"/>
                <w:szCs w:val="11"/>
                <w:color w:val="auto"/>
              </w:rPr>
            </w:pPr>
          </w:p>
        </w:tc>
        <w:tc>
          <w:tcPr>
            <w:tcW w:w="760" w:type="dxa"/>
            <w:vAlign w:val="bottom"/>
            <w:shd w:val="clear" w:color="auto" w:fill="CCEBF8"/>
          </w:tcPr>
          <w:p>
            <w:pPr>
              <w:spacing w:after="0"/>
              <w:rPr>
                <w:sz w:val="11"/>
                <w:szCs w:val="11"/>
                <w:color w:val="auto"/>
              </w:rPr>
            </w:pPr>
          </w:p>
        </w:tc>
        <w:tc>
          <w:tcPr>
            <w:tcW w:w="80" w:type="dxa"/>
            <w:vAlign w:val="bottom"/>
            <w:shd w:val="clear" w:color="auto" w:fill="CCEBF8"/>
          </w:tcPr>
          <w:p>
            <w:pPr>
              <w:spacing w:after="0"/>
              <w:rPr>
                <w:sz w:val="11"/>
                <w:szCs w:val="11"/>
                <w:color w:val="auto"/>
              </w:rPr>
            </w:pPr>
          </w:p>
        </w:tc>
        <w:tc>
          <w:tcPr>
            <w:tcW w:w="90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700" w:type="dxa"/>
            <w:vAlign w:val="bottom"/>
            <w:shd w:val="clear" w:color="auto" w:fill="CCEBF8"/>
          </w:tcPr>
          <w:p>
            <w:pPr>
              <w:spacing w:after="0"/>
              <w:rPr>
                <w:sz w:val="11"/>
                <w:szCs w:val="11"/>
                <w:color w:val="auto"/>
              </w:rPr>
            </w:pPr>
          </w:p>
        </w:tc>
        <w:tc>
          <w:tcPr>
            <w:tcW w:w="1180" w:type="dxa"/>
            <w:vAlign w:val="bottom"/>
            <w:shd w:val="clear" w:color="auto" w:fill="CCEBF8"/>
          </w:tcPr>
          <w:p>
            <w:pPr>
              <w:jc w:val="center"/>
              <w:ind w:right="98"/>
              <w:spacing w:after="0" w:line="134" w:lineRule="exact"/>
              <w:rPr>
                <w:sz w:val="20"/>
                <w:szCs w:val="20"/>
                <w:color w:val="auto"/>
              </w:rPr>
            </w:pPr>
            <w:r>
              <w:rPr>
                <w:rFonts w:ascii="Arial" w:cs="Arial" w:eastAsia="Arial" w:hAnsi="Arial"/>
                <w:sz w:val="12"/>
                <w:szCs w:val="12"/>
                <w:b w:val="1"/>
                <w:bCs w:val="1"/>
                <w:color w:val="009BDE"/>
              </w:rPr>
              <w:t>Plan Awards:</w:t>
            </w:r>
          </w:p>
        </w:tc>
        <w:tc>
          <w:tcPr>
            <w:tcW w:w="180" w:type="dxa"/>
            <w:vAlign w:val="bottom"/>
            <w:shd w:val="clear" w:color="auto" w:fill="CCEBF8"/>
          </w:tcPr>
          <w:p>
            <w:pPr>
              <w:spacing w:after="0"/>
              <w:rPr>
                <w:sz w:val="11"/>
                <w:szCs w:val="11"/>
                <w:color w:val="auto"/>
              </w:rPr>
            </w:pPr>
          </w:p>
        </w:tc>
        <w:tc>
          <w:tcPr>
            <w:tcW w:w="880" w:type="dxa"/>
            <w:vAlign w:val="bottom"/>
            <w:shd w:val="clear" w:color="auto" w:fill="CCEBF8"/>
          </w:tcPr>
          <w:p>
            <w:pPr>
              <w:jc w:val="center"/>
              <w:ind w:right="78"/>
              <w:spacing w:after="0" w:line="134" w:lineRule="exact"/>
              <w:rPr>
                <w:sz w:val="20"/>
                <w:szCs w:val="20"/>
                <w:color w:val="auto"/>
              </w:rPr>
            </w:pPr>
            <w:r>
              <w:rPr>
                <w:rFonts w:ascii="Arial" w:cs="Arial" w:eastAsia="Arial" w:hAnsi="Arial"/>
                <w:sz w:val="12"/>
                <w:szCs w:val="12"/>
                <w:b w:val="1"/>
                <w:bCs w:val="1"/>
                <w:color w:val="009BDE"/>
              </w:rPr>
              <w:t>Awards: </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1140" w:type="dxa"/>
            <w:vAlign w:val="bottom"/>
            <w:shd w:val="clear" w:color="auto" w:fill="CCEBF8"/>
          </w:tcPr>
          <w:p>
            <w:pPr>
              <w:spacing w:after="0"/>
              <w:rPr>
                <w:sz w:val="11"/>
                <w:szCs w:val="11"/>
                <w:color w:val="auto"/>
              </w:rPr>
            </w:pPr>
          </w:p>
        </w:tc>
        <w:tc>
          <w:tcPr>
            <w:tcW w:w="1280" w:type="dxa"/>
            <w:vAlign w:val="bottom"/>
            <w:shd w:val="clear" w:color="auto" w:fill="CCEBF8"/>
          </w:tcPr>
          <w:p>
            <w:pPr>
              <w:spacing w:after="0"/>
              <w:rPr>
                <w:sz w:val="11"/>
                <w:szCs w:val="11"/>
                <w:color w:val="auto"/>
              </w:rPr>
            </w:pPr>
          </w:p>
        </w:tc>
        <w:tc>
          <w:tcPr>
            <w:tcW w:w="1020" w:type="dxa"/>
            <w:vAlign w:val="bottom"/>
            <w:shd w:val="clear" w:color="auto" w:fill="CCEBF8"/>
          </w:tcPr>
          <w:p>
            <w:pPr>
              <w:jc w:val="center"/>
              <w:spacing w:after="0" w:line="134" w:lineRule="exact"/>
              <w:rPr>
                <w:sz w:val="20"/>
                <w:szCs w:val="20"/>
                <w:color w:val="auto"/>
              </w:rPr>
            </w:pPr>
            <w:r>
              <w:rPr>
                <w:rFonts w:ascii="Arial" w:cs="Arial" w:eastAsia="Arial" w:hAnsi="Arial"/>
                <w:sz w:val="12"/>
                <w:szCs w:val="12"/>
                <w:b w:val="1"/>
                <w:bCs w:val="1"/>
                <w:color w:val="009BDE"/>
              </w:rPr>
              <w:t>Incentive</w:t>
            </w:r>
          </w:p>
        </w:tc>
        <w:tc>
          <w:tcPr>
            <w:tcW w:w="200" w:type="dxa"/>
            <w:vAlign w:val="bottom"/>
            <w:shd w:val="clear" w:color="auto" w:fill="CCEBF8"/>
          </w:tcPr>
          <w:p>
            <w:pPr>
              <w:spacing w:after="0"/>
              <w:rPr>
                <w:sz w:val="11"/>
                <w:szCs w:val="11"/>
                <w:color w:val="auto"/>
              </w:rPr>
            </w:pPr>
          </w:p>
        </w:tc>
        <w:tc>
          <w:tcPr>
            <w:tcW w:w="540" w:type="dxa"/>
            <w:vAlign w:val="bottom"/>
            <w:shd w:val="clear" w:color="auto" w:fill="CCEBF8"/>
          </w:tcPr>
          <w:p>
            <w:pPr>
              <w:spacing w:after="0"/>
              <w:rPr>
                <w:sz w:val="11"/>
                <w:szCs w:val="11"/>
                <w:color w:val="auto"/>
              </w:rPr>
            </w:pPr>
          </w:p>
        </w:tc>
        <w:tc>
          <w:tcPr>
            <w:tcW w:w="760" w:type="dxa"/>
            <w:vAlign w:val="bottom"/>
            <w:shd w:val="clear" w:color="auto" w:fill="CCEBF8"/>
          </w:tcPr>
          <w:p>
            <w:pPr>
              <w:spacing w:after="0"/>
              <w:rPr>
                <w:sz w:val="11"/>
                <w:szCs w:val="11"/>
                <w:color w:val="auto"/>
              </w:rPr>
            </w:pPr>
          </w:p>
        </w:tc>
        <w:tc>
          <w:tcPr>
            <w:tcW w:w="80" w:type="dxa"/>
            <w:vAlign w:val="bottom"/>
            <w:shd w:val="clear" w:color="auto" w:fill="CCEBF8"/>
          </w:tcPr>
          <w:p>
            <w:pPr>
              <w:spacing w:after="0"/>
              <w:rPr>
                <w:sz w:val="11"/>
                <w:szCs w:val="11"/>
                <w:color w:val="auto"/>
              </w:rPr>
            </w:pPr>
          </w:p>
        </w:tc>
        <w:tc>
          <w:tcPr>
            <w:tcW w:w="900" w:type="dxa"/>
            <w:vAlign w:val="bottom"/>
            <w:vMerge w:val="restart"/>
            <w:shd w:val="clear" w:color="auto" w:fill="CCEBF8"/>
          </w:tcPr>
          <w:p>
            <w:pPr>
              <w:jc w:val="center"/>
              <w:ind w:right="238"/>
              <w:spacing w:after="0"/>
              <w:rPr>
                <w:sz w:val="20"/>
                <w:szCs w:val="20"/>
                <w:color w:val="auto"/>
              </w:rPr>
            </w:pPr>
            <w:r>
              <w:rPr>
                <w:rFonts w:ascii="Arial" w:cs="Arial" w:eastAsia="Arial" w:hAnsi="Arial"/>
                <w:sz w:val="12"/>
                <w:szCs w:val="12"/>
                <w:b w:val="1"/>
                <w:bCs w:val="1"/>
                <w:color w:val="009BDE"/>
              </w:rPr>
              <w:t>Number</w:t>
            </w:r>
          </w:p>
        </w:tc>
        <w:tc>
          <w:tcPr>
            <w:tcW w:w="180" w:type="dxa"/>
            <w:vAlign w:val="bottom"/>
            <w:shd w:val="clear" w:color="auto" w:fill="CCEBF8"/>
          </w:tcPr>
          <w:p>
            <w:pPr>
              <w:spacing w:after="0"/>
              <w:rPr>
                <w:sz w:val="11"/>
                <w:szCs w:val="11"/>
                <w:color w:val="auto"/>
              </w:rPr>
            </w:pPr>
          </w:p>
        </w:tc>
        <w:tc>
          <w:tcPr>
            <w:tcW w:w="700" w:type="dxa"/>
            <w:vAlign w:val="bottom"/>
            <w:vMerge w:val="restart"/>
            <w:shd w:val="clear" w:color="auto" w:fill="CCEBF8"/>
          </w:tcPr>
          <w:p>
            <w:pPr>
              <w:jc w:val="center"/>
              <w:ind w:right="118"/>
              <w:spacing w:after="0"/>
              <w:rPr>
                <w:sz w:val="20"/>
                <w:szCs w:val="20"/>
                <w:color w:val="auto"/>
              </w:rPr>
            </w:pPr>
            <w:r>
              <w:rPr>
                <w:rFonts w:ascii="Arial" w:cs="Arial" w:eastAsia="Arial" w:hAnsi="Arial"/>
                <w:sz w:val="12"/>
                <w:szCs w:val="12"/>
                <w:b w:val="1"/>
                <w:bCs w:val="1"/>
                <w:color w:val="009BDE"/>
              </w:rPr>
              <w:t>Market</w:t>
            </w:r>
          </w:p>
        </w:tc>
        <w:tc>
          <w:tcPr>
            <w:tcW w:w="1180" w:type="dxa"/>
            <w:vAlign w:val="bottom"/>
            <w:shd w:val="clear" w:color="auto" w:fill="CCEBF8"/>
          </w:tcPr>
          <w:p>
            <w:pPr>
              <w:jc w:val="center"/>
              <w:ind w:right="98"/>
              <w:spacing w:after="0" w:line="134" w:lineRule="exact"/>
              <w:rPr>
                <w:sz w:val="20"/>
                <w:szCs w:val="20"/>
                <w:color w:val="auto"/>
              </w:rPr>
            </w:pPr>
            <w:r>
              <w:rPr>
                <w:rFonts w:ascii="Arial" w:cs="Arial" w:eastAsia="Arial" w:hAnsi="Arial"/>
                <w:sz w:val="12"/>
                <w:szCs w:val="12"/>
                <w:b w:val="1"/>
                <w:bCs w:val="1"/>
                <w:color w:val="009BDE"/>
              </w:rPr>
              <w:t>Number of</w:t>
            </w:r>
          </w:p>
        </w:tc>
        <w:tc>
          <w:tcPr>
            <w:tcW w:w="180" w:type="dxa"/>
            <w:vAlign w:val="bottom"/>
            <w:shd w:val="clear" w:color="auto" w:fill="CCEBF8"/>
          </w:tcPr>
          <w:p>
            <w:pPr>
              <w:spacing w:after="0"/>
              <w:rPr>
                <w:sz w:val="11"/>
                <w:szCs w:val="11"/>
                <w:color w:val="auto"/>
              </w:rPr>
            </w:pPr>
          </w:p>
        </w:tc>
        <w:tc>
          <w:tcPr>
            <w:tcW w:w="880" w:type="dxa"/>
            <w:vAlign w:val="bottom"/>
            <w:shd w:val="clear" w:color="auto" w:fill="CCEBF8"/>
          </w:tcPr>
          <w:p>
            <w:pPr>
              <w:jc w:val="center"/>
              <w:ind w:right="58"/>
              <w:spacing w:after="0" w:line="134" w:lineRule="exact"/>
              <w:rPr>
                <w:sz w:val="20"/>
                <w:szCs w:val="20"/>
                <w:color w:val="auto"/>
              </w:rPr>
            </w:pPr>
            <w:r>
              <w:rPr>
                <w:rFonts w:ascii="Arial" w:cs="Arial" w:eastAsia="Arial" w:hAnsi="Arial"/>
                <w:sz w:val="12"/>
                <w:szCs w:val="12"/>
                <w:b w:val="1"/>
                <w:bCs w:val="1"/>
                <w:color w:val="009BDE"/>
                <w:w w:val="99"/>
              </w:rPr>
              <w:t>Market or </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1140" w:type="dxa"/>
            <w:vAlign w:val="bottom"/>
            <w:shd w:val="clear" w:color="auto" w:fill="CCEBF8"/>
          </w:tcPr>
          <w:p>
            <w:pPr>
              <w:spacing w:after="0"/>
              <w:rPr>
                <w:sz w:val="11"/>
                <w:szCs w:val="11"/>
                <w:color w:val="auto"/>
              </w:rPr>
            </w:pPr>
          </w:p>
        </w:tc>
        <w:tc>
          <w:tcPr>
            <w:tcW w:w="1280" w:type="dxa"/>
            <w:vAlign w:val="bottom"/>
            <w:shd w:val="clear" w:color="auto" w:fill="CCEBF8"/>
          </w:tcPr>
          <w:p>
            <w:pPr>
              <w:spacing w:after="0"/>
              <w:rPr>
                <w:sz w:val="11"/>
                <w:szCs w:val="11"/>
                <w:color w:val="auto"/>
              </w:rPr>
            </w:pPr>
          </w:p>
        </w:tc>
        <w:tc>
          <w:tcPr>
            <w:tcW w:w="1020" w:type="dxa"/>
            <w:vAlign w:val="bottom"/>
            <w:shd w:val="clear" w:color="auto" w:fill="CCEBF8"/>
          </w:tcPr>
          <w:p>
            <w:pPr>
              <w:jc w:val="right"/>
              <w:ind w:right="58"/>
              <w:spacing w:after="0" w:line="134" w:lineRule="exact"/>
              <w:rPr>
                <w:sz w:val="20"/>
                <w:szCs w:val="20"/>
                <w:color w:val="auto"/>
              </w:rPr>
            </w:pPr>
            <w:r>
              <w:rPr>
                <w:rFonts w:ascii="Arial" w:cs="Arial" w:eastAsia="Arial" w:hAnsi="Arial"/>
                <w:sz w:val="12"/>
                <w:szCs w:val="12"/>
                <w:b w:val="1"/>
                <w:bCs w:val="1"/>
                <w:color w:val="009BDE"/>
              </w:rPr>
              <w:t>Plan Awards:</w:t>
            </w:r>
          </w:p>
        </w:tc>
        <w:tc>
          <w:tcPr>
            <w:tcW w:w="200" w:type="dxa"/>
            <w:vAlign w:val="bottom"/>
            <w:shd w:val="clear" w:color="auto" w:fill="CCEBF8"/>
          </w:tcPr>
          <w:p>
            <w:pPr>
              <w:spacing w:after="0"/>
              <w:rPr>
                <w:sz w:val="11"/>
                <w:szCs w:val="11"/>
                <w:color w:val="auto"/>
              </w:rPr>
            </w:pPr>
          </w:p>
        </w:tc>
        <w:tc>
          <w:tcPr>
            <w:tcW w:w="540" w:type="dxa"/>
            <w:vAlign w:val="bottom"/>
            <w:shd w:val="clear" w:color="auto" w:fill="CCEBF8"/>
          </w:tcPr>
          <w:p>
            <w:pPr>
              <w:spacing w:after="0"/>
              <w:rPr>
                <w:sz w:val="11"/>
                <w:szCs w:val="11"/>
                <w:color w:val="auto"/>
              </w:rPr>
            </w:pPr>
          </w:p>
        </w:tc>
        <w:tc>
          <w:tcPr>
            <w:tcW w:w="760" w:type="dxa"/>
            <w:vAlign w:val="bottom"/>
            <w:shd w:val="clear" w:color="auto" w:fill="CCEBF8"/>
          </w:tcPr>
          <w:p>
            <w:pPr>
              <w:spacing w:after="0"/>
              <w:rPr>
                <w:sz w:val="11"/>
                <w:szCs w:val="11"/>
                <w:color w:val="auto"/>
              </w:rPr>
            </w:pPr>
          </w:p>
        </w:tc>
        <w:tc>
          <w:tcPr>
            <w:tcW w:w="80" w:type="dxa"/>
            <w:vAlign w:val="bottom"/>
            <w:shd w:val="clear" w:color="auto" w:fill="CCEBF8"/>
          </w:tcPr>
          <w:p>
            <w:pPr>
              <w:spacing w:after="0"/>
              <w:rPr>
                <w:sz w:val="11"/>
                <w:szCs w:val="11"/>
                <w:color w:val="auto"/>
              </w:rPr>
            </w:pPr>
          </w:p>
        </w:tc>
        <w:tc>
          <w:tcPr>
            <w:tcW w:w="900" w:type="dxa"/>
            <w:vAlign w:val="bottom"/>
            <w:vMerge w:val="continue"/>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700" w:type="dxa"/>
            <w:vAlign w:val="bottom"/>
            <w:vMerge w:val="continue"/>
            <w:shd w:val="clear" w:color="auto" w:fill="CCEBF8"/>
          </w:tcPr>
          <w:p>
            <w:pPr>
              <w:spacing w:after="0"/>
              <w:rPr>
                <w:sz w:val="11"/>
                <w:szCs w:val="11"/>
                <w:color w:val="auto"/>
              </w:rPr>
            </w:pPr>
          </w:p>
        </w:tc>
        <w:tc>
          <w:tcPr>
            <w:tcW w:w="1180" w:type="dxa"/>
            <w:vAlign w:val="bottom"/>
            <w:shd w:val="clear" w:color="auto" w:fill="CCEBF8"/>
          </w:tcPr>
          <w:p>
            <w:pPr>
              <w:jc w:val="center"/>
              <w:ind w:right="98"/>
              <w:spacing w:after="0" w:line="134" w:lineRule="exact"/>
              <w:rPr>
                <w:sz w:val="20"/>
                <w:szCs w:val="20"/>
                <w:color w:val="auto"/>
              </w:rPr>
            </w:pPr>
            <w:r>
              <w:rPr>
                <w:rFonts w:ascii="Arial" w:cs="Arial" w:eastAsia="Arial" w:hAnsi="Arial"/>
                <w:sz w:val="12"/>
                <w:szCs w:val="12"/>
                <w:b w:val="1"/>
                <w:bCs w:val="1"/>
                <w:color w:val="009BDE"/>
              </w:rPr>
              <w:t>Unearned</w:t>
            </w:r>
          </w:p>
        </w:tc>
        <w:tc>
          <w:tcPr>
            <w:tcW w:w="1060" w:type="dxa"/>
            <w:vAlign w:val="bottom"/>
            <w:gridSpan w:val="2"/>
            <w:shd w:val="clear" w:color="auto" w:fill="CCEBF8"/>
          </w:tcPr>
          <w:p>
            <w:pPr>
              <w:ind w:left="140"/>
              <w:spacing w:after="0" w:line="134" w:lineRule="exact"/>
              <w:rPr>
                <w:sz w:val="20"/>
                <w:szCs w:val="20"/>
                <w:color w:val="auto"/>
              </w:rPr>
            </w:pPr>
            <w:r>
              <w:rPr>
                <w:rFonts w:ascii="Arial" w:cs="Arial" w:eastAsia="Arial" w:hAnsi="Arial"/>
                <w:sz w:val="12"/>
                <w:szCs w:val="12"/>
                <w:b w:val="1"/>
                <w:bCs w:val="1"/>
                <w:color w:val="009BDE"/>
              </w:rPr>
              <w:t xml:space="preserve">Payout Value </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1140" w:type="dxa"/>
            <w:vAlign w:val="bottom"/>
            <w:vMerge w:val="restart"/>
            <w:shd w:val="clear" w:color="auto" w:fill="CCEBF8"/>
          </w:tcPr>
          <w:p>
            <w:pPr>
              <w:jc w:val="center"/>
              <w:ind w:right="198"/>
              <w:spacing w:after="0"/>
              <w:rPr>
                <w:sz w:val="20"/>
                <w:szCs w:val="20"/>
                <w:color w:val="auto"/>
              </w:rPr>
            </w:pPr>
            <w:r>
              <w:rPr>
                <w:rFonts w:ascii="Arial" w:cs="Arial" w:eastAsia="Arial" w:hAnsi="Arial"/>
                <w:sz w:val="12"/>
                <w:szCs w:val="12"/>
                <w:b w:val="1"/>
                <w:bCs w:val="1"/>
                <w:color w:val="009BDE"/>
              </w:rPr>
              <w:t>Number of</w:t>
            </w:r>
          </w:p>
        </w:tc>
        <w:tc>
          <w:tcPr>
            <w:tcW w:w="1280" w:type="dxa"/>
            <w:vAlign w:val="bottom"/>
            <w:vMerge w:val="restart"/>
            <w:shd w:val="clear" w:color="auto" w:fill="CCEBF8"/>
          </w:tcPr>
          <w:p>
            <w:pPr>
              <w:jc w:val="center"/>
              <w:spacing w:after="0"/>
              <w:rPr>
                <w:sz w:val="20"/>
                <w:szCs w:val="20"/>
                <w:color w:val="auto"/>
              </w:rPr>
            </w:pPr>
            <w:r>
              <w:rPr>
                <w:rFonts w:ascii="Arial" w:cs="Arial" w:eastAsia="Arial" w:hAnsi="Arial"/>
                <w:sz w:val="12"/>
                <w:szCs w:val="12"/>
                <w:b w:val="1"/>
                <w:bCs w:val="1"/>
                <w:color w:val="009BDE"/>
              </w:rPr>
              <w:t>Number of</w:t>
            </w:r>
          </w:p>
        </w:tc>
        <w:tc>
          <w:tcPr>
            <w:tcW w:w="1020" w:type="dxa"/>
            <w:vAlign w:val="bottom"/>
            <w:shd w:val="clear" w:color="auto" w:fill="CCEBF8"/>
          </w:tcPr>
          <w:p>
            <w:pPr>
              <w:jc w:val="center"/>
              <w:spacing w:after="0" w:line="134" w:lineRule="exact"/>
              <w:rPr>
                <w:sz w:val="20"/>
                <w:szCs w:val="20"/>
                <w:color w:val="auto"/>
              </w:rPr>
            </w:pPr>
            <w:r>
              <w:rPr>
                <w:rFonts w:ascii="Arial" w:cs="Arial" w:eastAsia="Arial" w:hAnsi="Arial"/>
                <w:sz w:val="12"/>
                <w:szCs w:val="12"/>
                <w:b w:val="1"/>
                <w:bCs w:val="1"/>
                <w:color w:val="009BDE"/>
              </w:rPr>
              <w:t>Number of</w:t>
            </w:r>
          </w:p>
        </w:tc>
        <w:tc>
          <w:tcPr>
            <w:tcW w:w="200" w:type="dxa"/>
            <w:vAlign w:val="bottom"/>
            <w:shd w:val="clear" w:color="auto" w:fill="CCEBF8"/>
          </w:tcPr>
          <w:p>
            <w:pPr>
              <w:spacing w:after="0"/>
              <w:rPr>
                <w:sz w:val="11"/>
                <w:szCs w:val="11"/>
                <w:color w:val="auto"/>
              </w:rPr>
            </w:pPr>
          </w:p>
        </w:tc>
        <w:tc>
          <w:tcPr>
            <w:tcW w:w="540" w:type="dxa"/>
            <w:vAlign w:val="bottom"/>
            <w:shd w:val="clear" w:color="auto" w:fill="CCEBF8"/>
          </w:tcPr>
          <w:p>
            <w:pPr>
              <w:spacing w:after="0"/>
              <w:rPr>
                <w:sz w:val="11"/>
                <w:szCs w:val="11"/>
                <w:color w:val="auto"/>
              </w:rPr>
            </w:pPr>
          </w:p>
        </w:tc>
        <w:tc>
          <w:tcPr>
            <w:tcW w:w="760" w:type="dxa"/>
            <w:vAlign w:val="bottom"/>
            <w:shd w:val="clear" w:color="auto" w:fill="CCEBF8"/>
          </w:tcPr>
          <w:p>
            <w:pPr>
              <w:spacing w:after="0"/>
              <w:rPr>
                <w:sz w:val="11"/>
                <w:szCs w:val="11"/>
                <w:color w:val="auto"/>
              </w:rPr>
            </w:pPr>
          </w:p>
        </w:tc>
        <w:tc>
          <w:tcPr>
            <w:tcW w:w="80" w:type="dxa"/>
            <w:vAlign w:val="bottom"/>
            <w:shd w:val="clear" w:color="auto" w:fill="CCEBF8"/>
          </w:tcPr>
          <w:p>
            <w:pPr>
              <w:spacing w:after="0"/>
              <w:rPr>
                <w:sz w:val="11"/>
                <w:szCs w:val="11"/>
                <w:color w:val="auto"/>
              </w:rPr>
            </w:pPr>
          </w:p>
        </w:tc>
        <w:tc>
          <w:tcPr>
            <w:tcW w:w="900" w:type="dxa"/>
            <w:vAlign w:val="bottom"/>
            <w:shd w:val="clear" w:color="auto" w:fill="CCEBF8"/>
          </w:tcPr>
          <w:p>
            <w:pPr>
              <w:jc w:val="center"/>
              <w:ind w:right="238"/>
              <w:spacing w:after="0" w:line="134" w:lineRule="exact"/>
              <w:rPr>
                <w:sz w:val="20"/>
                <w:szCs w:val="20"/>
                <w:color w:val="auto"/>
              </w:rPr>
            </w:pPr>
            <w:r>
              <w:rPr>
                <w:rFonts w:ascii="Arial" w:cs="Arial" w:eastAsia="Arial" w:hAnsi="Arial"/>
                <w:sz w:val="12"/>
                <w:szCs w:val="12"/>
                <w:b w:val="1"/>
                <w:bCs w:val="1"/>
                <w:color w:val="009BDE"/>
              </w:rPr>
              <w:t>of Shares</w:t>
            </w:r>
          </w:p>
        </w:tc>
        <w:tc>
          <w:tcPr>
            <w:tcW w:w="180" w:type="dxa"/>
            <w:vAlign w:val="bottom"/>
            <w:shd w:val="clear" w:color="auto" w:fill="CCEBF8"/>
          </w:tcPr>
          <w:p>
            <w:pPr>
              <w:spacing w:after="0"/>
              <w:rPr>
                <w:sz w:val="11"/>
                <w:szCs w:val="11"/>
                <w:color w:val="auto"/>
              </w:rPr>
            </w:pPr>
          </w:p>
        </w:tc>
        <w:tc>
          <w:tcPr>
            <w:tcW w:w="700" w:type="dxa"/>
            <w:vAlign w:val="bottom"/>
            <w:shd w:val="clear" w:color="auto" w:fill="CCEBF8"/>
          </w:tcPr>
          <w:p>
            <w:pPr>
              <w:jc w:val="center"/>
              <w:ind w:right="118"/>
              <w:spacing w:after="0" w:line="134" w:lineRule="exact"/>
              <w:rPr>
                <w:sz w:val="20"/>
                <w:szCs w:val="20"/>
                <w:color w:val="auto"/>
              </w:rPr>
            </w:pPr>
            <w:r>
              <w:rPr>
                <w:rFonts w:ascii="Arial" w:cs="Arial" w:eastAsia="Arial" w:hAnsi="Arial"/>
                <w:sz w:val="12"/>
                <w:szCs w:val="12"/>
                <w:b w:val="1"/>
                <w:bCs w:val="1"/>
                <w:color w:val="009BDE"/>
              </w:rPr>
              <w:t>Value of</w:t>
            </w:r>
          </w:p>
        </w:tc>
        <w:tc>
          <w:tcPr>
            <w:tcW w:w="1180" w:type="dxa"/>
            <w:vAlign w:val="bottom"/>
            <w:shd w:val="clear" w:color="auto" w:fill="CCEBF8"/>
          </w:tcPr>
          <w:p>
            <w:pPr>
              <w:jc w:val="center"/>
              <w:ind w:right="98"/>
              <w:spacing w:after="0" w:line="134" w:lineRule="exact"/>
              <w:rPr>
                <w:sz w:val="20"/>
                <w:szCs w:val="20"/>
                <w:color w:val="auto"/>
              </w:rPr>
            </w:pPr>
            <w:r>
              <w:rPr>
                <w:rFonts w:ascii="Arial" w:cs="Arial" w:eastAsia="Arial" w:hAnsi="Arial"/>
                <w:sz w:val="12"/>
                <w:szCs w:val="12"/>
                <w:b w:val="1"/>
                <w:bCs w:val="1"/>
                <w:color w:val="009BDE"/>
              </w:rPr>
              <w:t>Shares,</w:t>
            </w:r>
          </w:p>
        </w:tc>
        <w:tc>
          <w:tcPr>
            <w:tcW w:w="1060" w:type="dxa"/>
            <w:vAlign w:val="bottom"/>
            <w:gridSpan w:val="2"/>
            <w:shd w:val="clear" w:color="auto" w:fill="CCEBF8"/>
          </w:tcPr>
          <w:p>
            <w:pPr>
              <w:jc w:val="center"/>
              <w:ind w:left="6"/>
              <w:spacing w:after="0" w:line="134" w:lineRule="exact"/>
              <w:rPr>
                <w:sz w:val="20"/>
                <w:szCs w:val="20"/>
                <w:color w:val="auto"/>
              </w:rPr>
            </w:pPr>
            <w:r>
              <w:rPr>
                <w:rFonts w:ascii="Arial" w:cs="Arial" w:eastAsia="Arial" w:hAnsi="Arial"/>
                <w:sz w:val="12"/>
                <w:szCs w:val="12"/>
                <w:b w:val="1"/>
                <w:bCs w:val="1"/>
                <w:color w:val="009BDE"/>
                <w:w w:val="99"/>
              </w:rPr>
              <w:t>of Unearned </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1140" w:type="dxa"/>
            <w:vAlign w:val="bottom"/>
            <w:vMerge w:val="continue"/>
            <w:shd w:val="clear" w:color="auto" w:fill="CCEBF8"/>
          </w:tcPr>
          <w:p>
            <w:pPr>
              <w:spacing w:after="0"/>
              <w:rPr>
                <w:sz w:val="11"/>
                <w:szCs w:val="11"/>
                <w:color w:val="auto"/>
              </w:rPr>
            </w:pPr>
          </w:p>
        </w:tc>
        <w:tc>
          <w:tcPr>
            <w:tcW w:w="1280" w:type="dxa"/>
            <w:vAlign w:val="bottom"/>
            <w:vMerge w:val="continue"/>
            <w:shd w:val="clear" w:color="auto" w:fill="CCEBF8"/>
          </w:tcPr>
          <w:p>
            <w:pPr>
              <w:spacing w:after="0"/>
              <w:rPr>
                <w:sz w:val="11"/>
                <w:szCs w:val="11"/>
                <w:color w:val="auto"/>
              </w:rPr>
            </w:pPr>
          </w:p>
        </w:tc>
        <w:tc>
          <w:tcPr>
            <w:tcW w:w="1020" w:type="dxa"/>
            <w:vAlign w:val="bottom"/>
            <w:shd w:val="clear" w:color="auto" w:fill="CCEBF8"/>
          </w:tcPr>
          <w:p>
            <w:pPr>
              <w:jc w:val="center"/>
              <w:spacing w:after="0" w:line="134" w:lineRule="exact"/>
              <w:rPr>
                <w:sz w:val="20"/>
                <w:szCs w:val="20"/>
                <w:color w:val="auto"/>
              </w:rPr>
            </w:pPr>
            <w:r>
              <w:rPr>
                <w:rFonts w:ascii="Arial" w:cs="Arial" w:eastAsia="Arial" w:hAnsi="Arial"/>
                <w:sz w:val="12"/>
                <w:szCs w:val="12"/>
                <w:b w:val="1"/>
                <w:bCs w:val="1"/>
                <w:color w:val="009BDE"/>
              </w:rPr>
              <w:t>Securities</w:t>
            </w:r>
          </w:p>
        </w:tc>
        <w:tc>
          <w:tcPr>
            <w:tcW w:w="200" w:type="dxa"/>
            <w:vAlign w:val="bottom"/>
            <w:shd w:val="clear" w:color="auto" w:fill="CCEBF8"/>
          </w:tcPr>
          <w:p>
            <w:pPr>
              <w:spacing w:after="0"/>
              <w:rPr>
                <w:sz w:val="11"/>
                <w:szCs w:val="11"/>
                <w:color w:val="auto"/>
              </w:rPr>
            </w:pPr>
          </w:p>
        </w:tc>
        <w:tc>
          <w:tcPr>
            <w:tcW w:w="540" w:type="dxa"/>
            <w:vAlign w:val="bottom"/>
            <w:shd w:val="clear" w:color="auto" w:fill="CCEBF8"/>
          </w:tcPr>
          <w:p>
            <w:pPr>
              <w:spacing w:after="0"/>
              <w:rPr>
                <w:sz w:val="11"/>
                <w:szCs w:val="11"/>
                <w:color w:val="auto"/>
              </w:rPr>
            </w:pPr>
          </w:p>
        </w:tc>
        <w:tc>
          <w:tcPr>
            <w:tcW w:w="760" w:type="dxa"/>
            <w:vAlign w:val="bottom"/>
            <w:shd w:val="clear" w:color="auto" w:fill="CCEBF8"/>
          </w:tcPr>
          <w:p>
            <w:pPr>
              <w:spacing w:after="0"/>
              <w:rPr>
                <w:sz w:val="11"/>
                <w:szCs w:val="11"/>
                <w:color w:val="auto"/>
              </w:rPr>
            </w:pPr>
          </w:p>
        </w:tc>
        <w:tc>
          <w:tcPr>
            <w:tcW w:w="80" w:type="dxa"/>
            <w:vAlign w:val="bottom"/>
            <w:shd w:val="clear" w:color="auto" w:fill="CCEBF8"/>
          </w:tcPr>
          <w:p>
            <w:pPr>
              <w:spacing w:after="0"/>
              <w:rPr>
                <w:sz w:val="11"/>
                <w:szCs w:val="11"/>
                <w:color w:val="auto"/>
              </w:rPr>
            </w:pPr>
          </w:p>
        </w:tc>
        <w:tc>
          <w:tcPr>
            <w:tcW w:w="900" w:type="dxa"/>
            <w:vAlign w:val="bottom"/>
            <w:shd w:val="clear" w:color="auto" w:fill="CCEBF8"/>
          </w:tcPr>
          <w:p>
            <w:pPr>
              <w:jc w:val="center"/>
              <w:ind w:right="238"/>
              <w:spacing w:after="0" w:line="134" w:lineRule="exact"/>
              <w:rPr>
                <w:sz w:val="20"/>
                <w:szCs w:val="20"/>
                <w:color w:val="auto"/>
              </w:rPr>
            </w:pPr>
            <w:r>
              <w:rPr>
                <w:rFonts w:ascii="Arial" w:cs="Arial" w:eastAsia="Arial" w:hAnsi="Arial"/>
                <w:sz w:val="12"/>
                <w:szCs w:val="12"/>
                <w:b w:val="1"/>
                <w:bCs w:val="1"/>
                <w:color w:val="009BDE"/>
              </w:rPr>
              <w:t>or Units</w:t>
            </w:r>
          </w:p>
        </w:tc>
        <w:tc>
          <w:tcPr>
            <w:tcW w:w="880" w:type="dxa"/>
            <w:vAlign w:val="bottom"/>
            <w:gridSpan w:val="2"/>
            <w:shd w:val="clear" w:color="auto" w:fill="CCEBF8"/>
          </w:tcPr>
          <w:p>
            <w:pPr>
              <w:jc w:val="center"/>
              <w:spacing w:after="0" w:line="134" w:lineRule="exact"/>
              <w:rPr>
                <w:sz w:val="20"/>
                <w:szCs w:val="20"/>
                <w:color w:val="auto"/>
              </w:rPr>
            </w:pPr>
            <w:r>
              <w:rPr>
                <w:rFonts w:ascii="Arial" w:cs="Arial" w:eastAsia="Arial" w:hAnsi="Arial"/>
                <w:sz w:val="12"/>
                <w:szCs w:val="12"/>
                <w:b w:val="1"/>
                <w:bCs w:val="1"/>
                <w:color w:val="009BDE"/>
              </w:rPr>
              <w:t>Shares or</w:t>
            </w:r>
          </w:p>
        </w:tc>
        <w:tc>
          <w:tcPr>
            <w:tcW w:w="1180" w:type="dxa"/>
            <w:vAlign w:val="bottom"/>
            <w:shd w:val="clear" w:color="auto" w:fill="CCEBF8"/>
          </w:tcPr>
          <w:p>
            <w:pPr>
              <w:jc w:val="center"/>
              <w:ind w:right="98"/>
              <w:spacing w:after="0" w:line="134" w:lineRule="exact"/>
              <w:rPr>
                <w:sz w:val="20"/>
                <w:szCs w:val="20"/>
                <w:color w:val="auto"/>
              </w:rPr>
            </w:pPr>
            <w:r>
              <w:rPr>
                <w:rFonts w:ascii="Arial" w:cs="Arial" w:eastAsia="Arial" w:hAnsi="Arial"/>
                <w:sz w:val="12"/>
                <w:szCs w:val="12"/>
                <w:b w:val="1"/>
                <w:bCs w:val="1"/>
                <w:color w:val="009BDE"/>
              </w:rPr>
              <w:t>Units, or</w:t>
            </w:r>
          </w:p>
        </w:tc>
        <w:tc>
          <w:tcPr>
            <w:tcW w:w="1060" w:type="dxa"/>
            <w:vAlign w:val="bottom"/>
            <w:gridSpan w:val="2"/>
            <w:shd w:val="clear" w:color="auto" w:fill="CCEBF8"/>
          </w:tcPr>
          <w:p>
            <w:pPr>
              <w:jc w:val="center"/>
              <w:spacing w:after="0" w:line="134" w:lineRule="exact"/>
              <w:rPr>
                <w:sz w:val="20"/>
                <w:szCs w:val="20"/>
                <w:color w:val="auto"/>
              </w:rPr>
            </w:pPr>
            <w:r>
              <w:rPr>
                <w:rFonts w:ascii="Arial" w:cs="Arial" w:eastAsia="Arial" w:hAnsi="Arial"/>
                <w:sz w:val="12"/>
                <w:szCs w:val="12"/>
                <w:b w:val="1"/>
                <w:bCs w:val="1"/>
                <w:color w:val="009BDE"/>
                <w:w w:val="99"/>
              </w:rPr>
              <w:t>Shares, Units </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1140" w:type="dxa"/>
            <w:vAlign w:val="bottom"/>
            <w:shd w:val="clear" w:color="auto" w:fill="CCEBF8"/>
          </w:tcPr>
          <w:p>
            <w:pPr>
              <w:jc w:val="center"/>
              <w:ind w:right="198"/>
              <w:spacing w:after="0" w:line="134" w:lineRule="exact"/>
              <w:rPr>
                <w:sz w:val="20"/>
                <w:szCs w:val="20"/>
                <w:color w:val="auto"/>
              </w:rPr>
            </w:pPr>
            <w:r>
              <w:rPr>
                <w:rFonts w:ascii="Arial" w:cs="Arial" w:eastAsia="Arial" w:hAnsi="Arial"/>
                <w:sz w:val="12"/>
                <w:szCs w:val="12"/>
                <w:b w:val="1"/>
                <w:bCs w:val="1"/>
                <w:color w:val="009BDE"/>
              </w:rPr>
              <w:t>Securities</w:t>
            </w:r>
          </w:p>
        </w:tc>
        <w:tc>
          <w:tcPr>
            <w:tcW w:w="1280" w:type="dxa"/>
            <w:vAlign w:val="bottom"/>
            <w:shd w:val="clear" w:color="auto" w:fill="CCEBF8"/>
          </w:tcPr>
          <w:p>
            <w:pPr>
              <w:jc w:val="center"/>
              <w:spacing w:after="0" w:line="134" w:lineRule="exact"/>
              <w:rPr>
                <w:sz w:val="20"/>
                <w:szCs w:val="20"/>
                <w:color w:val="auto"/>
              </w:rPr>
            </w:pPr>
            <w:r>
              <w:rPr>
                <w:rFonts w:ascii="Arial" w:cs="Arial" w:eastAsia="Arial" w:hAnsi="Arial"/>
                <w:sz w:val="12"/>
                <w:szCs w:val="12"/>
                <w:b w:val="1"/>
                <w:bCs w:val="1"/>
                <w:color w:val="009BDE"/>
              </w:rPr>
              <w:t>Securities</w:t>
            </w:r>
          </w:p>
        </w:tc>
        <w:tc>
          <w:tcPr>
            <w:tcW w:w="1020" w:type="dxa"/>
            <w:vAlign w:val="bottom"/>
            <w:shd w:val="clear" w:color="auto" w:fill="CCEBF8"/>
          </w:tcPr>
          <w:p>
            <w:pPr>
              <w:jc w:val="center"/>
              <w:spacing w:after="0" w:line="134" w:lineRule="exact"/>
              <w:rPr>
                <w:sz w:val="20"/>
                <w:szCs w:val="20"/>
                <w:color w:val="auto"/>
              </w:rPr>
            </w:pPr>
            <w:r>
              <w:rPr>
                <w:rFonts w:ascii="Arial" w:cs="Arial" w:eastAsia="Arial" w:hAnsi="Arial"/>
                <w:sz w:val="12"/>
                <w:szCs w:val="12"/>
                <w:b w:val="1"/>
                <w:bCs w:val="1"/>
                <w:color w:val="009BDE"/>
              </w:rPr>
              <w:t>Underlying</w:t>
            </w:r>
          </w:p>
        </w:tc>
        <w:tc>
          <w:tcPr>
            <w:tcW w:w="740" w:type="dxa"/>
            <w:vAlign w:val="bottom"/>
            <w:gridSpan w:val="2"/>
            <w:vMerge w:val="restart"/>
            <w:shd w:val="clear" w:color="auto" w:fill="CCEBF8"/>
          </w:tcPr>
          <w:p>
            <w:pPr>
              <w:jc w:val="center"/>
              <w:spacing w:after="0"/>
              <w:rPr>
                <w:sz w:val="20"/>
                <w:szCs w:val="20"/>
                <w:color w:val="auto"/>
              </w:rPr>
            </w:pPr>
            <w:r>
              <w:rPr>
                <w:rFonts w:ascii="Arial" w:cs="Arial" w:eastAsia="Arial" w:hAnsi="Arial"/>
                <w:sz w:val="12"/>
                <w:szCs w:val="12"/>
                <w:b w:val="1"/>
                <w:bCs w:val="1"/>
                <w:color w:val="009BDE"/>
              </w:rPr>
              <w:t>Option</w:t>
            </w:r>
          </w:p>
        </w:tc>
        <w:tc>
          <w:tcPr>
            <w:tcW w:w="760" w:type="dxa"/>
            <w:vAlign w:val="bottom"/>
            <w:shd w:val="clear" w:color="auto" w:fill="CCEBF8"/>
          </w:tcPr>
          <w:p>
            <w:pPr>
              <w:spacing w:after="0"/>
              <w:rPr>
                <w:sz w:val="11"/>
                <w:szCs w:val="11"/>
                <w:color w:val="auto"/>
              </w:rPr>
            </w:pPr>
          </w:p>
        </w:tc>
        <w:tc>
          <w:tcPr>
            <w:tcW w:w="80" w:type="dxa"/>
            <w:vAlign w:val="bottom"/>
            <w:shd w:val="clear" w:color="auto" w:fill="CCEBF8"/>
          </w:tcPr>
          <w:p>
            <w:pPr>
              <w:spacing w:after="0"/>
              <w:rPr>
                <w:sz w:val="11"/>
                <w:szCs w:val="11"/>
                <w:color w:val="auto"/>
              </w:rPr>
            </w:pPr>
          </w:p>
        </w:tc>
        <w:tc>
          <w:tcPr>
            <w:tcW w:w="900" w:type="dxa"/>
            <w:vAlign w:val="bottom"/>
            <w:shd w:val="clear" w:color="auto" w:fill="CCEBF8"/>
          </w:tcPr>
          <w:p>
            <w:pPr>
              <w:jc w:val="center"/>
              <w:ind w:right="258"/>
              <w:spacing w:after="0" w:line="134" w:lineRule="exact"/>
              <w:rPr>
                <w:sz w:val="20"/>
                <w:szCs w:val="20"/>
                <w:color w:val="auto"/>
              </w:rPr>
            </w:pPr>
            <w:r>
              <w:rPr>
                <w:rFonts w:ascii="Arial" w:cs="Arial" w:eastAsia="Arial" w:hAnsi="Arial"/>
                <w:sz w:val="12"/>
                <w:szCs w:val="12"/>
                <w:b w:val="1"/>
                <w:bCs w:val="1"/>
                <w:color w:val="009BDE"/>
              </w:rPr>
              <w:t>of Stock</w:t>
            </w:r>
          </w:p>
        </w:tc>
        <w:tc>
          <w:tcPr>
            <w:tcW w:w="180" w:type="dxa"/>
            <w:vAlign w:val="bottom"/>
            <w:shd w:val="clear" w:color="auto" w:fill="CCEBF8"/>
          </w:tcPr>
          <w:p>
            <w:pPr>
              <w:spacing w:after="0"/>
              <w:rPr>
                <w:sz w:val="11"/>
                <w:szCs w:val="11"/>
                <w:color w:val="auto"/>
              </w:rPr>
            </w:pPr>
          </w:p>
        </w:tc>
        <w:tc>
          <w:tcPr>
            <w:tcW w:w="700" w:type="dxa"/>
            <w:vAlign w:val="bottom"/>
            <w:shd w:val="clear" w:color="auto" w:fill="CCEBF8"/>
          </w:tcPr>
          <w:p>
            <w:pPr>
              <w:jc w:val="center"/>
              <w:ind w:right="138"/>
              <w:spacing w:after="0" w:line="134" w:lineRule="exact"/>
              <w:rPr>
                <w:sz w:val="20"/>
                <w:szCs w:val="20"/>
                <w:color w:val="auto"/>
              </w:rPr>
            </w:pPr>
            <w:r>
              <w:rPr>
                <w:rFonts w:ascii="Arial" w:cs="Arial" w:eastAsia="Arial" w:hAnsi="Arial"/>
                <w:sz w:val="12"/>
                <w:szCs w:val="12"/>
                <w:b w:val="1"/>
                <w:bCs w:val="1"/>
                <w:color w:val="009BDE"/>
              </w:rPr>
              <w:t>Units of</w:t>
            </w:r>
          </w:p>
        </w:tc>
        <w:tc>
          <w:tcPr>
            <w:tcW w:w="1180" w:type="dxa"/>
            <w:vAlign w:val="bottom"/>
            <w:shd w:val="clear" w:color="auto" w:fill="CCEBF8"/>
          </w:tcPr>
          <w:p>
            <w:pPr>
              <w:jc w:val="center"/>
              <w:ind w:right="98"/>
              <w:spacing w:after="0" w:line="134" w:lineRule="exact"/>
              <w:rPr>
                <w:sz w:val="20"/>
                <w:szCs w:val="20"/>
                <w:color w:val="auto"/>
              </w:rPr>
            </w:pPr>
            <w:r>
              <w:rPr>
                <w:rFonts w:ascii="Arial" w:cs="Arial" w:eastAsia="Arial" w:hAnsi="Arial"/>
                <w:sz w:val="12"/>
                <w:szCs w:val="12"/>
                <w:b w:val="1"/>
                <w:bCs w:val="1"/>
                <w:color w:val="009BDE"/>
              </w:rPr>
              <w:t>Other Rights</w:t>
            </w:r>
          </w:p>
        </w:tc>
        <w:tc>
          <w:tcPr>
            <w:tcW w:w="180" w:type="dxa"/>
            <w:vAlign w:val="bottom"/>
            <w:shd w:val="clear" w:color="auto" w:fill="CCEBF8"/>
          </w:tcPr>
          <w:p>
            <w:pPr>
              <w:spacing w:after="0"/>
              <w:rPr>
                <w:sz w:val="11"/>
                <w:szCs w:val="11"/>
                <w:color w:val="auto"/>
              </w:rPr>
            </w:pPr>
          </w:p>
        </w:tc>
        <w:tc>
          <w:tcPr>
            <w:tcW w:w="880" w:type="dxa"/>
            <w:vAlign w:val="bottom"/>
            <w:shd w:val="clear" w:color="auto" w:fill="CCEBF8"/>
          </w:tcPr>
          <w:p>
            <w:pPr>
              <w:jc w:val="center"/>
              <w:ind w:right="78"/>
              <w:spacing w:after="0" w:line="134" w:lineRule="exact"/>
              <w:rPr>
                <w:sz w:val="20"/>
                <w:szCs w:val="20"/>
                <w:color w:val="auto"/>
              </w:rPr>
            </w:pPr>
            <w:r>
              <w:rPr>
                <w:rFonts w:ascii="Arial" w:cs="Arial" w:eastAsia="Arial" w:hAnsi="Arial"/>
                <w:sz w:val="12"/>
                <w:szCs w:val="12"/>
                <w:b w:val="1"/>
                <w:bCs w:val="1"/>
                <w:color w:val="009BDE"/>
              </w:rPr>
              <w:t>or Other </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1140" w:type="dxa"/>
            <w:vAlign w:val="bottom"/>
            <w:shd w:val="clear" w:color="auto" w:fill="CCEBF8"/>
          </w:tcPr>
          <w:p>
            <w:pPr>
              <w:jc w:val="center"/>
              <w:ind w:right="198"/>
              <w:spacing w:after="0" w:line="134" w:lineRule="exact"/>
              <w:rPr>
                <w:sz w:val="20"/>
                <w:szCs w:val="20"/>
                <w:color w:val="auto"/>
              </w:rPr>
            </w:pPr>
            <w:r>
              <w:rPr>
                <w:rFonts w:ascii="Arial" w:cs="Arial" w:eastAsia="Arial" w:hAnsi="Arial"/>
                <w:sz w:val="12"/>
                <w:szCs w:val="12"/>
                <w:b w:val="1"/>
                <w:bCs w:val="1"/>
                <w:color w:val="009BDE"/>
              </w:rPr>
              <w:t>Underlying</w:t>
            </w:r>
          </w:p>
        </w:tc>
        <w:tc>
          <w:tcPr>
            <w:tcW w:w="1280" w:type="dxa"/>
            <w:vAlign w:val="bottom"/>
            <w:shd w:val="clear" w:color="auto" w:fill="CCEBF8"/>
          </w:tcPr>
          <w:p>
            <w:pPr>
              <w:jc w:val="center"/>
              <w:spacing w:after="0" w:line="134" w:lineRule="exact"/>
              <w:rPr>
                <w:sz w:val="20"/>
                <w:szCs w:val="20"/>
                <w:color w:val="auto"/>
              </w:rPr>
            </w:pPr>
            <w:r>
              <w:rPr>
                <w:rFonts w:ascii="Arial" w:cs="Arial" w:eastAsia="Arial" w:hAnsi="Arial"/>
                <w:sz w:val="12"/>
                <w:szCs w:val="12"/>
                <w:b w:val="1"/>
                <w:bCs w:val="1"/>
                <w:color w:val="009BDE"/>
              </w:rPr>
              <w:t>Underlying</w:t>
            </w:r>
          </w:p>
        </w:tc>
        <w:tc>
          <w:tcPr>
            <w:tcW w:w="1020" w:type="dxa"/>
            <w:vAlign w:val="bottom"/>
            <w:shd w:val="clear" w:color="auto" w:fill="CCEBF8"/>
          </w:tcPr>
          <w:p>
            <w:pPr>
              <w:jc w:val="center"/>
              <w:spacing w:after="0" w:line="134" w:lineRule="exact"/>
              <w:rPr>
                <w:sz w:val="20"/>
                <w:szCs w:val="20"/>
                <w:color w:val="auto"/>
              </w:rPr>
            </w:pPr>
            <w:r>
              <w:rPr>
                <w:rFonts w:ascii="Arial" w:cs="Arial" w:eastAsia="Arial" w:hAnsi="Arial"/>
                <w:sz w:val="12"/>
                <w:szCs w:val="12"/>
                <w:b w:val="1"/>
                <w:bCs w:val="1"/>
                <w:color w:val="009BDE"/>
              </w:rPr>
              <w:t>Unexercised</w:t>
            </w:r>
          </w:p>
        </w:tc>
        <w:tc>
          <w:tcPr>
            <w:tcW w:w="740" w:type="dxa"/>
            <w:vAlign w:val="bottom"/>
            <w:gridSpan w:val="2"/>
            <w:vMerge w:val="continue"/>
            <w:shd w:val="clear" w:color="auto" w:fill="CCEBF8"/>
          </w:tcPr>
          <w:p>
            <w:pPr>
              <w:spacing w:after="0"/>
              <w:rPr>
                <w:sz w:val="11"/>
                <w:szCs w:val="11"/>
                <w:color w:val="auto"/>
              </w:rPr>
            </w:pPr>
          </w:p>
        </w:tc>
        <w:tc>
          <w:tcPr>
            <w:tcW w:w="840" w:type="dxa"/>
            <w:vAlign w:val="bottom"/>
            <w:gridSpan w:val="2"/>
            <w:vMerge w:val="restart"/>
            <w:shd w:val="clear" w:color="auto" w:fill="CCEBF8"/>
          </w:tcPr>
          <w:p>
            <w:pPr>
              <w:jc w:val="center"/>
              <w:spacing w:after="0"/>
              <w:rPr>
                <w:sz w:val="20"/>
                <w:szCs w:val="20"/>
                <w:color w:val="auto"/>
              </w:rPr>
            </w:pPr>
            <w:r>
              <w:rPr>
                <w:rFonts w:ascii="Arial" w:cs="Arial" w:eastAsia="Arial" w:hAnsi="Arial"/>
                <w:sz w:val="12"/>
                <w:szCs w:val="12"/>
                <w:b w:val="1"/>
                <w:bCs w:val="1"/>
                <w:color w:val="009BDE"/>
              </w:rPr>
              <w:t>Option</w:t>
            </w:r>
          </w:p>
        </w:tc>
        <w:tc>
          <w:tcPr>
            <w:tcW w:w="900" w:type="dxa"/>
            <w:vAlign w:val="bottom"/>
            <w:shd w:val="clear" w:color="auto" w:fill="CCEBF8"/>
          </w:tcPr>
          <w:p>
            <w:pPr>
              <w:jc w:val="center"/>
              <w:ind w:right="258"/>
              <w:spacing w:after="0" w:line="134" w:lineRule="exact"/>
              <w:rPr>
                <w:sz w:val="20"/>
                <w:szCs w:val="20"/>
                <w:color w:val="auto"/>
              </w:rPr>
            </w:pPr>
            <w:r>
              <w:rPr>
                <w:rFonts w:ascii="Arial" w:cs="Arial" w:eastAsia="Arial" w:hAnsi="Arial"/>
                <w:sz w:val="12"/>
                <w:szCs w:val="12"/>
                <w:b w:val="1"/>
                <w:bCs w:val="1"/>
                <w:color w:val="009BDE"/>
              </w:rPr>
              <w:t>That</w:t>
            </w:r>
          </w:p>
        </w:tc>
        <w:tc>
          <w:tcPr>
            <w:tcW w:w="880" w:type="dxa"/>
            <w:vAlign w:val="bottom"/>
            <w:gridSpan w:val="2"/>
            <w:shd w:val="clear" w:color="auto" w:fill="CCEBF8"/>
          </w:tcPr>
          <w:p>
            <w:pPr>
              <w:ind w:left="120"/>
              <w:spacing w:after="0" w:line="134" w:lineRule="exact"/>
              <w:rPr>
                <w:sz w:val="20"/>
                <w:szCs w:val="20"/>
                <w:color w:val="auto"/>
              </w:rPr>
            </w:pPr>
            <w:r>
              <w:rPr>
                <w:rFonts w:ascii="Arial" w:cs="Arial" w:eastAsia="Arial" w:hAnsi="Arial"/>
                <w:sz w:val="12"/>
                <w:szCs w:val="12"/>
                <w:b w:val="1"/>
                <w:bCs w:val="1"/>
                <w:color w:val="009BDE"/>
              </w:rPr>
              <w:t>Stock That</w:t>
            </w:r>
          </w:p>
        </w:tc>
        <w:tc>
          <w:tcPr>
            <w:tcW w:w="1180" w:type="dxa"/>
            <w:vAlign w:val="bottom"/>
            <w:shd w:val="clear" w:color="auto" w:fill="CCEBF8"/>
          </w:tcPr>
          <w:p>
            <w:pPr>
              <w:jc w:val="center"/>
              <w:ind w:right="98"/>
              <w:spacing w:after="0" w:line="134" w:lineRule="exact"/>
              <w:rPr>
                <w:sz w:val="20"/>
                <w:szCs w:val="20"/>
                <w:color w:val="auto"/>
              </w:rPr>
            </w:pPr>
            <w:r>
              <w:rPr>
                <w:rFonts w:ascii="Arial" w:cs="Arial" w:eastAsia="Arial" w:hAnsi="Arial"/>
                <w:sz w:val="12"/>
                <w:szCs w:val="12"/>
                <w:b w:val="1"/>
                <w:bCs w:val="1"/>
                <w:color w:val="009BDE"/>
              </w:rPr>
              <w:t>That Have</w:t>
            </w:r>
          </w:p>
        </w:tc>
        <w:tc>
          <w:tcPr>
            <w:tcW w:w="180" w:type="dxa"/>
            <w:vAlign w:val="bottom"/>
            <w:shd w:val="clear" w:color="auto" w:fill="CCEBF8"/>
          </w:tcPr>
          <w:p>
            <w:pPr>
              <w:spacing w:after="0"/>
              <w:rPr>
                <w:sz w:val="11"/>
                <w:szCs w:val="11"/>
                <w:color w:val="auto"/>
              </w:rPr>
            </w:pPr>
          </w:p>
        </w:tc>
        <w:tc>
          <w:tcPr>
            <w:tcW w:w="880" w:type="dxa"/>
            <w:vAlign w:val="bottom"/>
            <w:shd w:val="clear" w:color="auto" w:fill="CCEBF8"/>
          </w:tcPr>
          <w:p>
            <w:pPr>
              <w:jc w:val="center"/>
              <w:ind w:right="58"/>
              <w:spacing w:after="0" w:line="134" w:lineRule="exact"/>
              <w:rPr>
                <w:sz w:val="20"/>
                <w:szCs w:val="20"/>
                <w:color w:val="auto"/>
              </w:rPr>
            </w:pPr>
            <w:r>
              <w:rPr>
                <w:rFonts w:ascii="Arial" w:cs="Arial" w:eastAsia="Arial" w:hAnsi="Arial"/>
                <w:sz w:val="12"/>
                <w:szCs w:val="12"/>
                <w:b w:val="1"/>
                <w:bCs w:val="1"/>
                <w:color w:val="009BDE"/>
              </w:rPr>
              <w:t xml:space="preserve">Rights That </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1140" w:type="dxa"/>
            <w:vAlign w:val="bottom"/>
            <w:shd w:val="clear" w:color="auto" w:fill="CCEBF8"/>
          </w:tcPr>
          <w:p>
            <w:pPr>
              <w:jc w:val="center"/>
              <w:ind w:right="178"/>
              <w:spacing w:after="0" w:line="134" w:lineRule="exact"/>
              <w:rPr>
                <w:sz w:val="20"/>
                <w:szCs w:val="20"/>
                <w:color w:val="auto"/>
              </w:rPr>
            </w:pPr>
            <w:r>
              <w:rPr>
                <w:rFonts w:ascii="Arial" w:cs="Arial" w:eastAsia="Arial" w:hAnsi="Arial"/>
                <w:sz w:val="12"/>
                <w:szCs w:val="12"/>
                <w:b w:val="1"/>
                <w:bCs w:val="1"/>
                <w:color w:val="009BDE"/>
              </w:rPr>
              <w:t>Unexercised</w:t>
            </w:r>
          </w:p>
        </w:tc>
        <w:tc>
          <w:tcPr>
            <w:tcW w:w="1280" w:type="dxa"/>
            <w:vAlign w:val="bottom"/>
            <w:shd w:val="clear" w:color="auto" w:fill="CCEBF8"/>
          </w:tcPr>
          <w:p>
            <w:pPr>
              <w:jc w:val="center"/>
              <w:spacing w:after="0" w:line="134" w:lineRule="exact"/>
              <w:rPr>
                <w:sz w:val="20"/>
                <w:szCs w:val="20"/>
                <w:color w:val="auto"/>
              </w:rPr>
            </w:pPr>
            <w:r>
              <w:rPr>
                <w:rFonts w:ascii="Arial" w:cs="Arial" w:eastAsia="Arial" w:hAnsi="Arial"/>
                <w:sz w:val="12"/>
                <w:szCs w:val="12"/>
                <w:b w:val="1"/>
                <w:bCs w:val="1"/>
                <w:color w:val="009BDE"/>
              </w:rPr>
              <w:t>Unexercised</w:t>
            </w:r>
          </w:p>
        </w:tc>
        <w:tc>
          <w:tcPr>
            <w:tcW w:w="1020" w:type="dxa"/>
            <w:vAlign w:val="bottom"/>
            <w:shd w:val="clear" w:color="auto" w:fill="CCEBF8"/>
          </w:tcPr>
          <w:p>
            <w:pPr>
              <w:jc w:val="center"/>
              <w:spacing w:after="0" w:line="134" w:lineRule="exact"/>
              <w:rPr>
                <w:sz w:val="20"/>
                <w:szCs w:val="20"/>
                <w:color w:val="auto"/>
              </w:rPr>
            </w:pPr>
            <w:r>
              <w:rPr>
                <w:rFonts w:ascii="Arial" w:cs="Arial" w:eastAsia="Arial" w:hAnsi="Arial"/>
                <w:sz w:val="12"/>
                <w:szCs w:val="12"/>
                <w:b w:val="1"/>
                <w:bCs w:val="1"/>
                <w:color w:val="009BDE"/>
              </w:rPr>
              <w:t>Unearned</w:t>
            </w:r>
          </w:p>
        </w:tc>
        <w:tc>
          <w:tcPr>
            <w:tcW w:w="740" w:type="dxa"/>
            <w:vAlign w:val="bottom"/>
            <w:gridSpan w:val="2"/>
            <w:shd w:val="clear" w:color="auto" w:fill="CCEBF8"/>
          </w:tcPr>
          <w:p>
            <w:pPr>
              <w:ind w:left="100"/>
              <w:spacing w:after="0" w:line="134" w:lineRule="exact"/>
              <w:rPr>
                <w:sz w:val="20"/>
                <w:szCs w:val="20"/>
                <w:color w:val="auto"/>
              </w:rPr>
            </w:pPr>
            <w:r>
              <w:rPr>
                <w:rFonts w:ascii="Arial" w:cs="Arial" w:eastAsia="Arial" w:hAnsi="Arial"/>
                <w:sz w:val="12"/>
                <w:szCs w:val="12"/>
                <w:b w:val="1"/>
                <w:bCs w:val="1"/>
                <w:color w:val="009BDE"/>
              </w:rPr>
              <w:t>Exercise</w:t>
            </w:r>
          </w:p>
        </w:tc>
        <w:tc>
          <w:tcPr>
            <w:tcW w:w="840" w:type="dxa"/>
            <w:vAlign w:val="bottom"/>
            <w:gridSpan w:val="2"/>
            <w:vMerge w:val="continue"/>
            <w:shd w:val="clear" w:color="auto" w:fill="CCEBF8"/>
          </w:tcPr>
          <w:p>
            <w:pPr>
              <w:spacing w:after="0"/>
              <w:rPr>
                <w:sz w:val="11"/>
                <w:szCs w:val="11"/>
                <w:color w:val="auto"/>
              </w:rPr>
            </w:pPr>
          </w:p>
        </w:tc>
        <w:tc>
          <w:tcPr>
            <w:tcW w:w="900" w:type="dxa"/>
            <w:vAlign w:val="bottom"/>
            <w:shd w:val="clear" w:color="auto" w:fill="CCEBF8"/>
          </w:tcPr>
          <w:p>
            <w:pPr>
              <w:jc w:val="center"/>
              <w:ind w:right="258"/>
              <w:spacing w:after="0" w:line="134" w:lineRule="exact"/>
              <w:rPr>
                <w:sz w:val="20"/>
                <w:szCs w:val="20"/>
                <w:color w:val="auto"/>
              </w:rPr>
            </w:pPr>
            <w:r>
              <w:rPr>
                <w:rFonts w:ascii="Arial" w:cs="Arial" w:eastAsia="Arial" w:hAnsi="Arial"/>
                <w:sz w:val="12"/>
                <w:szCs w:val="12"/>
                <w:b w:val="1"/>
                <w:bCs w:val="1"/>
                <w:color w:val="009BDE"/>
              </w:rPr>
              <w:t>Have Not</w:t>
            </w:r>
          </w:p>
        </w:tc>
        <w:tc>
          <w:tcPr>
            <w:tcW w:w="880" w:type="dxa"/>
            <w:vAlign w:val="bottom"/>
            <w:gridSpan w:val="2"/>
            <w:shd w:val="clear" w:color="auto" w:fill="CCEBF8"/>
          </w:tcPr>
          <w:p>
            <w:pPr>
              <w:jc w:val="center"/>
              <w:spacing w:after="0" w:line="134" w:lineRule="exact"/>
              <w:rPr>
                <w:sz w:val="20"/>
                <w:szCs w:val="20"/>
                <w:color w:val="auto"/>
              </w:rPr>
            </w:pPr>
            <w:r>
              <w:rPr>
                <w:rFonts w:ascii="Arial" w:cs="Arial" w:eastAsia="Arial" w:hAnsi="Arial"/>
                <w:sz w:val="12"/>
                <w:szCs w:val="12"/>
                <w:b w:val="1"/>
                <w:bCs w:val="1"/>
                <w:color w:val="009BDE"/>
              </w:rPr>
              <w:t>Have Not</w:t>
            </w:r>
          </w:p>
        </w:tc>
        <w:tc>
          <w:tcPr>
            <w:tcW w:w="1180" w:type="dxa"/>
            <w:vAlign w:val="bottom"/>
            <w:shd w:val="clear" w:color="auto" w:fill="CCEBF8"/>
          </w:tcPr>
          <w:p>
            <w:pPr>
              <w:jc w:val="center"/>
              <w:ind w:right="98"/>
              <w:spacing w:after="0" w:line="134" w:lineRule="exact"/>
              <w:rPr>
                <w:sz w:val="20"/>
                <w:szCs w:val="20"/>
                <w:color w:val="auto"/>
              </w:rPr>
            </w:pPr>
            <w:r>
              <w:rPr>
                <w:rFonts w:ascii="Arial" w:cs="Arial" w:eastAsia="Arial" w:hAnsi="Arial"/>
                <w:sz w:val="12"/>
                <w:szCs w:val="12"/>
                <w:b w:val="1"/>
                <w:bCs w:val="1"/>
                <w:color w:val="009BDE"/>
              </w:rPr>
              <w:t>Not</w:t>
            </w:r>
          </w:p>
        </w:tc>
        <w:tc>
          <w:tcPr>
            <w:tcW w:w="180" w:type="dxa"/>
            <w:vAlign w:val="bottom"/>
            <w:shd w:val="clear" w:color="auto" w:fill="CCEBF8"/>
          </w:tcPr>
          <w:p>
            <w:pPr>
              <w:spacing w:after="0"/>
              <w:rPr>
                <w:sz w:val="11"/>
                <w:szCs w:val="11"/>
                <w:color w:val="auto"/>
              </w:rPr>
            </w:pPr>
          </w:p>
        </w:tc>
        <w:tc>
          <w:tcPr>
            <w:tcW w:w="880" w:type="dxa"/>
            <w:vAlign w:val="bottom"/>
            <w:shd w:val="clear" w:color="auto" w:fill="CCEBF8"/>
          </w:tcPr>
          <w:p>
            <w:pPr>
              <w:jc w:val="center"/>
              <w:ind w:right="78"/>
              <w:spacing w:after="0" w:line="134" w:lineRule="exact"/>
              <w:rPr>
                <w:sz w:val="20"/>
                <w:szCs w:val="20"/>
                <w:color w:val="auto"/>
              </w:rPr>
            </w:pPr>
            <w:r>
              <w:rPr>
                <w:rFonts w:ascii="Arial" w:cs="Arial" w:eastAsia="Arial" w:hAnsi="Arial"/>
                <w:sz w:val="12"/>
                <w:szCs w:val="12"/>
                <w:b w:val="1"/>
                <w:bCs w:val="1"/>
                <w:color w:val="009BDE"/>
                <w:w w:val="99"/>
              </w:rPr>
              <w:t>Have Not </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1140" w:type="dxa"/>
            <w:vAlign w:val="bottom"/>
            <w:shd w:val="clear" w:color="auto" w:fill="CCEBF8"/>
          </w:tcPr>
          <w:p>
            <w:pPr>
              <w:jc w:val="center"/>
              <w:ind w:right="198"/>
              <w:spacing w:after="0" w:line="134" w:lineRule="exact"/>
              <w:rPr>
                <w:sz w:val="20"/>
                <w:szCs w:val="20"/>
                <w:color w:val="auto"/>
              </w:rPr>
            </w:pPr>
            <w:r>
              <w:rPr>
                <w:rFonts w:ascii="Arial" w:cs="Arial" w:eastAsia="Arial" w:hAnsi="Arial"/>
                <w:sz w:val="12"/>
                <w:szCs w:val="12"/>
                <w:b w:val="1"/>
                <w:bCs w:val="1"/>
                <w:color w:val="009BDE"/>
              </w:rPr>
              <w:t>Options</w:t>
            </w:r>
          </w:p>
        </w:tc>
        <w:tc>
          <w:tcPr>
            <w:tcW w:w="1280" w:type="dxa"/>
            <w:vAlign w:val="bottom"/>
            <w:shd w:val="clear" w:color="auto" w:fill="CCEBF8"/>
          </w:tcPr>
          <w:p>
            <w:pPr>
              <w:jc w:val="center"/>
              <w:spacing w:after="0" w:line="134" w:lineRule="exact"/>
              <w:rPr>
                <w:sz w:val="20"/>
                <w:szCs w:val="20"/>
                <w:color w:val="auto"/>
              </w:rPr>
            </w:pPr>
            <w:r>
              <w:rPr>
                <w:rFonts w:ascii="Arial" w:cs="Arial" w:eastAsia="Arial" w:hAnsi="Arial"/>
                <w:sz w:val="12"/>
                <w:szCs w:val="12"/>
                <w:b w:val="1"/>
                <w:bCs w:val="1"/>
                <w:color w:val="009BDE"/>
              </w:rPr>
              <w:t>Options</w:t>
            </w:r>
          </w:p>
        </w:tc>
        <w:tc>
          <w:tcPr>
            <w:tcW w:w="1020" w:type="dxa"/>
            <w:vAlign w:val="bottom"/>
            <w:shd w:val="clear" w:color="auto" w:fill="CCEBF8"/>
          </w:tcPr>
          <w:p>
            <w:pPr>
              <w:jc w:val="center"/>
              <w:spacing w:after="0" w:line="134" w:lineRule="exact"/>
              <w:rPr>
                <w:sz w:val="20"/>
                <w:szCs w:val="20"/>
                <w:color w:val="auto"/>
              </w:rPr>
            </w:pPr>
            <w:r>
              <w:rPr>
                <w:rFonts w:ascii="Arial" w:cs="Arial" w:eastAsia="Arial" w:hAnsi="Arial"/>
                <w:sz w:val="12"/>
                <w:szCs w:val="12"/>
                <w:b w:val="1"/>
                <w:bCs w:val="1"/>
                <w:color w:val="009BDE"/>
              </w:rPr>
              <w:t>Options</w:t>
            </w:r>
          </w:p>
        </w:tc>
        <w:tc>
          <w:tcPr>
            <w:tcW w:w="200" w:type="dxa"/>
            <w:vAlign w:val="bottom"/>
            <w:shd w:val="clear" w:color="auto" w:fill="CCEBF8"/>
          </w:tcPr>
          <w:p>
            <w:pPr>
              <w:spacing w:after="0"/>
              <w:rPr>
                <w:sz w:val="11"/>
                <w:szCs w:val="11"/>
                <w:color w:val="auto"/>
              </w:rPr>
            </w:pPr>
          </w:p>
        </w:tc>
        <w:tc>
          <w:tcPr>
            <w:tcW w:w="540" w:type="dxa"/>
            <w:vAlign w:val="bottom"/>
            <w:shd w:val="clear" w:color="auto" w:fill="CCEBF8"/>
          </w:tcPr>
          <w:p>
            <w:pPr>
              <w:jc w:val="center"/>
              <w:ind w:right="138"/>
              <w:spacing w:after="0" w:line="134" w:lineRule="exact"/>
              <w:rPr>
                <w:sz w:val="20"/>
                <w:szCs w:val="20"/>
                <w:color w:val="auto"/>
              </w:rPr>
            </w:pPr>
            <w:r>
              <w:rPr>
                <w:rFonts w:ascii="Arial" w:cs="Arial" w:eastAsia="Arial" w:hAnsi="Arial"/>
                <w:sz w:val="12"/>
                <w:szCs w:val="12"/>
                <w:b w:val="1"/>
                <w:bCs w:val="1"/>
                <w:color w:val="009BDE"/>
              </w:rPr>
              <w:t>Price</w:t>
            </w:r>
          </w:p>
        </w:tc>
        <w:tc>
          <w:tcPr>
            <w:tcW w:w="840" w:type="dxa"/>
            <w:vAlign w:val="bottom"/>
            <w:gridSpan w:val="2"/>
            <w:shd w:val="clear" w:color="auto" w:fill="CCEBF8"/>
          </w:tcPr>
          <w:p>
            <w:pPr>
              <w:jc w:val="right"/>
              <w:ind w:right="120"/>
              <w:spacing w:after="0" w:line="134" w:lineRule="exact"/>
              <w:rPr>
                <w:sz w:val="20"/>
                <w:szCs w:val="20"/>
                <w:color w:val="auto"/>
              </w:rPr>
            </w:pPr>
            <w:r>
              <w:rPr>
                <w:rFonts w:ascii="Arial" w:cs="Arial" w:eastAsia="Arial" w:hAnsi="Arial"/>
                <w:sz w:val="12"/>
                <w:szCs w:val="12"/>
                <w:b w:val="1"/>
                <w:bCs w:val="1"/>
                <w:color w:val="009BDE"/>
              </w:rPr>
              <w:t>Expiration</w:t>
            </w:r>
          </w:p>
        </w:tc>
        <w:tc>
          <w:tcPr>
            <w:tcW w:w="900" w:type="dxa"/>
            <w:vAlign w:val="bottom"/>
            <w:shd w:val="clear" w:color="auto" w:fill="CCEBF8"/>
          </w:tcPr>
          <w:p>
            <w:pPr>
              <w:jc w:val="center"/>
              <w:ind w:right="238"/>
              <w:spacing w:after="0" w:line="134" w:lineRule="exact"/>
              <w:rPr>
                <w:sz w:val="20"/>
                <w:szCs w:val="20"/>
                <w:color w:val="auto"/>
              </w:rPr>
            </w:pPr>
            <w:r>
              <w:rPr>
                <w:rFonts w:ascii="Arial" w:cs="Arial" w:eastAsia="Arial" w:hAnsi="Arial"/>
                <w:sz w:val="12"/>
                <w:szCs w:val="12"/>
                <w:b w:val="1"/>
                <w:bCs w:val="1"/>
                <w:color w:val="009BDE"/>
              </w:rPr>
              <w:t>Vested</w:t>
            </w:r>
          </w:p>
        </w:tc>
        <w:tc>
          <w:tcPr>
            <w:tcW w:w="180" w:type="dxa"/>
            <w:vAlign w:val="bottom"/>
            <w:shd w:val="clear" w:color="auto" w:fill="CCEBF8"/>
          </w:tcPr>
          <w:p>
            <w:pPr>
              <w:spacing w:after="0"/>
              <w:rPr>
                <w:sz w:val="11"/>
                <w:szCs w:val="11"/>
                <w:color w:val="auto"/>
              </w:rPr>
            </w:pPr>
          </w:p>
        </w:tc>
        <w:tc>
          <w:tcPr>
            <w:tcW w:w="700" w:type="dxa"/>
            <w:vAlign w:val="bottom"/>
            <w:shd w:val="clear" w:color="auto" w:fill="CCEBF8"/>
          </w:tcPr>
          <w:p>
            <w:pPr>
              <w:jc w:val="center"/>
              <w:ind w:right="118"/>
              <w:spacing w:after="0" w:line="134" w:lineRule="exact"/>
              <w:rPr>
                <w:sz w:val="20"/>
                <w:szCs w:val="20"/>
                <w:color w:val="auto"/>
              </w:rPr>
            </w:pPr>
            <w:r>
              <w:rPr>
                <w:rFonts w:ascii="Arial" w:cs="Arial" w:eastAsia="Arial" w:hAnsi="Arial"/>
                <w:sz w:val="12"/>
                <w:szCs w:val="12"/>
                <w:b w:val="1"/>
                <w:bCs w:val="1"/>
                <w:color w:val="009BDE"/>
              </w:rPr>
              <w:t>Vested</w:t>
            </w:r>
          </w:p>
        </w:tc>
        <w:tc>
          <w:tcPr>
            <w:tcW w:w="1180" w:type="dxa"/>
            <w:vAlign w:val="bottom"/>
            <w:shd w:val="clear" w:color="auto" w:fill="CCEBF8"/>
          </w:tcPr>
          <w:p>
            <w:pPr>
              <w:jc w:val="center"/>
              <w:ind w:right="118"/>
              <w:spacing w:after="0" w:line="134" w:lineRule="exact"/>
              <w:rPr>
                <w:sz w:val="20"/>
                <w:szCs w:val="20"/>
                <w:color w:val="auto"/>
              </w:rPr>
            </w:pPr>
            <w:r>
              <w:rPr>
                <w:rFonts w:ascii="Arial" w:cs="Arial" w:eastAsia="Arial" w:hAnsi="Arial"/>
                <w:sz w:val="12"/>
                <w:szCs w:val="12"/>
                <w:b w:val="1"/>
                <w:bCs w:val="1"/>
                <w:color w:val="009BDE"/>
              </w:rPr>
              <w:t>Vested</w:t>
            </w:r>
          </w:p>
        </w:tc>
        <w:tc>
          <w:tcPr>
            <w:tcW w:w="180" w:type="dxa"/>
            <w:vAlign w:val="bottom"/>
            <w:shd w:val="clear" w:color="auto" w:fill="CCEBF8"/>
          </w:tcPr>
          <w:p>
            <w:pPr>
              <w:spacing w:after="0"/>
              <w:rPr>
                <w:sz w:val="11"/>
                <w:szCs w:val="11"/>
                <w:color w:val="auto"/>
              </w:rPr>
            </w:pPr>
          </w:p>
        </w:tc>
        <w:tc>
          <w:tcPr>
            <w:tcW w:w="880" w:type="dxa"/>
            <w:vAlign w:val="bottom"/>
            <w:shd w:val="clear" w:color="auto" w:fill="CCEBF8"/>
          </w:tcPr>
          <w:p>
            <w:pPr>
              <w:jc w:val="center"/>
              <w:ind w:right="98"/>
              <w:spacing w:after="0" w:line="134" w:lineRule="exact"/>
              <w:rPr>
                <w:sz w:val="20"/>
                <w:szCs w:val="20"/>
                <w:color w:val="auto"/>
              </w:rPr>
            </w:pPr>
            <w:r>
              <w:rPr>
                <w:rFonts w:ascii="Arial" w:cs="Arial" w:eastAsia="Arial" w:hAnsi="Arial"/>
                <w:sz w:val="12"/>
                <w:szCs w:val="12"/>
                <w:b w:val="1"/>
                <w:bCs w:val="1"/>
                <w:color w:val="009BDE"/>
              </w:rPr>
              <w:t>Vested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80" w:type="dxa"/>
            <w:vAlign w:val="bottom"/>
            <w:shd w:val="clear" w:color="auto" w:fill="CCEBF8"/>
          </w:tcPr>
          <w:p>
            <w:pPr>
              <w:spacing w:after="0"/>
              <w:rPr>
                <w:sz w:val="20"/>
                <w:szCs w:val="20"/>
                <w:color w:val="auto"/>
              </w:rPr>
            </w:pPr>
            <w:r>
              <w:rPr>
                <w:rFonts w:ascii="Arial" w:cs="Arial" w:eastAsia="Arial" w:hAnsi="Arial"/>
                <w:sz w:val="12"/>
                <w:szCs w:val="12"/>
                <w:b w:val="1"/>
                <w:bCs w:val="1"/>
                <w:color w:val="009BDE"/>
              </w:rPr>
              <w:t>  Name</w:t>
            </w:r>
          </w:p>
        </w:tc>
        <w:tc>
          <w:tcPr>
            <w:tcW w:w="180" w:type="dxa"/>
            <w:vAlign w:val="bottom"/>
            <w:shd w:val="clear" w:color="auto" w:fill="CCEBF8"/>
          </w:tcPr>
          <w:p>
            <w:pPr>
              <w:spacing w:after="0"/>
              <w:rPr>
                <w:sz w:val="16"/>
                <w:szCs w:val="16"/>
                <w:color w:val="auto"/>
              </w:rPr>
            </w:pPr>
          </w:p>
        </w:tc>
        <w:tc>
          <w:tcPr>
            <w:tcW w:w="1140" w:type="dxa"/>
            <w:vAlign w:val="bottom"/>
            <w:shd w:val="clear" w:color="auto" w:fill="CCEBF8"/>
          </w:tcPr>
          <w:p>
            <w:pPr>
              <w:jc w:val="center"/>
              <w:ind w:right="198"/>
              <w:spacing w:after="0"/>
              <w:rPr>
                <w:sz w:val="20"/>
                <w:szCs w:val="20"/>
                <w:color w:val="auto"/>
              </w:rPr>
            </w:pPr>
            <w:r>
              <w:rPr>
                <w:rFonts w:ascii="Arial" w:cs="Arial" w:eastAsia="Arial" w:hAnsi="Arial"/>
                <w:sz w:val="12"/>
                <w:szCs w:val="12"/>
                <w:b w:val="1"/>
                <w:bCs w:val="1"/>
                <w:color w:val="009BDE"/>
              </w:rPr>
              <w:t>(# Exercisable)</w:t>
            </w:r>
          </w:p>
        </w:tc>
        <w:tc>
          <w:tcPr>
            <w:tcW w:w="1280" w:type="dxa"/>
            <w:vAlign w:val="bottom"/>
            <w:shd w:val="clear" w:color="auto" w:fill="CCEBF8"/>
          </w:tcPr>
          <w:p>
            <w:pPr>
              <w:jc w:val="center"/>
              <w:spacing w:after="0"/>
              <w:rPr>
                <w:sz w:val="20"/>
                <w:szCs w:val="20"/>
                <w:color w:val="auto"/>
              </w:rPr>
            </w:pPr>
            <w:r>
              <w:rPr>
                <w:rFonts w:ascii="Arial" w:cs="Arial" w:eastAsia="Arial" w:hAnsi="Arial"/>
                <w:sz w:val="12"/>
                <w:szCs w:val="12"/>
                <w:b w:val="1"/>
                <w:bCs w:val="1"/>
                <w:color w:val="009BDE"/>
              </w:rPr>
              <w:t>(# Unexercisable)</w:t>
            </w:r>
          </w:p>
        </w:tc>
        <w:tc>
          <w:tcPr>
            <w:tcW w:w="1020" w:type="dxa"/>
            <w:vAlign w:val="bottom"/>
            <w:shd w:val="clear" w:color="auto" w:fill="CCEBF8"/>
          </w:tcPr>
          <w:p>
            <w:pPr>
              <w:jc w:val="center"/>
              <w:spacing w:after="0"/>
              <w:rPr>
                <w:sz w:val="20"/>
                <w:szCs w:val="20"/>
                <w:color w:val="auto"/>
              </w:rPr>
            </w:pPr>
            <w:r>
              <w:rPr>
                <w:rFonts w:ascii="Arial" w:cs="Arial" w:eastAsia="Arial" w:hAnsi="Arial"/>
                <w:sz w:val="12"/>
                <w:szCs w:val="12"/>
                <w:b w:val="1"/>
                <w:bCs w:val="1"/>
                <w:color w:val="009BDE"/>
              </w:rPr>
              <w:t>(#)</w:t>
            </w:r>
          </w:p>
        </w:tc>
        <w:tc>
          <w:tcPr>
            <w:tcW w:w="200" w:type="dxa"/>
            <w:vAlign w:val="bottom"/>
            <w:shd w:val="clear" w:color="auto" w:fill="CCEBF8"/>
          </w:tcPr>
          <w:p>
            <w:pPr>
              <w:spacing w:after="0"/>
              <w:rPr>
                <w:sz w:val="16"/>
                <w:szCs w:val="16"/>
                <w:color w:val="auto"/>
              </w:rPr>
            </w:pPr>
          </w:p>
        </w:tc>
        <w:tc>
          <w:tcPr>
            <w:tcW w:w="540" w:type="dxa"/>
            <w:vAlign w:val="bottom"/>
            <w:shd w:val="clear" w:color="auto" w:fill="CCEBF8"/>
          </w:tcPr>
          <w:p>
            <w:pPr>
              <w:jc w:val="center"/>
              <w:ind w:right="158"/>
              <w:spacing w:after="0"/>
              <w:rPr>
                <w:sz w:val="20"/>
                <w:szCs w:val="20"/>
                <w:color w:val="auto"/>
              </w:rPr>
            </w:pPr>
            <w:r>
              <w:rPr>
                <w:rFonts w:ascii="Arial" w:cs="Arial" w:eastAsia="Arial" w:hAnsi="Arial"/>
                <w:sz w:val="12"/>
                <w:szCs w:val="12"/>
                <w:b w:val="1"/>
                <w:bCs w:val="1"/>
                <w:color w:val="009BDE"/>
              </w:rPr>
              <w:t>($)</w:t>
            </w:r>
          </w:p>
        </w:tc>
        <w:tc>
          <w:tcPr>
            <w:tcW w:w="840" w:type="dxa"/>
            <w:vAlign w:val="bottom"/>
            <w:gridSpan w:val="2"/>
            <w:shd w:val="clear" w:color="auto" w:fill="CCEBF8"/>
          </w:tcPr>
          <w:p>
            <w:pPr>
              <w:jc w:val="center"/>
              <w:spacing w:after="0"/>
              <w:rPr>
                <w:sz w:val="20"/>
                <w:szCs w:val="20"/>
                <w:color w:val="auto"/>
              </w:rPr>
            </w:pPr>
            <w:r>
              <w:rPr>
                <w:rFonts w:ascii="Arial" w:cs="Arial" w:eastAsia="Arial" w:hAnsi="Arial"/>
                <w:sz w:val="12"/>
                <w:szCs w:val="12"/>
                <w:b w:val="1"/>
                <w:bCs w:val="1"/>
                <w:color w:val="009BDE"/>
              </w:rPr>
              <w:t>Date</w:t>
            </w:r>
          </w:p>
        </w:tc>
        <w:tc>
          <w:tcPr>
            <w:tcW w:w="900" w:type="dxa"/>
            <w:vAlign w:val="bottom"/>
            <w:shd w:val="clear" w:color="auto" w:fill="CCEBF8"/>
          </w:tcPr>
          <w:p>
            <w:pPr>
              <w:jc w:val="center"/>
              <w:ind w:right="238"/>
              <w:spacing w:after="0"/>
              <w:rPr>
                <w:sz w:val="20"/>
                <w:szCs w:val="20"/>
                <w:color w:val="auto"/>
              </w:rPr>
            </w:pPr>
            <w:r>
              <w:rPr>
                <w:rFonts w:ascii="Arial" w:cs="Arial" w:eastAsia="Arial" w:hAnsi="Arial"/>
                <w:sz w:val="12"/>
                <w:szCs w:val="12"/>
                <w:b w:val="1"/>
                <w:bCs w:val="1"/>
                <w:color w:val="009BDE"/>
              </w:rPr>
              <w:t>(#)</w:t>
            </w:r>
          </w:p>
        </w:tc>
        <w:tc>
          <w:tcPr>
            <w:tcW w:w="180" w:type="dxa"/>
            <w:vAlign w:val="bottom"/>
            <w:shd w:val="clear" w:color="auto" w:fill="CCEBF8"/>
          </w:tcPr>
          <w:p>
            <w:pPr>
              <w:spacing w:after="0"/>
              <w:rPr>
                <w:sz w:val="16"/>
                <w:szCs w:val="16"/>
                <w:color w:val="auto"/>
              </w:rPr>
            </w:pPr>
          </w:p>
        </w:tc>
        <w:tc>
          <w:tcPr>
            <w:tcW w:w="700" w:type="dxa"/>
            <w:vAlign w:val="bottom"/>
            <w:shd w:val="clear" w:color="auto" w:fill="CCEBF8"/>
          </w:tcPr>
          <w:p>
            <w:pPr>
              <w:jc w:val="center"/>
              <w:ind w:right="138"/>
              <w:spacing w:after="0"/>
              <w:rPr>
                <w:sz w:val="20"/>
                <w:szCs w:val="20"/>
                <w:color w:val="auto"/>
              </w:rPr>
            </w:pPr>
            <w:r>
              <w:rPr>
                <w:rFonts w:ascii="Arial" w:cs="Arial" w:eastAsia="Arial" w:hAnsi="Arial"/>
                <w:sz w:val="12"/>
                <w:szCs w:val="12"/>
                <w:b w:val="1"/>
                <w:bCs w:val="1"/>
                <w:color w:val="009BDE"/>
                <w:w w:val="95"/>
              </w:rPr>
              <w:t>($)</w:t>
            </w:r>
          </w:p>
        </w:tc>
        <w:tc>
          <w:tcPr>
            <w:tcW w:w="1180" w:type="dxa"/>
            <w:vAlign w:val="bottom"/>
            <w:shd w:val="clear" w:color="auto" w:fill="CCEBF8"/>
          </w:tcPr>
          <w:p>
            <w:pPr>
              <w:jc w:val="center"/>
              <w:ind w:right="98"/>
              <w:spacing w:after="0"/>
              <w:rPr>
                <w:sz w:val="20"/>
                <w:szCs w:val="20"/>
                <w:color w:val="auto"/>
              </w:rPr>
            </w:pPr>
            <w:r>
              <w:rPr>
                <w:rFonts w:ascii="Arial" w:cs="Arial" w:eastAsia="Arial" w:hAnsi="Arial"/>
                <w:sz w:val="12"/>
                <w:szCs w:val="12"/>
                <w:b w:val="1"/>
                <w:bCs w:val="1"/>
                <w:color w:val="009BDE"/>
                <w:w w:val="95"/>
              </w:rPr>
              <w:t>(#)</w:t>
            </w:r>
          </w:p>
        </w:tc>
        <w:tc>
          <w:tcPr>
            <w:tcW w:w="180" w:type="dxa"/>
            <w:vAlign w:val="bottom"/>
            <w:shd w:val="clear" w:color="auto" w:fill="CCEBF8"/>
          </w:tcPr>
          <w:p>
            <w:pPr>
              <w:spacing w:after="0"/>
              <w:rPr>
                <w:sz w:val="16"/>
                <w:szCs w:val="16"/>
                <w:color w:val="auto"/>
              </w:rPr>
            </w:pPr>
          </w:p>
        </w:tc>
        <w:tc>
          <w:tcPr>
            <w:tcW w:w="880" w:type="dxa"/>
            <w:vAlign w:val="bottom"/>
            <w:shd w:val="clear" w:color="auto" w:fill="CCEBF8"/>
          </w:tcPr>
          <w:p>
            <w:pPr>
              <w:jc w:val="center"/>
              <w:ind w:right="98"/>
              <w:spacing w:after="0"/>
              <w:rPr>
                <w:sz w:val="20"/>
                <w:szCs w:val="20"/>
                <w:color w:val="auto"/>
              </w:rPr>
            </w:pPr>
            <w:r>
              <w:rPr>
                <w:rFonts w:ascii="Arial" w:cs="Arial" w:eastAsia="Arial" w:hAnsi="Arial"/>
                <w:sz w:val="12"/>
                <w:szCs w:val="12"/>
                <w:b w:val="1"/>
                <w:bCs w:val="1"/>
                <w:color w:val="009BDE"/>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80" w:type="dxa"/>
            <w:vAlign w:val="bottom"/>
            <w:tcBorders>
              <w:bottom w:val="single" w:sz="8" w:color="009BDE"/>
            </w:tcBorders>
            <w:shd w:val="clear" w:color="auto" w:fill="CCEBF8"/>
          </w:tcPr>
          <w:p>
            <w:pPr>
              <w:spacing w:after="0"/>
              <w:rPr>
                <w:sz w:val="9"/>
                <w:szCs w:val="9"/>
                <w:color w:val="auto"/>
              </w:rPr>
            </w:pPr>
          </w:p>
        </w:tc>
        <w:tc>
          <w:tcPr>
            <w:tcW w:w="180" w:type="dxa"/>
            <w:vAlign w:val="bottom"/>
            <w:tcBorders>
              <w:bottom w:val="single" w:sz="8" w:color="009BDE"/>
            </w:tcBorders>
            <w:shd w:val="clear" w:color="auto" w:fill="CCEBF8"/>
          </w:tcPr>
          <w:p>
            <w:pPr>
              <w:spacing w:after="0"/>
              <w:rPr>
                <w:sz w:val="9"/>
                <w:szCs w:val="9"/>
                <w:color w:val="auto"/>
              </w:rPr>
            </w:pPr>
          </w:p>
        </w:tc>
        <w:tc>
          <w:tcPr>
            <w:tcW w:w="1140" w:type="dxa"/>
            <w:vAlign w:val="bottom"/>
            <w:tcBorders>
              <w:bottom w:val="single" w:sz="8" w:color="009BDE"/>
            </w:tcBorders>
            <w:shd w:val="clear" w:color="auto" w:fill="CCEBF8"/>
          </w:tcPr>
          <w:p>
            <w:pPr>
              <w:spacing w:after="0"/>
              <w:rPr>
                <w:sz w:val="9"/>
                <w:szCs w:val="9"/>
                <w:color w:val="auto"/>
              </w:rPr>
            </w:pPr>
          </w:p>
        </w:tc>
        <w:tc>
          <w:tcPr>
            <w:tcW w:w="1280" w:type="dxa"/>
            <w:vAlign w:val="bottom"/>
            <w:tcBorders>
              <w:bottom w:val="single" w:sz="8" w:color="009BDE"/>
            </w:tcBorders>
            <w:shd w:val="clear" w:color="auto" w:fill="CCEBF8"/>
          </w:tcPr>
          <w:p>
            <w:pPr>
              <w:spacing w:after="0"/>
              <w:rPr>
                <w:sz w:val="9"/>
                <w:szCs w:val="9"/>
                <w:color w:val="auto"/>
              </w:rPr>
            </w:pPr>
          </w:p>
        </w:tc>
        <w:tc>
          <w:tcPr>
            <w:tcW w:w="1020" w:type="dxa"/>
            <w:vAlign w:val="bottom"/>
            <w:tcBorders>
              <w:bottom w:val="single" w:sz="8" w:color="009BDE"/>
            </w:tcBorders>
            <w:shd w:val="clear" w:color="auto" w:fill="CCEBF8"/>
          </w:tcPr>
          <w:p>
            <w:pPr>
              <w:spacing w:after="0"/>
              <w:rPr>
                <w:sz w:val="9"/>
                <w:szCs w:val="9"/>
                <w:color w:val="auto"/>
              </w:rPr>
            </w:pPr>
          </w:p>
        </w:tc>
        <w:tc>
          <w:tcPr>
            <w:tcW w:w="200" w:type="dxa"/>
            <w:vAlign w:val="bottom"/>
            <w:tcBorders>
              <w:bottom w:val="single" w:sz="8" w:color="009BDE"/>
            </w:tcBorders>
            <w:shd w:val="clear" w:color="auto" w:fill="CCEBF8"/>
          </w:tcPr>
          <w:p>
            <w:pPr>
              <w:spacing w:after="0"/>
              <w:rPr>
                <w:sz w:val="9"/>
                <w:szCs w:val="9"/>
                <w:color w:val="auto"/>
              </w:rPr>
            </w:pPr>
          </w:p>
        </w:tc>
        <w:tc>
          <w:tcPr>
            <w:tcW w:w="540" w:type="dxa"/>
            <w:vAlign w:val="bottom"/>
            <w:tcBorders>
              <w:bottom w:val="single" w:sz="8" w:color="009BDE"/>
            </w:tcBorders>
            <w:shd w:val="clear" w:color="auto" w:fill="CCEBF8"/>
          </w:tcPr>
          <w:p>
            <w:pPr>
              <w:spacing w:after="0"/>
              <w:rPr>
                <w:sz w:val="9"/>
                <w:szCs w:val="9"/>
                <w:color w:val="auto"/>
              </w:rPr>
            </w:pPr>
          </w:p>
        </w:tc>
        <w:tc>
          <w:tcPr>
            <w:tcW w:w="760" w:type="dxa"/>
            <w:vAlign w:val="bottom"/>
            <w:tcBorders>
              <w:bottom w:val="single" w:sz="8" w:color="009BDE"/>
            </w:tcBorders>
            <w:shd w:val="clear" w:color="auto" w:fill="CCEBF8"/>
          </w:tcPr>
          <w:p>
            <w:pPr>
              <w:spacing w:after="0"/>
              <w:rPr>
                <w:sz w:val="9"/>
                <w:szCs w:val="9"/>
                <w:color w:val="auto"/>
              </w:rPr>
            </w:pPr>
          </w:p>
        </w:tc>
        <w:tc>
          <w:tcPr>
            <w:tcW w:w="80" w:type="dxa"/>
            <w:vAlign w:val="bottom"/>
            <w:tcBorders>
              <w:bottom w:val="single" w:sz="8" w:color="009BDE"/>
            </w:tcBorders>
            <w:shd w:val="clear" w:color="auto" w:fill="CCEBF8"/>
          </w:tcPr>
          <w:p>
            <w:pPr>
              <w:spacing w:after="0"/>
              <w:rPr>
                <w:sz w:val="9"/>
                <w:szCs w:val="9"/>
                <w:color w:val="auto"/>
              </w:rPr>
            </w:pPr>
          </w:p>
        </w:tc>
        <w:tc>
          <w:tcPr>
            <w:tcW w:w="900" w:type="dxa"/>
            <w:vAlign w:val="bottom"/>
            <w:tcBorders>
              <w:bottom w:val="single" w:sz="8" w:color="009BDE"/>
            </w:tcBorders>
            <w:shd w:val="clear" w:color="auto" w:fill="CCEBF8"/>
          </w:tcPr>
          <w:p>
            <w:pPr>
              <w:spacing w:after="0"/>
              <w:rPr>
                <w:sz w:val="9"/>
                <w:szCs w:val="9"/>
                <w:color w:val="auto"/>
              </w:rPr>
            </w:pPr>
          </w:p>
        </w:tc>
        <w:tc>
          <w:tcPr>
            <w:tcW w:w="180" w:type="dxa"/>
            <w:vAlign w:val="bottom"/>
            <w:tcBorders>
              <w:bottom w:val="single" w:sz="8" w:color="009BDE"/>
            </w:tcBorders>
            <w:shd w:val="clear" w:color="auto" w:fill="CCEBF8"/>
          </w:tcPr>
          <w:p>
            <w:pPr>
              <w:spacing w:after="0"/>
              <w:rPr>
                <w:sz w:val="9"/>
                <w:szCs w:val="9"/>
                <w:color w:val="auto"/>
              </w:rPr>
            </w:pPr>
          </w:p>
        </w:tc>
        <w:tc>
          <w:tcPr>
            <w:tcW w:w="700" w:type="dxa"/>
            <w:vAlign w:val="bottom"/>
            <w:tcBorders>
              <w:bottom w:val="single" w:sz="8" w:color="009BDE"/>
            </w:tcBorders>
            <w:shd w:val="clear" w:color="auto" w:fill="CCEBF8"/>
          </w:tcPr>
          <w:p>
            <w:pPr>
              <w:spacing w:after="0"/>
              <w:rPr>
                <w:sz w:val="9"/>
                <w:szCs w:val="9"/>
                <w:color w:val="auto"/>
              </w:rPr>
            </w:pPr>
          </w:p>
        </w:tc>
        <w:tc>
          <w:tcPr>
            <w:tcW w:w="1180" w:type="dxa"/>
            <w:vAlign w:val="bottom"/>
            <w:tcBorders>
              <w:bottom w:val="single" w:sz="8" w:color="009BDE"/>
            </w:tcBorders>
            <w:shd w:val="clear" w:color="auto" w:fill="CCEBF8"/>
          </w:tcPr>
          <w:p>
            <w:pPr>
              <w:spacing w:after="0"/>
              <w:rPr>
                <w:sz w:val="9"/>
                <w:szCs w:val="9"/>
                <w:color w:val="auto"/>
              </w:rPr>
            </w:pPr>
          </w:p>
        </w:tc>
        <w:tc>
          <w:tcPr>
            <w:tcW w:w="180" w:type="dxa"/>
            <w:vAlign w:val="bottom"/>
            <w:tcBorders>
              <w:bottom w:val="single" w:sz="8" w:color="009BDE"/>
            </w:tcBorders>
            <w:shd w:val="clear" w:color="auto" w:fill="CCEBF8"/>
          </w:tcPr>
          <w:p>
            <w:pPr>
              <w:spacing w:after="0"/>
              <w:rPr>
                <w:sz w:val="9"/>
                <w:szCs w:val="9"/>
                <w:color w:val="auto"/>
              </w:rPr>
            </w:pPr>
          </w:p>
        </w:tc>
        <w:tc>
          <w:tcPr>
            <w:tcW w:w="880" w:type="dxa"/>
            <w:vAlign w:val="bottom"/>
            <w:tcBorders>
              <w:bottom w:val="single" w:sz="8" w:color="009BDE"/>
            </w:tcBorders>
            <w:shd w:val="clear" w:color="auto" w:fill="CCEBF8"/>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80" w:type="dxa"/>
            <w:vAlign w:val="bottom"/>
          </w:tcPr>
          <w:p>
            <w:pPr>
              <w:ind w:left="60"/>
              <w:spacing w:after="0"/>
              <w:rPr>
                <w:sz w:val="20"/>
                <w:szCs w:val="20"/>
                <w:color w:val="auto"/>
              </w:rPr>
            </w:pPr>
            <w:r>
              <w:rPr>
                <w:rFonts w:ascii="Arial" w:cs="Arial" w:eastAsia="Arial" w:hAnsi="Arial"/>
                <w:sz w:val="12"/>
                <w:szCs w:val="12"/>
                <w:b w:val="1"/>
                <w:bCs w:val="1"/>
                <w:color w:val="auto"/>
              </w:rPr>
              <w:t>Chris Cocks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vMerge w:val="restart"/>
          </w:tcPr>
          <w:p>
            <w:pPr>
              <w:jc w:val="right"/>
              <w:ind w:right="78"/>
              <w:spacing w:after="0"/>
              <w:rPr>
                <w:sz w:val="20"/>
                <w:szCs w:val="20"/>
                <w:color w:val="auto"/>
              </w:rPr>
            </w:pPr>
            <w:r>
              <w:rPr>
                <w:rFonts w:ascii="Arial" w:cs="Arial" w:eastAsia="Arial" w:hAnsi="Arial"/>
                <w:sz w:val="12"/>
                <w:szCs w:val="12"/>
                <w:color w:val="auto"/>
              </w:rPr>
              <w:t>97,786(c)</w:t>
            </w:r>
          </w:p>
        </w:tc>
        <w:tc>
          <w:tcPr>
            <w:tcW w:w="180" w:type="dxa"/>
            <w:vAlign w:val="bottom"/>
            <w:vMerge w:val="restart"/>
          </w:tcPr>
          <w:p>
            <w:pPr>
              <w:ind w:left="120"/>
              <w:spacing w:after="0"/>
              <w:rPr>
                <w:sz w:val="20"/>
                <w:szCs w:val="20"/>
                <w:color w:val="auto"/>
              </w:rPr>
            </w:pPr>
            <w:r>
              <w:rPr>
                <w:rFonts w:ascii="Arial" w:cs="Arial" w:eastAsia="Arial" w:hAnsi="Arial"/>
                <w:sz w:val="10"/>
                <w:szCs w:val="10"/>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8,073,212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109,198(e)</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9,015,387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right"/>
              <w:ind w:right="98"/>
              <w:spacing w:after="0"/>
              <w:rPr>
                <w:sz w:val="20"/>
                <w:szCs w:val="20"/>
                <w:color w:val="auto"/>
              </w:rPr>
            </w:pPr>
            <w:r>
              <w:rPr>
                <w:rFonts w:ascii="Arial" w:cs="Arial" w:eastAsia="Arial" w:hAnsi="Arial"/>
                <w:sz w:val="12"/>
                <w:szCs w:val="12"/>
                <w:color w:val="auto"/>
              </w:rPr>
              <w:t>17,709(h)</w:t>
            </w:r>
          </w:p>
        </w:tc>
        <w:tc>
          <w:tcPr>
            <w:tcW w:w="180" w:type="dxa"/>
            <w:vAlign w:val="bottom"/>
            <w:vMerge w:val="restart"/>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ind w:right="58"/>
              <w:spacing w:after="0"/>
              <w:rPr>
                <w:sz w:val="20"/>
                <w:szCs w:val="20"/>
                <w:color w:val="auto"/>
              </w:rPr>
            </w:pPr>
            <w:r>
              <w:rPr>
                <w:rFonts w:ascii="Arial" w:cs="Arial" w:eastAsia="Arial" w:hAnsi="Arial"/>
                <w:sz w:val="12"/>
                <w:szCs w:val="12"/>
                <w:color w:val="auto"/>
              </w:rPr>
              <w:t>1,462,055</w:t>
            </w:r>
          </w:p>
        </w:tc>
        <w:tc>
          <w:tcPr>
            <w:tcW w:w="1180" w:type="dxa"/>
            <w:vAlign w:val="bottom"/>
          </w:tcPr>
          <w:p>
            <w:pPr>
              <w:jc w:val="right"/>
              <w:ind w:right="58"/>
              <w:spacing w:after="0"/>
              <w:rPr>
                <w:sz w:val="20"/>
                <w:szCs w:val="20"/>
                <w:color w:val="auto"/>
              </w:rPr>
            </w:pPr>
            <w:r>
              <w:rPr>
                <w:rFonts w:ascii="Arial" w:cs="Arial" w:eastAsia="Arial" w:hAnsi="Arial"/>
                <w:sz w:val="12"/>
                <w:szCs w:val="12"/>
                <w:color w:val="auto"/>
              </w:rPr>
              <w:t>90,512(g)</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7,472,671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72,785(j)</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6,009,130</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gridSpan w:val="2"/>
            <w:vMerge w:val="restart"/>
          </w:tcPr>
          <w:p>
            <w:pPr>
              <w:jc w:val="right"/>
              <w:ind w:right="198"/>
              <w:spacing w:after="0"/>
              <w:rPr>
                <w:sz w:val="20"/>
                <w:szCs w:val="20"/>
                <w:color w:val="auto"/>
              </w:rPr>
            </w:pPr>
            <w:r>
              <w:rPr>
                <w:rFonts w:ascii="Arial" w:cs="Arial" w:eastAsia="Arial" w:hAnsi="Arial"/>
                <w:sz w:val="12"/>
                <w:szCs w:val="12"/>
                <w:color w:val="auto"/>
              </w:rPr>
              <w:t>10,279</w:t>
            </w:r>
          </w:p>
        </w:tc>
        <w:tc>
          <w:tcPr>
            <w:tcW w:w="1280" w:type="dxa"/>
            <w:vAlign w:val="bottom"/>
            <w:vMerge w:val="restart"/>
          </w:tcPr>
          <w:p>
            <w:pPr>
              <w:jc w:val="right"/>
              <w:ind w:right="58"/>
              <w:spacing w:after="0"/>
              <w:rPr>
                <w:sz w:val="20"/>
                <w:szCs w:val="20"/>
                <w:color w:val="auto"/>
              </w:rPr>
            </w:pPr>
            <w:r>
              <w:rPr>
                <w:rFonts w:ascii="Arial" w:cs="Arial" w:eastAsia="Arial" w:hAnsi="Arial"/>
                <w:sz w:val="12"/>
                <w:szCs w:val="12"/>
                <w:color w:val="auto"/>
              </w:rPr>
              <w:t>0</w:t>
            </w:r>
          </w:p>
        </w:tc>
        <w:tc>
          <w:tcPr>
            <w:tcW w:w="1020" w:type="dxa"/>
            <w:vAlign w:val="bottom"/>
            <w:vMerge w:val="restart"/>
          </w:tcPr>
          <w:p>
            <w:pPr>
              <w:jc w:val="right"/>
              <w:ind w:right="58"/>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100"/>
              <w:spacing w:after="0"/>
              <w:rPr>
                <w:sz w:val="20"/>
                <w:szCs w:val="20"/>
                <w:color w:val="auto"/>
              </w:rPr>
            </w:pPr>
            <w:r>
              <w:rPr>
                <w:rFonts w:ascii="Arial" w:cs="Arial" w:eastAsia="Arial" w:hAnsi="Arial"/>
                <w:sz w:val="12"/>
                <w:szCs w:val="12"/>
                <w:color w:val="auto"/>
              </w:rPr>
              <w:t>$</w:t>
            </w:r>
          </w:p>
        </w:tc>
        <w:tc>
          <w:tcPr>
            <w:tcW w:w="540" w:type="dxa"/>
            <w:vAlign w:val="bottom"/>
            <w:vMerge w:val="restart"/>
          </w:tcPr>
          <w:p>
            <w:pPr>
              <w:jc w:val="right"/>
              <w:ind w:right="58"/>
              <w:spacing w:after="0"/>
              <w:rPr>
                <w:sz w:val="20"/>
                <w:szCs w:val="20"/>
                <w:color w:val="auto"/>
              </w:rPr>
            </w:pPr>
            <w:r>
              <w:rPr>
                <w:rFonts w:ascii="Arial" w:cs="Arial" w:eastAsia="Arial" w:hAnsi="Arial"/>
                <w:sz w:val="12"/>
                <w:szCs w:val="12"/>
                <w:color w:val="auto"/>
              </w:rPr>
              <w:t>86.66</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2/18/2026</w:t>
            </w:r>
          </w:p>
        </w:tc>
        <w:tc>
          <w:tcPr>
            <w:tcW w:w="80" w:type="dxa"/>
            <w:vAlign w:val="bottom"/>
          </w:tcPr>
          <w:p>
            <w:pPr>
              <w:spacing w:after="0"/>
              <w:rPr>
                <w:sz w:val="14"/>
                <w:szCs w:val="14"/>
                <w:color w:val="auto"/>
              </w:rPr>
            </w:pPr>
          </w:p>
        </w:tc>
        <w:tc>
          <w:tcPr>
            <w:tcW w:w="900" w:type="dxa"/>
            <w:vAlign w:val="bottom"/>
          </w:tcPr>
          <w:p>
            <w:pPr>
              <w:jc w:val="right"/>
              <w:ind w:right="58"/>
              <w:spacing w:after="0"/>
              <w:rPr>
                <w:sz w:val="20"/>
                <w:szCs w:val="20"/>
                <w:color w:val="auto"/>
              </w:rPr>
            </w:pPr>
            <w:r>
              <w:rPr>
                <w:rFonts w:ascii="Arial" w:cs="Arial" w:eastAsia="Arial" w:hAnsi="Arial"/>
                <w:sz w:val="12"/>
                <w:szCs w:val="12"/>
                <w:color w:val="auto"/>
              </w:rPr>
              <w:t>90,512(m)</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8"/>
              <w:spacing w:after="0"/>
              <w:rPr>
                <w:sz w:val="20"/>
                <w:szCs w:val="20"/>
                <w:color w:val="auto"/>
              </w:rPr>
            </w:pPr>
            <w:r>
              <w:rPr>
                <w:rFonts w:ascii="Arial" w:cs="Arial" w:eastAsia="Arial" w:hAnsi="Arial"/>
                <w:sz w:val="12"/>
                <w:szCs w:val="12"/>
                <w:color w:val="auto"/>
              </w:rPr>
              <w:t>7,472,671</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20" w:type="dxa"/>
            <w:vAlign w:val="bottom"/>
            <w:gridSpan w:val="2"/>
          </w:tcPr>
          <w:p>
            <w:pPr>
              <w:jc w:val="right"/>
              <w:ind w:right="198"/>
              <w:spacing w:after="0" w:line="134" w:lineRule="exact"/>
              <w:rPr>
                <w:sz w:val="20"/>
                <w:szCs w:val="20"/>
                <w:color w:val="auto"/>
              </w:rPr>
            </w:pPr>
            <w:r>
              <w:rPr>
                <w:rFonts w:ascii="Arial" w:cs="Arial" w:eastAsia="Arial" w:hAnsi="Arial"/>
                <w:sz w:val="12"/>
                <w:szCs w:val="12"/>
                <w:color w:val="auto"/>
              </w:rPr>
              <w:t>12,915</w:t>
            </w:r>
          </w:p>
        </w:tc>
        <w:tc>
          <w:tcPr>
            <w:tcW w:w="12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0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200" w:type="dxa"/>
            <w:vAlign w:val="bottom"/>
          </w:tcPr>
          <w:p>
            <w:pPr>
              <w:ind w:left="100"/>
              <w:spacing w:after="0" w:line="134"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96.79</w:t>
            </w: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2/17/2027</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20" w:type="dxa"/>
            <w:vAlign w:val="bottom"/>
            <w:gridSpan w:val="2"/>
          </w:tcPr>
          <w:p>
            <w:pPr>
              <w:jc w:val="right"/>
              <w:ind w:right="198"/>
              <w:spacing w:after="0" w:line="134" w:lineRule="exact"/>
              <w:rPr>
                <w:sz w:val="20"/>
                <w:szCs w:val="20"/>
                <w:color w:val="auto"/>
              </w:rPr>
            </w:pPr>
            <w:r>
              <w:rPr>
                <w:rFonts w:ascii="Arial" w:cs="Arial" w:eastAsia="Arial" w:hAnsi="Arial"/>
                <w:sz w:val="12"/>
                <w:szCs w:val="12"/>
                <w:color w:val="auto"/>
              </w:rPr>
              <w:t>13,862</w:t>
            </w:r>
          </w:p>
        </w:tc>
        <w:tc>
          <w:tcPr>
            <w:tcW w:w="12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0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200" w:type="dxa"/>
            <w:vAlign w:val="bottom"/>
          </w:tcPr>
          <w:p>
            <w:pPr>
              <w:ind w:left="100"/>
              <w:spacing w:after="0" w:line="134"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90.18</w:t>
            </w: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2/17/2028</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20" w:type="dxa"/>
            <w:vAlign w:val="bottom"/>
            <w:gridSpan w:val="2"/>
          </w:tcPr>
          <w:p>
            <w:pPr>
              <w:jc w:val="right"/>
              <w:ind w:right="198"/>
              <w:spacing w:after="0" w:line="134" w:lineRule="exact"/>
              <w:rPr>
                <w:sz w:val="20"/>
                <w:szCs w:val="20"/>
                <w:color w:val="auto"/>
              </w:rPr>
            </w:pPr>
            <w:r>
              <w:rPr>
                <w:rFonts w:ascii="Arial" w:cs="Arial" w:eastAsia="Arial" w:hAnsi="Arial"/>
                <w:sz w:val="12"/>
                <w:szCs w:val="12"/>
                <w:color w:val="auto"/>
              </w:rPr>
              <w:t>6,931</w:t>
            </w:r>
          </w:p>
        </w:tc>
        <w:tc>
          <w:tcPr>
            <w:tcW w:w="12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0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200" w:type="dxa"/>
            <w:vAlign w:val="bottom"/>
          </w:tcPr>
          <w:p>
            <w:pPr>
              <w:ind w:left="100"/>
              <w:spacing w:after="0" w:line="134"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96.73</w:t>
            </w: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3/23/2028</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20" w:type="dxa"/>
            <w:vAlign w:val="bottom"/>
            <w:gridSpan w:val="2"/>
          </w:tcPr>
          <w:p>
            <w:pPr>
              <w:jc w:val="right"/>
              <w:ind w:right="198"/>
              <w:spacing w:after="0" w:line="134" w:lineRule="exact"/>
              <w:rPr>
                <w:sz w:val="20"/>
                <w:szCs w:val="20"/>
                <w:color w:val="auto"/>
              </w:rPr>
            </w:pPr>
            <w:r>
              <w:rPr>
                <w:rFonts w:ascii="Arial" w:cs="Arial" w:eastAsia="Arial" w:hAnsi="Arial"/>
                <w:sz w:val="12"/>
                <w:szCs w:val="12"/>
                <w:color w:val="auto"/>
              </w:rPr>
              <w:t>98,789</w:t>
            </w:r>
          </w:p>
        </w:tc>
        <w:tc>
          <w:tcPr>
            <w:tcW w:w="12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0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200" w:type="dxa"/>
            <w:vAlign w:val="bottom"/>
          </w:tcPr>
          <w:p>
            <w:pPr>
              <w:ind w:left="100"/>
              <w:spacing w:after="0" w:line="134"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94.89</w:t>
            </w: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2/25/2029</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38"/>
              <w:spacing w:after="0"/>
              <w:rPr>
                <w:sz w:val="20"/>
                <w:szCs w:val="20"/>
                <w:color w:val="auto"/>
              </w:rPr>
            </w:pPr>
            <w:r>
              <w:rPr>
                <w:rFonts w:ascii="Arial" w:cs="Arial" w:eastAsia="Arial" w:hAnsi="Arial"/>
                <w:sz w:val="12"/>
                <w:szCs w:val="12"/>
                <w:color w:val="auto"/>
              </w:rPr>
              <w:t>156,819(a)</w:t>
            </w:r>
          </w:p>
        </w:tc>
        <w:tc>
          <w:tcPr>
            <w:tcW w:w="1280" w:type="dxa"/>
            <w:vAlign w:val="bottom"/>
          </w:tcPr>
          <w:p>
            <w:pPr>
              <w:jc w:val="right"/>
              <w:ind w:right="58"/>
              <w:spacing w:after="0"/>
              <w:rPr>
                <w:sz w:val="20"/>
                <w:szCs w:val="20"/>
                <w:color w:val="auto"/>
              </w:rPr>
            </w:pPr>
            <w:r>
              <w:rPr>
                <w:rFonts w:ascii="Arial" w:cs="Arial" w:eastAsia="Arial" w:hAnsi="Arial"/>
                <w:sz w:val="12"/>
                <w:szCs w:val="12"/>
                <w:color w:val="auto"/>
              </w:rPr>
              <w:t>78,397</w:t>
            </w: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200" w:type="dxa"/>
            <w:vAlign w:val="bottom"/>
          </w:tcPr>
          <w:p>
            <w:pPr>
              <w:ind w:left="10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58"/>
              <w:spacing w:after="0"/>
              <w:rPr>
                <w:sz w:val="20"/>
                <w:szCs w:val="20"/>
                <w:color w:val="auto"/>
              </w:rPr>
            </w:pPr>
            <w:r>
              <w:rPr>
                <w:rFonts w:ascii="Arial" w:cs="Arial" w:eastAsia="Arial" w:hAnsi="Arial"/>
                <w:sz w:val="12"/>
                <w:szCs w:val="12"/>
                <w:color w:val="auto"/>
              </w:rPr>
              <w:t>55.78</w:t>
            </w:r>
          </w:p>
        </w:tc>
        <w:tc>
          <w:tcPr>
            <w:tcW w:w="760" w:type="dxa"/>
            <w:vAlign w:val="bottom"/>
          </w:tcPr>
          <w:p>
            <w:pPr>
              <w:jc w:val="right"/>
              <w:spacing w:after="0"/>
              <w:rPr>
                <w:sz w:val="20"/>
                <w:szCs w:val="20"/>
                <w:color w:val="auto"/>
              </w:rPr>
            </w:pPr>
            <w:r>
              <w:rPr>
                <w:rFonts w:ascii="Arial" w:cs="Arial" w:eastAsia="Arial" w:hAnsi="Arial"/>
                <w:sz w:val="12"/>
                <w:szCs w:val="12"/>
                <w:color w:val="auto"/>
              </w:rPr>
              <w:t>2/24/2030</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6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54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8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0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80" w:type="dxa"/>
            <w:vAlign w:val="bottom"/>
          </w:tcPr>
          <w:p>
            <w:pPr>
              <w:ind w:left="60"/>
              <w:spacing w:after="0"/>
              <w:rPr>
                <w:sz w:val="20"/>
                <w:szCs w:val="20"/>
                <w:color w:val="auto"/>
              </w:rPr>
            </w:pPr>
            <w:r>
              <w:rPr>
                <w:rFonts w:ascii="Arial" w:cs="Arial" w:eastAsia="Arial" w:hAnsi="Arial"/>
                <w:sz w:val="12"/>
                <w:szCs w:val="12"/>
                <w:b w:val="1"/>
                <w:bCs w:val="1"/>
                <w:color w:val="auto"/>
              </w:rPr>
              <w:t>Gina Goetter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vMerge w:val="restart"/>
          </w:tcPr>
          <w:p>
            <w:pPr>
              <w:jc w:val="right"/>
              <w:ind w:right="58"/>
              <w:spacing w:after="0"/>
              <w:rPr>
                <w:sz w:val="20"/>
                <w:szCs w:val="20"/>
                <w:color w:val="auto"/>
              </w:rPr>
            </w:pPr>
            <w:r>
              <w:rPr>
                <w:rFonts w:ascii="Arial" w:cs="Arial" w:eastAsia="Arial" w:hAnsi="Arial"/>
                <w:sz w:val="12"/>
                <w:szCs w:val="12"/>
                <w:color w:val="auto"/>
              </w:rPr>
              <w:t>31,198(e)</w:t>
            </w:r>
          </w:p>
        </w:tc>
        <w:tc>
          <w:tcPr>
            <w:tcW w:w="180" w:type="dxa"/>
            <w:vAlign w:val="bottom"/>
            <w:vMerge w:val="restart"/>
          </w:tcPr>
          <w:p>
            <w:pPr>
              <w:ind w:left="120"/>
              <w:spacing w:after="0"/>
              <w:rPr>
                <w:sz w:val="20"/>
                <w:szCs w:val="20"/>
                <w:color w:val="auto"/>
              </w:rPr>
            </w:pPr>
            <w:r>
              <w:rPr>
                <w:rFonts w:ascii="Arial" w:cs="Arial" w:eastAsia="Arial" w:hAnsi="Arial"/>
                <w:sz w:val="10"/>
                <w:szCs w:val="10"/>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2,575,707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15,600(f)</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1,287,936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right"/>
              <w:ind w:right="138"/>
              <w:spacing w:after="0"/>
              <w:rPr>
                <w:sz w:val="20"/>
                <w:szCs w:val="20"/>
                <w:color w:val="auto"/>
              </w:rPr>
            </w:pPr>
            <w:r>
              <w:rPr>
                <w:rFonts w:ascii="Arial" w:cs="Arial" w:eastAsia="Arial" w:hAnsi="Arial"/>
                <w:sz w:val="12"/>
                <w:szCs w:val="12"/>
                <w:color w:val="auto"/>
              </w:rPr>
              <w:t>24,120(i)</w:t>
            </w:r>
          </w:p>
        </w:tc>
        <w:tc>
          <w:tcPr>
            <w:tcW w:w="180" w:type="dxa"/>
            <w:vAlign w:val="bottom"/>
            <w:vMerge w:val="restart"/>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ind w:right="58"/>
              <w:spacing w:after="0"/>
              <w:rPr>
                <w:sz w:val="20"/>
                <w:szCs w:val="20"/>
                <w:color w:val="auto"/>
              </w:rPr>
            </w:pPr>
            <w:r>
              <w:rPr>
                <w:rFonts w:ascii="Arial" w:cs="Arial" w:eastAsia="Arial" w:hAnsi="Arial"/>
                <w:sz w:val="12"/>
                <w:szCs w:val="12"/>
                <w:color w:val="auto"/>
              </w:rPr>
              <w:t>1,991,347</w:t>
            </w:r>
          </w:p>
        </w:tc>
        <w:tc>
          <w:tcPr>
            <w:tcW w:w="1180" w:type="dxa"/>
            <w:vAlign w:val="bottom"/>
          </w:tcPr>
          <w:p>
            <w:pPr>
              <w:jc w:val="right"/>
              <w:ind w:right="58"/>
              <w:spacing w:after="0"/>
              <w:rPr>
                <w:sz w:val="20"/>
                <w:szCs w:val="20"/>
                <w:color w:val="auto"/>
              </w:rPr>
            </w:pPr>
            <w:r>
              <w:rPr>
                <w:rFonts w:ascii="Arial" w:cs="Arial" w:eastAsia="Arial" w:hAnsi="Arial"/>
                <w:sz w:val="12"/>
                <w:szCs w:val="12"/>
                <w:color w:val="auto"/>
              </w:rPr>
              <w:t>25,860(g)</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2,135,002</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20,793(j)</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1,716,670</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10,391(k)</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857,881</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58"/>
              <w:spacing w:after="0"/>
              <w:rPr>
                <w:sz w:val="20"/>
                <w:szCs w:val="20"/>
                <w:color w:val="auto"/>
              </w:rPr>
            </w:pPr>
            <w:r>
              <w:rPr>
                <w:rFonts w:ascii="Arial" w:cs="Arial" w:eastAsia="Arial" w:hAnsi="Arial"/>
                <w:sz w:val="12"/>
                <w:szCs w:val="12"/>
                <w:color w:val="auto"/>
              </w:rPr>
              <w:t>25,860(m)</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8"/>
              <w:spacing w:after="0"/>
              <w:rPr>
                <w:sz w:val="20"/>
                <w:szCs w:val="20"/>
                <w:color w:val="auto"/>
              </w:rPr>
            </w:pPr>
            <w:r>
              <w:rPr>
                <w:rFonts w:ascii="Arial" w:cs="Arial" w:eastAsia="Arial" w:hAnsi="Arial"/>
                <w:sz w:val="12"/>
                <w:szCs w:val="12"/>
                <w:color w:val="auto"/>
              </w:rPr>
              <w:t>2,135,002</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6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54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8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0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80" w:type="dxa"/>
            <w:vAlign w:val="bottom"/>
          </w:tcPr>
          <w:p>
            <w:pPr>
              <w:ind w:left="60"/>
              <w:spacing w:after="0"/>
              <w:rPr>
                <w:sz w:val="20"/>
                <w:szCs w:val="20"/>
                <w:color w:val="auto"/>
              </w:rPr>
            </w:pPr>
            <w:r>
              <w:rPr>
                <w:rFonts w:ascii="Arial" w:cs="Arial" w:eastAsia="Arial" w:hAnsi="Arial"/>
                <w:sz w:val="12"/>
                <w:szCs w:val="12"/>
                <w:b w:val="1"/>
                <w:bCs w:val="1"/>
                <w:color w:val="auto"/>
              </w:rPr>
              <w:t>John Hight</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vMerge w:val="restart"/>
          </w:tcPr>
          <w:p>
            <w:pPr>
              <w:jc w:val="right"/>
              <w:ind w:right="58"/>
              <w:spacing w:after="0"/>
              <w:rPr>
                <w:sz w:val="20"/>
                <w:szCs w:val="20"/>
                <w:color w:val="auto"/>
              </w:rPr>
            </w:pPr>
            <w:r>
              <w:rPr>
                <w:rFonts w:ascii="Arial" w:cs="Arial" w:eastAsia="Arial" w:hAnsi="Arial"/>
                <w:sz w:val="12"/>
                <w:szCs w:val="12"/>
                <w:color w:val="auto"/>
              </w:rPr>
              <w:t>15,624(g)</w:t>
            </w:r>
          </w:p>
        </w:tc>
        <w:tc>
          <w:tcPr>
            <w:tcW w:w="180" w:type="dxa"/>
            <w:vAlign w:val="bottom"/>
            <w:vMerge w:val="restart"/>
          </w:tcPr>
          <w:p>
            <w:pPr>
              <w:ind w:left="120"/>
              <w:spacing w:after="0"/>
              <w:rPr>
                <w:sz w:val="20"/>
                <w:szCs w:val="20"/>
                <w:color w:val="auto"/>
              </w:rPr>
            </w:pPr>
            <w:r>
              <w:rPr>
                <w:rFonts w:ascii="Arial" w:cs="Arial" w:eastAsia="Arial" w:hAnsi="Arial"/>
                <w:sz w:val="10"/>
                <w:szCs w:val="10"/>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1,289,917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restart"/>
          </w:tcPr>
          <w:p>
            <w:pPr>
              <w:jc w:val="right"/>
              <w:ind w:right="138"/>
              <w:spacing w:after="0"/>
              <w:rPr>
                <w:sz w:val="20"/>
                <w:szCs w:val="20"/>
                <w:color w:val="auto"/>
              </w:rPr>
            </w:pPr>
            <w:r>
              <w:rPr>
                <w:rFonts w:ascii="Arial" w:cs="Arial" w:eastAsia="Arial" w:hAnsi="Arial"/>
                <w:sz w:val="12"/>
                <w:szCs w:val="12"/>
                <w:color w:val="auto"/>
              </w:rPr>
              <w:t>37,637(l)</w:t>
            </w:r>
          </w:p>
        </w:tc>
        <w:tc>
          <w:tcPr>
            <w:tcW w:w="180" w:type="dxa"/>
            <w:vAlign w:val="bottom"/>
            <w:vMerge w:val="restart"/>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ind w:right="58"/>
              <w:spacing w:after="0"/>
              <w:rPr>
                <w:sz w:val="20"/>
                <w:szCs w:val="20"/>
                <w:color w:val="auto"/>
              </w:rPr>
            </w:pPr>
            <w:r>
              <w:rPr>
                <w:rFonts w:ascii="Arial" w:cs="Arial" w:eastAsia="Arial" w:hAnsi="Arial"/>
                <w:sz w:val="12"/>
                <w:szCs w:val="12"/>
                <w:color w:val="auto"/>
              </w:rPr>
              <w:t>3,107,311</w:t>
            </w:r>
          </w:p>
        </w:tc>
        <w:tc>
          <w:tcPr>
            <w:tcW w:w="11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58"/>
              <w:spacing w:after="0"/>
              <w:rPr>
                <w:sz w:val="20"/>
                <w:szCs w:val="20"/>
                <w:color w:val="auto"/>
              </w:rPr>
            </w:pPr>
            <w:r>
              <w:rPr>
                <w:rFonts w:ascii="Arial" w:cs="Arial" w:eastAsia="Arial" w:hAnsi="Arial"/>
                <w:sz w:val="12"/>
                <w:szCs w:val="12"/>
                <w:color w:val="auto"/>
              </w:rPr>
              <w:t>15,624(m)</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8"/>
              <w:spacing w:after="0"/>
              <w:rPr>
                <w:sz w:val="20"/>
                <w:szCs w:val="20"/>
                <w:color w:val="auto"/>
              </w:rPr>
            </w:pPr>
            <w:r>
              <w:rPr>
                <w:rFonts w:ascii="Arial" w:cs="Arial" w:eastAsia="Arial" w:hAnsi="Arial"/>
                <w:sz w:val="12"/>
                <w:szCs w:val="12"/>
                <w:color w:val="auto"/>
              </w:rPr>
              <w:t>1,289,917</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6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54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8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0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80" w:type="dxa"/>
            <w:vAlign w:val="bottom"/>
          </w:tcPr>
          <w:p>
            <w:pPr>
              <w:ind w:left="60"/>
              <w:spacing w:after="0"/>
              <w:rPr>
                <w:sz w:val="20"/>
                <w:szCs w:val="20"/>
                <w:color w:val="auto"/>
              </w:rPr>
            </w:pPr>
            <w:r>
              <w:rPr>
                <w:rFonts w:ascii="Arial" w:cs="Arial" w:eastAsia="Arial" w:hAnsi="Arial"/>
                <w:sz w:val="12"/>
                <w:szCs w:val="12"/>
                <w:b w:val="1"/>
                <w:bCs w:val="1"/>
                <w:color w:val="auto"/>
              </w:rPr>
              <w:t>Tim Kilpin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vMerge w:val="restart"/>
          </w:tcPr>
          <w:p>
            <w:pPr>
              <w:jc w:val="right"/>
              <w:ind w:right="58"/>
              <w:spacing w:after="0"/>
              <w:rPr>
                <w:sz w:val="20"/>
                <w:szCs w:val="20"/>
                <w:color w:val="auto"/>
              </w:rPr>
            </w:pPr>
            <w:r>
              <w:rPr>
                <w:rFonts w:ascii="Arial" w:cs="Arial" w:eastAsia="Arial" w:hAnsi="Arial"/>
                <w:sz w:val="12"/>
                <w:szCs w:val="12"/>
                <w:color w:val="auto"/>
              </w:rPr>
              <w:t>14,152(d)</w:t>
            </w:r>
          </w:p>
        </w:tc>
        <w:tc>
          <w:tcPr>
            <w:tcW w:w="180" w:type="dxa"/>
            <w:vAlign w:val="bottom"/>
            <w:vMerge w:val="restart"/>
          </w:tcPr>
          <w:p>
            <w:pPr>
              <w:ind w:left="120"/>
              <w:spacing w:after="0"/>
              <w:rPr>
                <w:sz w:val="20"/>
                <w:szCs w:val="20"/>
                <w:color w:val="auto"/>
              </w:rPr>
            </w:pPr>
            <w:r>
              <w:rPr>
                <w:rFonts w:ascii="Arial" w:cs="Arial" w:eastAsia="Arial" w:hAnsi="Arial"/>
                <w:sz w:val="10"/>
                <w:szCs w:val="10"/>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1,168,389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22,099(e)</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1,824,493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8,840(f)</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729,830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right"/>
              <w:ind w:right="138"/>
              <w:spacing w:after="0"/>
              <w:rPr>
                <w:sz w:val="20"/>
                <w:szCs w:val="20"/>
                <w:color w:val="auto"/>
              </w:rPr>
            </w:pPr>
            <w:r>
              <w:rPr>
                <w:rFonts w:ascii="Arial" w:cs="Arial" w:eastAsia="Arial" w:hAnsi="Arial"/>
                <w:sz w:val="12"/>
                <w:szCs w:val="12"/>
                <w:color w:val="auto"/>
              </w:rPr>
              <w:t>2,558(i)</w:t>
            </w:r>
          </w:p>
        </w:tc>
        <w:tc>
          <w:tcPr>
            <w:tcW w:w="180" w:type="dxa"/>
            <w:vAlign w:val="bottom"/>
            <w:vMerge w:val="restart"/>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ind w:right="58"/>
              <w:spacing w:after="0"/>
              <w:rPr>
                <w:sz w:val="20"/>
                <w:szCs w:val="20"/>
                <w:color w:val="auto"/>
              </w:rPr>
            </w:pPr>
            <w:r>
              <w:rPr>
                <w:rFonts w:ascii="Arial" w:cs="Arial" w:eastAsia="Arial" w:hAnsi="Arial"/>
                <w:sz w:val="12"/>
                <w:szCs w:val="12"/>
                <w:color w:val="auto"/>
              </w:rPr>
              <w:t>211,188</w:t>
            </w:r>
          </w:p>
        </w:tc>
        <w:tc>
          <w:tcPr>
            <w:tcW w:w="1180" w:type="dxa"/>
            <w:vAlign w:val="bottom"/>
          </w:tcPr>
          <w:p>
            <w:pPr>
              <w:jc w:val="right"/>
              <w:ind w:right="58"/>
              <w:spacing w:after="0"/>
              <w:rPr>
                <w:sz w:val="20"/>
                <w:szCs w:val="20"/>
                <w:color w:val="auto"/>
              </w:rPr>
            </w:pPr>
            <w:r>
              <w:rPr>
                <w:rFonts w:ascii="Arial" w:cs="Arial" w:eastAsia="Arial" w:hAnsi="Arial"/>
                <w:sz w:val="12"/>
                <w:szCs w:val="12"/>
                <w:color w:val="auto"/>
              </w:rPr>
              <w:t>18,318(g)</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1,512,334</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12,060(i)</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995,674</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14,726(j)</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1,215,779</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5,887(k)</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486,031</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38"/>
              <w:spacing w:after="0"/>
              <w:rPr>
                <w:sz w:val="20"/>
                <w:szCs w:val="20"/>
                <w:color w:val="auto"/>
              </w:rPr>
            </w:pPr>
            <w:r>
              <w:rPr>
                <w:rFonts w:ascii="Arial" w:cs="Arial" w:eastAsia="Arial" w:hAnsi="Arial"/>
                <w:sz w:val="12"/>
                <w:szCs w:val="12"/>
                <w:color w:val="auto"/>
              </w:rPr>
              <w:t>22,959(b)</w:t>
            </w:r>
          </w:p>
        </w:tc>
        <w:tc>
          <w:tcPr>
            <w:tcW w:w="1280" w:type="dxa"/>
            <w:vAlign w:val="bottom"/>
            <w:vMerge w:val="restart"/>
          </w:tcPr>
          <w:p>
            <w:pPr>
              <w:jc w:val="right"/>
              <w:ind w:right="58"/>
              <w:spacing w:after="0"/>
              <w:rPr>
                <w:sz w:val="20"/>
                <w:szCs w:val="20"/>
                <w:color w:val="auto"/>
              </w:rPr>
            </w:pPr>
            <w:r>
              <w:rPr>
                <w:rFonts w:ascii="Arial" w:cs="Arial" w:eastAsia="Arial" w:hAnsi="Arial"/>
                <w:sz w:val="12"/>
                <w:szCs w:val="12"/>
                <w:color w:val="auto"/>
              </w:rPr>
              <w:t>11,477</w:t>
            </w:r>
          </w:p>
        </w:tc>
        <w:tc>
          <w:tcPr>
            <w:tcW w:w="1020" w:type="dxa"/>
            <w:vAlign w:val="bottom"/>
            <w:vMerge w:val="restart"/>
          </w:tcPr>
          <w:p>
            <w:pPr>
              <w:jc w:val="right"/>
              <w:ind w:right="58"/>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100"/>
              <w:spacing w:after="0"/>
              <w:rPr>
                <w:sz w:val="20"/>
                <w:szCs w:val="20"/>
                <w:color w:val="auto"/>
              </w:rPr>
            </w:pPr>
            <w:r>
              <w:rPr>
                <w:rFonts w:ascii="Arial" w:cs="Arial" w:eastAsia="Arial" w:hAnsi="Arial"/>
                <w:sz w:val="12"/>
                <w:szCs w:val="12"/>
                <w:color w:val="auto"/>
              </w:rPr>
              <w:t>$</w:t>
            </w:r>
          </w:p>
        </w:tc>
        <w:tc>
          <w:tcPr>
            <w:tcW w:w="540" w:type="dxa"/>
            <w:vAlign w:val="bottom"/>
            <w:vMerge w:val="restart"/>
          </w:tcPr>
          <w:p>
            <w:pPr>
              <w:jc w:val="right"/>
              <w:ind w:right="58"/>
              <w:spacing w:after="0"/>
              <w:rPr>
                <w:sz w:val="20"/>
                <w:szCs w:val="20"/>
                <w:color w:val="auto"/>
              </w:rPr>
            </w:pPr>
            <w:r>
              <w:rPr>
                <w:rFonts w:ascii="Arial" w:cs="Arial" w:eastAsia="Arial" w:hAnsi="Arial"/>
                <w:sz w:val="12"/>
                <w:szCs w:val="12"/>
                <w:color w:val="auto"/>
              </w:rPr>
              <w:t>61.71</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5/17/2030</w:t>
            </w:r>
          </w:p>
        </w:tc>
        <w:tc>
          <w:tcPr>
            <w:tcW w:w="80" w:type="dxa"/>
            <w:vAlign w:val="bottom"/>
          </w:tcPr>
          <w:p>
            <w:pPr>
              <w:spacing w:after="0"/>
              <w:rPr>
                <w:sz w:val="14"/>
                <w:szCs w:val="14"/>
                <w:color w:val="auto"/>
              </w:rPr>
            </w:pPr>
          </w:p>
        </w:tc>
        <w:tc>
          <w:tcPr>
            <w:tcW w:w="900" w:type="dxa"/>
            <w:vAlign w:val="bottom"/>
          </w:tcPr>
          <w:p>
            <w:pPr>
              <w:jc w:val="right"/>
              <w:ind w:right="58"/>
              <w:spacing w:after="0"/>
              <w:rPr>
                <w:sz w:val="20"/>
                <w:szCs w:val="20"/>
                <w:color w:val="auto"/>
              </w:rPr>
            </w:pPr>
            <w:r>
              <w:rPr>
                <w:rFonts w:ascii="Arial" w:cs="Arial" w:eastAsia="Arial" w:hAnsi="Arial"/>
                <w:sz w:val="12"/>
                <w:szCs w:val="12"/>
                <w:color w:val="auto"/>
              </w:rPr>
              <w:t>18,318(m)</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8"/>
              <w:spacing w:after="0"/>
              <w:rPr>
                <w:sz w:val="20"/>
                <w:szCs w:val="20"/>
                <w:color w:val="auto"/>
              </w:rPr>
            </w:pPr>
            <w:r>
              <w:rPr>
                <w:rFonts w:ascii="Arial" w:cs="Arial" w:eastAsia="Arial" w:hAnsi="Arial"/>
                <w:sz w:val="12"/>
                <w:szCs w:val="12"/>
                <w:color w:val="auto"/>
              </w:rPr>
              <w:t>1,512,334</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6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54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8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0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80" w:type="dxa"/>
            <w:vAlign w:val="bottom"/>
          </w:tcPr>
          <w:p>
            <w:pPr>
              <w:ind w:left="60"/>
              <w:spacing w:after="0"/>
              <w:rPr>
                <w:sz w:val="20"/>
                <w:szCs w:val="20"/>
                <w:color w:val="auto"/>
              </w:rPr>
            </w:pPr>
            <w:r>
              <w:rPr>
                <w:rFonts w:ascii="Arial" w:cs="Arial" w:eastAsia="Arial" w:hAnsi="Arial"/>
                <w:sz w:val="12"/>
                <w:szCs w:val="12"/>
                <w:b w:val="1"/>
                <w:bCs w:val="1"/>
                <w:color w:val="auto"/>
              </w:rPr>
              <w:t>Tarrant Sibley</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vMerge w:val="restart"/>
          </w:tcPr>
          <w:p>
            <w:pPr>
              <w:jc w:val="right"/>
              <w:ind w:right="78"/>
              <w:spacing w:after="0"/>
              <w:rPr>
                <w:sz w:val="20"/>
                <w:szCs w:val="20"/>
                <w:color w:val="auto"/>
              </w:rPr>
            </w:pPr>
            <w:r>
              <w:rPr>
                <w:rFonts w:ascii="Arial" w:cs="Arial" w:eastAsia="Arial" w:hAnsi="Arial"/>
                <w:sz w:val="12"/>
                <w:szCs w:val="12"/>
                <w:color w:val="auto"/>
              </w:rPr>
              <w:t>20,489(c)</w:t>
            </w:r>
          </w:p>
        </w:tc>
        <w:tc>
          <w:tcPr>
            <w:tcW w:w="180" w:type="dxa"/>
            <w:vAlign w:val="bottom"/>
            <w:vMerge w:val="restart"/>
          </w:tcPr>
          <w:p>
            <w:pPr>
              <w:ind w:left="120"/>
              <w:spacing w:after="0"/>
              <w:rPr>
                <w:sz w:val="20"/>
                <w:szCs w:val="20"/>
                <w:color w:val="auto"/>
              </w:rPr>
            </w:pPr>
            <w:r>
              <w:rPr>
                <w:rFonts w:ascii="Arial" w:cs="Arial" w:eastAsia="Arial" w:hAnsi="Arial"/>
                <w:sz w:val="10"/>
                <w:szCs w:val="10"/>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1,691,572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13,519(e)</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1,116,129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6,760(f)</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558,106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right"/>
              <w:ind w:right="98"/>
              <w:spacing w:after="0"/>
              <w:rPr>
                <w:sz w:val="20"/>
                <w:szCs w:val="20"/>
                <w:color w:val="auto"/>
              </w:rPr>
            </w:pPr>
            <w:r>
              <w:rPr>
                <w:rFonts w:ascii="Arial" w:cs="Arial" w:eastAsia="Arial" w:hAnsi="Arial"/>
                <w:sz w:val="12"/>
                <w:szCs w:val="12"/>
                <w:color w:val="auto"/>
              </w:rPr>
              <w:t>3,704(h)</w:t>
            </w:r>
          </w:p>
        </w:tc>
        <w:tc>
          <w:tcPr>
            <w:tcW w:w="180" w:type="dxa"/>
            <w:vAlign w:val="bottom"/>
            <w:vMerge w:val="restart"/>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ind w:right="58"/>
              <w:spacing w:after="0"/>
              <w:rPr>
                <w:sz w:val="20"/>
                <w:szCs w:val="20"/>
                <w:color w:val="auto"/>
              </w:rPr>
            </w:pPr>
            <w:r>
              <w:rPr>
                <w:rFonts w:ascii="Arial" w:cs="Arial" w:eastAsia="Arial" w:hAnsi="Arial"/>
                <w:sz w:val="12"/>
                <w:szCs w:val="12"/>
                <w:color w:val="auto"/>
              </w:rPr>
              <w:t>305,802</w:t>
            </w:r>
          </w:p>
        </w:tc>
        <w:tc>
          <w:tcPr>
            <w:tcW w:w="1180" w:type="dxa"/>
            <w:vAlign w:val="bottom"/>
          </w:tcPr>
          <w:p>
            <w:pPr>
              <w:jc w:val="right"/>
              <w:ind w:right="58"/>
              <w:spacing w:after="0"/>
              <w:rPr>
                <w:sz w:val="20"/>
                <w:szCs w:val="20"/>
                <w:color w:val="auto"/>
              </w:rPr>
            </w:pPr>
            <w:r>
              <w:rPr>
                <w:rFonts w:ascii="Arial" w:cs="Arial" w:eastAsia="Arial" w:hAnsi="Arial"/>
                <w:sz w:val="12"/>
                <w:szCs w:val="12"/>
                <w:color w:val="auto"/>
              </w:rPr>
              <w:t>13,577(g)</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1,120,917</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9,005(j)</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743,453</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4,499(k)</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371,437</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gridSpan w:val="2"/>
            <w:vMerge w:val="restart"/>
          </w:tcPr>
          <w:p>
            <w:pPr>
              <w:jc w:val="right"/>
              <w:ind w:right="198"/>
              <w:spacing w:after="0"/>
              <w:rPr>
                <w:sz w:val="20"/>
                <w:szCs w:val="20"/>
                <w:color w:val="auto"/>
              </w:rPr>
            </w:pPr>
            <w:r>
              <w:rPr>
                <w:rFonts w:ascii="Arial" w:cs="Arial" w:eastAsia="Arial" w:hAnsi="Arial"/>
                <w:sz w:val="12"/>
                <w:szCs w:val="12"/>
                <w:color w:val="auto"/>
              </w:rPr>
              <w:t>15,148</w:t>
            </w:r>
          </w:p>
        </w:tc>
        <w:tc>
          <w:tcPr>
            <w:tcW w:w="1280" w:type="dxa"/>
            <w:vAlign w:val="bottom"/>
            <w:vMerge w:val="restart"/>
          </w:tcPr>
          <w:p>
            <w:pPr>
              <w:jc w:val="right"/>
              <w:ind w:right="58"/>
              <w:spacing w:after="0"/>
              <w:rPr>
                <w:sz w:val="20"/>
                <w:szCs w:val="20"/>
                <w:color w:val="auto"/>
              </w:rPr>
            </w:pPr>
            <w:r>
              <w:rPr>
                <w:rFonts w:ascii="Arial" w:cs="Arial" w:eastAsia="Arial" w:hAnsi="Arial"/>
                <w:sz w:val="12"/>
                <w:szCs w:val="12"/>
                <w:color w:val="auto"/>
              </w:rPr>
              <w:t>0</w:t>
            </w:r>
          </w:p>
        </w:tc>
        <w:tc>
          <w:tcPr>
            <w:tcW w:w="1020" w:type="dxa"/>
            <w:vAlign w:val="bottom"/>
            <w:vMerge w:val="restart"/>
          </w:tcPr>
          <w:p>
            <w:pPr>
              <w:jc w:val="right"/>
              <w:ind w:right="58"/>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100"/>
              <w:spacing w:after="0"/>
              <w:rPr>
                <w:sz w:val="20"/>
                <w:szCs w:val="20"/>
                <w:color w:val="auto"/>
              </w:rPr>
            </w:pPr>
            <w:r>
              <w:rPr>
                <w:rFonts w:ascii="Arial" w:cs="Arial" w:eastAsia="Arial" w:hAnsi="Arial"/>
                <w:sz w:val="12"/>
                <w:szCs w:val="12"/>
                <w:color w:val="auto"/>
              </w:rPr>
              <w:t>$</w:t>
            </w:r>
          </w:p>
        </w:tc>
        <w:tc>
          <w:tcPr>
            <w:tcW w:w="540" w:type="dxa"/>
            <w:vAlign w:val="bottom"/>
            <w:vMerge w:val="restart"/>
          </w:tcPr>
          <w:p>
            <w:pPr>
              <w:jc w:val="right"/>
              <w:ind w:right="58"/>
              <w:spacing w:after="0"/>
              <w:rPr>
                <w:sz w:val="20"/>
                <w:szCs w:val="20"/>
                <w:color w:val="auto"/>
              </w:rPr>
            </w:pPr>
            <w:r>
              <w:rPr>
                <w:rFonts w:ascii="Arial" w:cs="Arial" w:eastAsia="Arial" w:hAnsi="Arial"/>
                <w:sz w:val="12"/>
                <w:szCs w:val="12"/>
                <w:color w:val="auto"/>
              </w:rPr>
              <w:t>86.66</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2/18/2026</w:t>
            </w:r>
          </w:p>
        </w:tc>
        <w:tc>
          <w:tcPr>
            <w:tcW w:w="80" w:type="dxa"/>
            <w:vAlign w:val="bottom"/>
          </w:tcPr>
          <w:p>
            <w:pPr>
              <w:spacing w:after="0"/>
              <w:rPr>
                <w:sz w:val="14"/>
                <w:szCs w:val="14"/>
                <w:color w:val="auto"/>
              </w:rPr>
            </w:pPr>
          </w:p>
        </w:tc>
        <w:tc>
          <w:tcPr>
            <w:tcW w:w="900" w:type="dxa"/>
            <w:vAlign w:val="bottom"/>
          </w:tcPr>
          <w:p>
            <w:pPr>
              <w:jc w:val="right"/>
              <w:ind w:right="58"/>
              <w:spacing w:after="0"/>
              <w:rPr>
                <w:sz w:val="20"/>
                <w:szCs w:val="20"/>
                <w:color w:val="auto"/>
              </w:rPr>
            </w:pPr>
            <w:r>
              <w:rPr>
                <w:rFonts w:ascii="Arial" w:cs="Arial" w:eastAsia="Arial" w:hAnsi="Arial"/>
                <w:sz w:val="12"/>
                <w:szCs w:val="12"/>
                <w:color w:val="auto"/>
              </w:rPr>
              <w:t>13,577(m)</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8"/>
              <w:spacing w:after="0"/>
              <w:rPr>
                <w:sz w:val="20"/>
                <w:szCs w:val="20"/>
                <w:color w:val="auto"/>
              </w:rPr>
            </w:pPr>
            <w:r>
              <w:rPr>
                <w:rFonts w:ascii="Arial" w:cs="Arial" w:eastAsia="Arial" w:hAnsi="Arial"/>
                <w:sz w:val="12"/>
                <w:szCs w:val="12"/>
                <w:color w:val="auto"/>
              </w:rPr>
              <w:t>1,120,917</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20" w:type="dxa"/>
            <w:vAlign w:val="bottom"/>
            <w:gridSpan w:val="2"/>
          </w:tcPr>
          <w:p>
            <w:pPr>
              <w:jc w:val="right"/>
              <w:ind w:right="198"/>
              <w:spacing w:after="0" w:line="134" w:lineRule="exact"/>
              <w:rPr>
                <w:sz w:val="20"/>
                <w:szCs w:val="20"/>
                <w:color w:val="auto"/>
              </w:rPr>
            </w:pPr>
            <w:r>
              <w:rPr>
                <w:rFonts w:ascii="Arial" w:cs="Arial" w:eastAsia="Arial" w:hAnsi="Arial"/>
                <w:sz w:val="12"/>
                <w:szCs w:val="12"/>
                <w:color w:val="auto"/>
              </w:rPr>
              <w:t>16,144</w:t>
            </w:r>
          </w:p>
        </w:tc>
        <w:tc>
          <w:tcPr>
            <w:tcW w:w="12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0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200" w:type="dxa"/>
            <w:vAlign w:val="bottom"/>
          </w:tcPr>
          <w:p>
            <w:pPr>
              <w:ind w:left="100"/>
              <w:spacing w:after="0" w:line="134"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96.79</w:t>
            </w: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2/17/2027</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20" w:type="dxa"/>
            <w:vAlign w:val="bottom"/>
            <w:gridSpan w:val="2"/>
          </w:tcPr>
          <w:p>
            <w:pPr>
              <w:jc w:val="right"/>
              <w:ind w:right="198"/>
              <w:spacing w:after="0" w:line="134" w:lineRule="exact"/>
              <w:rPr>
                <w:sz w:val="20"/>
                <w:szCs w:val="20"/>
                <w:color w:val="auto"/>
              </w:rPr>
            </w:pPr>
            <w:r>
              <w:rPr>
                <w:rFonts w:ascii="Arial" w:cs="Arial" w:eastAsia="Arial" w:hAnsi="Arial"/>
                <w:sz w:val="12"/>
                <w:szCs w:val="12"/>
                <w:color w:val="auto"/>
              </w:rPr>
              <w:t>14,555</w:t>
            </w:r>
          </w:p>
        </w:tc>
        <w:tc>
          <w:tcPr>
            <w:tcW w:w="12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0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200" w:type="dxa"/>
            <w:vAlign w:val="bottom"/>
          </w:tcPr>
          <w:p>
            <w:pPr>
              <w:ind w:left="100"/>
              <w:spacing w:after="0" w:line="134"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90.18</w:t>
            </w: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2/17/2028</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20" w:type="dxa"/>
            <w:vAlign w:val="bottom"/>
            <w:gridSpan w:val="2"/>
          </w:tcPr>
          <w:p>
            <w:pPr>
              <w:jc w:val="right"/>
              <w:ind w:right="198"/>
              <w:spacing w:after="0" w:line="134" w:lineRule="exact"/>
              <w:rPr>
                <w:sz w:val="20"/>
                <w:szCs w:val="20"/>
                <w:color w:val="auto"/>
              </w:rPr>
            </w:pPr>
            <w:r>
              <w:rPr>
                <w:rFonts w:ascii="Arial" w:cs="Arial" w:eastAsia="Arial" w:hAnsi="Arial"/>
                <w:sz w:val="12"/>
                <w:szCs w:val="12"/>
                <w:color w:val="auto"/>
              </w:rPr>
              <w:t>15,807</w:t>
            </w:r>
          </w:p>
        </w:tc>
        <w:tc>
          <w:tcPr>
            <w:tcW w:w="12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10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200" w:type="dxa"/>
            <w:vAlign w:val="bottom"/>
          </w:tcPr>
          <w:p>
            <w:pPr>
              <w:ind w:left="100"/>
              <w:spacing w:after="0" w:line="134"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94.89</w:t>
            </w: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2/25/2029</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38"/>
              <w:spacing w:after="0"/>
              <w:rPr>
                <w:sz w:val="20"/>
                <w:szCs w:val="20"/>
                <w:color w:val="auto"/>
              </w:rPr>
            </w:pPr>
            <w:r>
              <w:rPr>
                <w:rFonts w:ascii="Arial" w:cs="Arial" w:eastAsia="Arial" w:hAnsi="Arial"/>
                <w:sz w:val="12"/>
                <w:szCs w:val="12"/>
                <w:color w:val="auto"/>
              </w:rPr>
              <w:t>32,858(a)</w:t>
            </w:r>
          </w:p>
        </w:tc>
        <w:tc>
          <w:tcPr>
            <w:tcW w:w="1280" w:type="dxa"/>
            <w:vAlign w:val="bottom"/>
          </w:tcPr>
          <w:p>
            <w:pPr>
              <w:jc w:val="right"/>
              <w:ind w:right="58"/>
              <w:spacing w:after="0"/>
              <w:rPr>
                <w:sz w:val="20"/>
                <w:szCs w:val="20"/>
                <w:color w:val="auto"/>
              </w:rPr>
            </w:pPr>
            <w:r>
              <w:rPr>
                <w:rFonts w:ascii="Arial" w:cs="Arial" w:eastAsia="Arial" w:hAnsi="Arial"/>
                <w:sz w:val="12"/>
                <w:szCs w:val="12"/>
                <w:color w:val="auto"/>
              </w:rPr>
              <w:t>16,426</w:t>
            </w: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200" w:type="dxa"/>
            <w:vAlign w:val="bottom"/>
          </w:tcPr>
          <w:p>
            <w:pPr>
              <w:ind w:left="10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58"/>
              <w:spacing w:after="0"/>
              <w:rPr>
                <w:sz w:val="20"/>
                <w:szCs w:val="20"/>
                <w:color w:val="auto"/>
              </w:rPr>
            </w:pPr>
            <w:r>
              <w:rPr>
                <w:rFonts w:ascii="Arial" w:cs="Arial" w:eastAsia="Arial" w:hAnsi="Arial"/>
                <w:sz w:val="12"/>
                <w:szCs w:val="12"/>
                <w:color w:val="auto"/>
              </w:rPr>
              <w:t>55.78</w:t>
            </w:r>
          </w:p>
        </w:tc>
        <w:tc>
          <w:tcPr>
            <w:tcW w:w="760" w:type="dxa"/>
            <w:vAlign w:val="bottom"/>
          </w:tcPr>
          <w:p>
            <w:pPr>
              <w:jc w:val="right"/>
              <w:spacing w:after="0"/>
              <w:rPr>
                <w:sz w:val="20"/>
                <w:szCs w:val="20"/>
                <w:color w:val="auto"/>
              </w:rPr>
            </w:pPr>
            <w:r>
              <w:rPr>
                <w:rFonts w:ascii="Arial" w:cs="Arial" w:eastAsia="Arial" w:hAnsi="Arial"/>
                <w:sz w:val="12"/>
                <w:szCs w:val="12"/>
                <w:color w:val="auto"/>
              </w:rPr>
              <w:t>2/24/2030</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59690</wp:posOffset>
            </wp:positionV>
            <wp:extent cx="69297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8" w:lineRule="exact"/>
        <w:rPr>
          <w:sz w:val="20"/>
          <w:szCs w:val="20"/>
          <w:color w:val="auto"/>
        </w:rPr>
      </w:pPr>
    </w:p>
    <w:p>
      <w:pPr>
        <w:ind w:left="600" w:right="240" w:hanging="433"/>
        <w:spacing w:after="0" w:line="281"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One-third of these options vested on February 24, 2024, one-third vested on February 24, 2025 and the remaining options will vest on February 24, 2026, provided the recipient continues employment with the Company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216535</wp:posOffset>
            </wp:positionV>
            <wp:extent cx="6964045" cy="39052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  44</w:t>
      </w:r>
    </w:p>
    <w:p>
      <w:pPr>
        <w:sectPr>
          <w:pgSz w:w="11900" w:h="16838" w:orient="portrait"/>
          <w:cols w:equalWidth="0" w:num="1">
            <w:col w:w="11080"/>
          </w:cols>
          <w:pgMar w:left="320" w:top="478"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600" w:right="320" w:hanging="433"/>
        <w:spacing w:after="0" w:line="281"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One-third of these options vested on May 17, 2024, one-third vested on May 17, 2025 and the remaining options will vest on May 17, 2026, provided the recipient continues employment with the Company through the applicable vesting date.</w:t>
      </w:r>
    </w:p>
    <w:p>
      <w:pPr>
        <w:spacing w:after="0" w:line="24" w:lineRule="exact"/>
        <w:rPr>
          <w:rFonts w:ascii="Arial" w:cs="Arial" w:eastAsia="Arial" w:hAnsi="Arial"/>
          <w:sz w:val="14"/>
          <w:szCs w:val="14"/>
          <w:color w:val="auto"/>
        </w:rPr>
      </w:pPr>
    </w:p>
    <w:p>
      <w:pPr>
        <w:ind w:left="600" w:right="80" w:hanging="433"/>
        <w:spacing w:after="0" w:line="260"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These performance share units granted in March 2023 with a trailing three-year performance period ending at the end of fiscal 2025 are reflected at 92% of the target number of shares subject to such awards, following affirmation by the Committee of the Company’s financial performance under these awards at the payout level set forth above.</w:t>
      </w:r>
    </w:p>
    <w:p>
      <w:pPr>
        <w:spacing w:after="0" w:line="38" w:lineRule="exact"/>
        <w:rPr>
          <w:rFonts w:ascii="Arial" w:cs="Arial" w:eastAsia="Arial" w:hAnsi="Arial"/>
          <w:sz w:val="14"/>
          <w:szCs w:val="14"/>
          <w:color w:val="auto"/>
        </w:rPr>
      </w:pPr>
    </w:p>
    <w:p>
      <w:pPr>
        <w:ind w:left="600" w:right="120" w:hanging="433"/>
        <w:spacing w:after="0" w:line="260"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These performance share units granted in May 2023 with a trailing three-year performance period ending at the end of fiscal 2025 are reflected at 92% of the target number of shares subject to such awards, following affirmation by the Committee of the Company’s financial performance under these awards at the payout level set forth above.</w:t>
      </w:r>
    </w:p>
    <w:p>
      <w:pPr>
        <w:spacing w:after="0" w:line="38" w:lineRule="exact"/>
        <w:rPr>
          <w:rFonts w:ascii="Arial" w:cs="Arial" w:eastAsia="Arial" w:hAnsi="Arial"/>
          <w:sz w:val="14"/>
          <w:szCs w:val="14"/>
          <w:color w:val="auto"/>
        </w:rPr>
      </w:pPr>
    </w:p>
    <w:p>
      <w:pPr>
        <w:ind w:left="600" w:right="100" w:hanging="433"/>
        <w:spacing w:after="0" w:line="281"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These performance share units granted in March 2024 are reflected at the target number of shares for such awards, even though the performance period will not end until December 2026 and there is no assurance that the target amounts, or even the threshold amounts, will be earned under these awards.</w:t>
      </w:r>
    </w:p>
    <w:p>
      <w:pPr>
        <w:spacing w:after="0" w:line="24" w:lineRule="exact"/>
        <w:rPr>
          <w:rFonts w:ascii="Arial" w:cs="Arial" w:eastAsia="Arial" w:hAnsi="Arial"/>
          <w:sz w:val="14"/>
          <w:szCs w:val="14"/>
          <w:color w:val="auto"/>
        </w:rPr>
      </w:pPr>
    </w:p>
    <w:p>
      <w:pPr>
        <w:ind w:left="600" w:right="80" w:hanging="433"/>
        <w:spacing w:after="0" w:line="260"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These performance share units were granted in March 2024 to recognize individual performance and to align 2024 long-term incentives with the market, are reflected at the target number of shares for such awards, even though the performance period will not end until December 2026 and there is no assurance that the target amounts, or even the threshold amounts, will be earned under these awards.</w:t>
      </w:r>
    </w:p>
    <w:p>
      <w:pPr>
        <w:spacing w:after="0" w:line="38" w:lineRule="exact"/>
        <w:rPr>
          <w:rFonts w:ascii="Arial" w:cs="Arial" w:eastAsia="Arial" w:hAnsi="Arial"/>
          <w:sz w:val="14"/>
          <w:szCs w:val="14"/>
          <w:color w:val="auto"/>
        </w:rPr>
      </w:pPr>
    </w:p>
    <w:p>
      <w:pPr>
        <w:ind w:left="600" w:right="100" w:hanging="433"/>
        <w:spacing w:after="0" w:line="281"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These performance share units granted in March 2025 are reflected at the target number of shares for such awards, even though the performance period will not end until December 2027 and there is no assurance that the target amounts, or even the threshold amounts, will be earned under these awards.</w:t>
      </w:r>
    </w:p>
    <w:p>
      <w:pPr>
        <w:spacing w:after="0" w:line="24" w:lineRule="exact"/>
        <w:rPr>
          <w:rFonts w:ascii="Arial" w:cs="Arial" w:eastAsia="Arial" w:hAnsi="Arial"/>
          <w:sz w:val="14"/>
          <w:szCs w:val="14"/>
          <w:color w:val="auto"/>
        </w:rPr>
      </w:pPr>
    </w:p>
    <w:p>
      <w:pPr>
        <w:ind w:left="600" w:right="320" w:hanging="433"/>
        <w:spacing w:after="0" w:line="281"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Comprised of restricted stock units granted on February 24, 2023 of which one-third vested on February 24, 2024, one-third vested on February 24, 2025 and the remaining one-third will vest on February 24, 2026, provided the recipient continues employment with the Company through the applicable vesting date.</w:t>
      </w:r>
    </w:p>
    <w:p>
      <w:pPr>
        <w:spacing w:after="0" w:line="24" w:lineRule="exact"/>
        <w:rPr>
          <w:rFonts w:ascii="Arial" w:cs="Arial" w:eastAsia="Arial" w:hAnsi="Arial"/>
          <w:sz w:val="14"/>
          <w:szCs w:val="14"/>
          <w:color w:val="auto"/>
        </w:rPr>
      </w:pPr>
    </w:p>
    <w:p>
      <w:pPr>
        <w:ind w:left="600" w:right="200" w:hanging="433"/>
        <w:spacing w:after="0" w:line="281"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Comprised of restricted stock units granted on May 17, 2023, of which one-third vested on May 17, 2024, one-third vested on May 17, 2025 and the remaining one-third will vest May 17, 2026, provided the recipient continues employment with the Company through the applicable vesting date.</w:t>
      </w:r>
    </w:p>
    <w:p>
      <w:pPr>
        <w:spacing w:after="0" w:line="24" w:lineRule="exact"/>
        <w:rPr>
          <w:rFonts w:ascii="Arial" w:cs="Arial" w:eastAsia="Arial" w:hAnsi="Arial"/>
          <w:sz w:val="14"/>
          <w:szCs w:val="14"/>
          <w:color w:val="auto"/>
        </w:rPr>
      </w:pPr>
    </w:p>
    <w:p>
      <w:pPr>
        <w:ind w:left="600" w:right="300" w:hanging="433"/>
        <w:spacing w:after="0" w:line="281"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Comprised of restricted stock units granted on March 7, 2024 of which one-third vested on March 7, 2025, one-third will vest on March 7, 2026, and the remaining one-third will vest on March 7, 2027 provided, the recipient continues employment with the Company through the applicable vesting date.</w:t>
      </w:r>
    </w:p>
    <w:p>
      <w:pPr>
        <w:spacing w:after="0" w:line="24" w:lineRule="exact"/>
        <w:rPr>
          <w:rFonts w:ascii="Arial" w:cs="Arial" w:eastAsia="Arial" w:hAnsi="Arial"/>
          <w:sz w:val="14"/>
          <w:szCs w:val="14"/>
          <w:color w:val="auto"/>
        </w:rPr>
      </w:pPr>
    </w:p>
    <w:p>
      <w:pPr>
        <w:ind w:left="600" w:right="60" w:hanging="433"/>
        <w:spacing w:after="0" w:line="260"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Comprised of restricted stock units that represent awards to recognize individual performance and to align 2024 long-term incentives with the market, granted on March 7, 2024, of which one-third vested on March 7, 2025, one-third will vest on March 7, 2026, and the remaining one-third will vest on March 7, 2027, provided the recipient continues employment with the Company through the applicable vesting date.</w:t>
      </w:r>
    </w:p>
    <w:p>
      <w:pPr>
        <w:spacing w:after="0" w:line="38" w:lineRule="exact"/>
        <w:rPr>
          <w:rFonts w:ascii="Arial" w:cs="Arial" w:eastAsia="Arial" w:hAnsi="Arial"/>
          <w:sz w:val="14"/>
          <w:szCs w:val="14"/>
          <w:color w:val="auto"/>
        </w:rPr>
      </w:pPr>
    </w:p>
    <w:p>
      <w:pPr>
        <w:ind w:left="600" w:right="540" w:hanging="433"/>
        <w:spacing w:after="0" w:line="281"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Comprised of restricted stock units granted on August 15, 2024, of which one-third vested on August 15, 2025, one-third will vest on August 15, 2026, and the remaining one-third will vest on August 15, 2027, provided the recipient continues employment with the Company through the applicable vesting dates.</w:t>
      </w:r>
    </w:p>
    <w:p>
      <w:pPr>
        <w:spacing w:after="0" w:line="24" w:lineRule="exact"/>
        <w:rPr>
          <w:rFonts w:ascii="Arial" w:cs="Arial" w:eastAsia="Arial" w:hAnsi="Arial"/>
          <w:sz w:val="14"/>
          <w:szCs w:val="14"/>
          <w:color w:val="auto"/>
        </w:rPr>
      </w:pPr>
    </w:p>
    <w:p>
      <w:pPr>
        <w:ind w:left="600" w:right="180" w:hanging="433"/>
        <w:spacing w:after="0" w:line="281"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Comprised of restricted stock units granted on March 14, 2025, which will vest in three equal installments on March 14, 2026, March 14, 2027, and March 14, 2028, provided the recipient continues employment with the Company through the applicable vesting dates.</w:t>
      </w:r>
    </w:p>
    <w:p>
      <w:pPr>
        <w:spacing w:after="0" w:line="153"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auto"/>
        </w:rPr>
        <w:t>The amounts reported in the above table were computed by multiplying the number of shares by the closing share price of $82.56 on December 26, 2025, the last trading day of the Company’s 2025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221615</wp:posOffset>
            </wp:positionV>
            <wp:extent cx="6964045" cy="39052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  45</w:t>
      </w:r>
    </w:p>
    <w:p>
      <w:pPr>
        <w:sectPr>
          <w:pgSz w:w="11900" w:h="16838" w:orient="portrait"/>
          <w:cols w:equalWidth="0" w:num="1">
            <w:col w:w="11080"/>
          </w:cols>
          <w:pgMar w:left="320" w:top="478"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auto"/>
        </w:rPr>
        <w:t>The following table sets forth information concerning aggregate option exercises and vesting of restricted stock units earned during the 2025 fiscal year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6929755" cy="33147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6929755" cy="331470"/>
                    </a:xfrm>
                    <a:prstGeom prst="rect">
                      <a:avLst/>
                    </a:prstGeom>
                    <a:noFill/>
                  </pic:spPr>
                </pic:pic>
              </a:graphicData>
            </a:graphic>
          </wp:anchor>
        </w:drawing>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Option Exercises and Stock Vested</w:t>
      </w:r>
    </w:p>
    <w:p>
      <w:pPr>
        <w:spacing w:after="0" w:line="75" w:lineRule="exact"/>
        <w:rPr>
          <w:sz w:val="20"/>
          <w:szCs w:val="20"/>
          <w:color w:val="auto"/>
        </w:rPr>
      </w:pPr>
    </w:p>
    <w:tbl>
      <w:tblPr>
        <w:tblLayout w:type="fixed"/>
        <w:tblInd w:w="160" w:type="dxa"/>
        <w:tblCellMar>
          <w:top w:w="0" w:type="dxa"/>
          <w:left w:w="0" w:type="dxa"/>
          <w:bottom w:w="0" w:type="dxa"/>
          <w:right w:w="0" w:type="dxa"/>
        </w:tblCellMar>
      </w:tblPr>
      <w:tr>
        <w:trPr>
          <w:trHeight w:val="308"/>
        </w:trPr>
        <w:tc>
          <w:tcPr>
            <w:tcW w:w="5840" w:type="dxa"/>
            <w:vAlign w:val="bottom"/>
            <w:tcBorders>
              <w:top w:val="single" w:sz="8" w:color="0060ED"/>
              <w:bottom w:val="single" w:sz="8" w:color="CCEBF8"/>
            </w:tcBorders>
            <w:shd w:val="clear" w:color="auto" w:fill="CCEBF8"/>
          </w:tcPr>
          <w:p>
            <w:pPr>
              <w:spacing w:after="0"/>
              <w:rPr>
                <w:sz w:val="24"/>
                <w:szCs w:val="24"/>
                <w:color w:val="auto"/>
              </w:rPr>
            </w:pPr>
          </w:p>
        </w:tc>
        <w:tc>
          <w:tcPr>
            <w:tcW w:w="100" w:type="dxa"/>
            <w:vAlign w:val="bottom"/>
            <w:tcBorders>
              <w:top w:val="single" w:sz="8" w:color="0060ED"/>
              <w:bottom w:val="single" w:sz="8" w:color="CCEBF8"/>
            </w:tcBorders>
            <w:shd w:val="clear" w:color="auto" w:fill="CCEBF8"/>
          </w:tcPr>
          <w:p>
            <w:pPr>
              <w:spacing w:after="0"/>
              <w:rPr>
                <w:sz w:val="24"/>
                <w:szCs w:val="24"/>
                <w:color w:val="auto"/>
              </w:rPr>
            </w:pPr>
          </w:p>
        </w:tc>
        <w:tc>
          <w:tcPr>
            <w:tcW w:w="1720" w:type="dxa"/>
            <w:vAlign w:val="bottom"/>
            <w:tcBorders>
              <w:top w:val="single" w:sz="8" w:color="0060ED"/>
              <w:bottom w:val="single" w:sz="8" w:color="009BDE"/>
            </w:tcBorders>
            <w:gridSpan w:val="2"/>
            <w:shd w:val="clear" w:color="auto" w:fill="CCEBF8"/>
          </w:tcPr>
          <w:p>
            <w:pPr>
              <w:ind w:left="560"/>
              <w:spacing w:after="0"/>
              <w:rPr>
                <w:sz w:val="20"/>
                <w:szCs w:val="20"/>
                <w:color w:val="auto"/>
              </w:rPr>
            </w:pPr>
            <w:r>
              <w:rPr>
                <w:rFonts w:ascii="Arial" w:cs="Arial" w:eastAsia="Arial" w:hAnsi="Arial"/>
                <w:sz w:val="16"/>
                <w:szCs w:val="16"/>
                <w:b w:val="1"/>
                <w:bCs w:val="1"/>
                <w:color w:val="009BDE"/>
              </w:rPr>
              <w:t>Option Awards</w:t>
            </w:r>
          </w:p>
        </w:tc>
        <w:tc>
          <w:tcPr>
            <w:tcW w:w="580" w:type="dxa"/>
            <w:vAlign w:val="bottom"/>
            <w:tcBorders>
              <w:top w:val="single" w:sz="8" w:color="0060ED"/>
              <w:bottom w:val="single" w:sz="8" w:color="009BDE"/>
            </w:tcBorders>
            <w:shd w:val="clear" w:color="auto" w:fill="CCEBF8"/>
          </w:tcPr>
          <w:p>
            <w:pPr>
              <w:spacing w:after="0"/>
              <w:rPr>
                <w:sz w:val="24"/>
                <w:szCs w:val="24"/>
                <w:color w:val="auto"/>
              </w:rPr>
            </w:pPr>
          </w:p>
        </w:tc>
        <w:tc>
          <w:tcPr>
            <w:tcW w:w="100" w:type="dxa"/>
            <w:vAlign w:val="bottom"/>
            <w:tcBorders>
              <w:top w:val="single" w:sz="8" w:color="0060ED"/>
              <w:bottom w:val="single" w:sz="8" w:color="CCEBF8"/>
            </w:tcBorders>
            <w:shd w:val="clear" w:color="auto" w:fill="CCEBF8"/>
          </w:tcPr>
          <w:p>
            <w:pPr>
              <w:spacing w:after="0"/>
              <w:rPr>
                <w:sz w:val="24"/>
                <w:szCs w:val="24"/>
                <w:color w:val="auto"/>
              </w:rPr>
            </w:pPr>
          </w:p>
        </w:tc>
        <w:tc>
          <w:tcPr>
            <w:tcW w:w="2320" w:type="dxa"/>
            <w:vAlign w:val="bottom"/>
            <w:tcBorders>
              <w:top w:val="single" w:sz="8" w:color="0060ED"/>
              <w:bottom w:val="single" w:sz="8" w:color="009BDE"/>
            </w:tcBorders>
            <w:gridSpan w:val="3"/>
            <w:shd w:val="clear" w:color="auto" w:fill="CCEBF8"/>
          </w:tcPr>
          <w:p>
            <w:pPr>
              <w:jc w:val="right"/>
              <w:ind w:right="580"/>
              <w:spacing w:after="0"/>
              <w:rPr>
                <w:sz w:val="20"/>
                <w:szCs w:val="20"/>
                <w:color w:val="auto"/>
              </w:rPr>
            </w:pPr>
            <w:r>
              <w:rPr>
                <w:rFonts w:ascii="Arial" w:cs="Arial" w:eastAsia="Arial" w:hAnsi="Arial"/>
                <w:sz w:val="16"/>
                <w:szCs w:val="16"/>
                <w:b w:val="1"/>
                <w:bCs w:val="1"/>
                <w:color w:val="009BDE"/>
              </w:rPr>
              <w:t>Stock Awards</w:t>
            </w:r>
          </w:p>
        </w:tc>
        <w:tc>
          <w:tcPr>
            <w:tcW w:w="260" w:type="dxa"/>
            <w:vAlign w:val="bottom"/>
            <w:tcBorders>
              <w:top w:val="single" w:sz="8" w:color="0060ED"/>
              <w:bottom w:val="single" w:sz="8" w:color="CCEBF8"/>
            </w:tcBorders>
            <w:shd w:val="clear" w:color="auto" w:fill="CCEBF8"/>
          </w:tcPr>
          <w:p>
            <w:pPr>
              <w:spacing w:after="0"/>
              <w:rPr>
                <w:sz w:val="24"/>
                <w:szCs w:val="24"/>
                <w:color w:val="auto"/>
              </w:rPr>
            </w:pPr>
          </w:p>
        </w:tc>
      </w:tr>
      <w:tr>
        <w:trPr>
          <w:trHeight w:val="220"/>
        </w:trPr>
        <w:tc>
          <w:tcPr>
            <w:tcW w:w="5840" w:type="dxa"/>
            <w:vAlign w:val="bottom"/>
            <w:shd w:val="clear" w:color="auto" w:fill="CCEBF8"/>
          </w:tcPr>
          <w:p>
            <w:pPr>
              <w:spacing w:after="0"/>
              <w:rPr>
                <w:sz w:val="19"/>
                <w:szCs w:val="19"/>
                <w:color w:val="auto"/>
              </w:rPr>
            </w:pPr>
          </w:p>
        </w:tc>
        <w:tc>
          <w:tcPr>
            <w:tcW w:w="100" w:type="dxa"/>
            <w:vAlign w:val="bottom"/>
            <w:shd w:val="clear" w:color="auto" w:fill="CCEBF8"/>
          </w:tcPr>
          <w:p>
            <w:pPr>
              <w:spacing w:after="0"/>
              <w:rPr>
                <w:sz w:val="19"/>
                <w:szCs w:val="19"/>
                <w:color w:val="auto"/>
              </w:rPr>
            </w:pPr>
          </w:p>
        </w:tc>
        <w:tc>
          <w:tcPr>
            <w:tcW w:w="104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Number of</w:t>
            </w:r>
          </w:p>
        </w:tc>
        <w:tc>
          <w:tcPr>
            <w:tcW w:w="680" w:type="dxa"/>
            <w:vAlign w:val="bottom"/>
            <w:shd w:val="clear" w:color="auto" w:fill="CCEBF8"/>
          </w:tcPr>
          <w:p>
            <w:pPr>
              <w:spacing w:after="0"/>
              <w:rPr>
                <w:sz w:val="19"/>
                <w:szCs w:val="19"/>
                <w:color w:val="auto"/>
              </w:rPr>
            </w:pPr>
          </w:p>
        </w:tc>
        <w:tc>
          <w:tcPr>
            <w:tcW w:w="580" w:type="dxa"/>
            <w:vAlign w:val="bottom"/>
            <w:shd w:val="clear" w:color="auto" w:fill="CCEBF8"/>
          </w:tcPr>
          <w:p>
            <w:pPr>
              <w:spacing w:after="0"/>
              <w:rPr>
                <w:sz w:val="19"/>
                <w:szCs w:val="19"/>
                <w:color w:val="auto"/>
              </w:rPr>
            </w:pPr>
          </w:p>
        </w:tc>
        <w:tc>
          <w:tcPr>
            <w:tcW w:w="100" w:type="dxa"/>
            <w:vAlign w:val="bottom"/>
            <w:shd w:val="clear" w:color="auto" w:fill="CCEBF8"/>
          </w:tcPr>
          <w:p>
            <w:pPr>
              <w:spacing w:after="0"/>
              <w:rPr>
                <w:sz w:val="19"/>
                <w:szCs w:val="19"/>
                <w:color w:val="auto"/>
              </w:rPr>
            </w:pPr>
          </w:p>
        </w:tc>
        <w:tc>
          <w:tcPr>
            <w:tcW w:w="900" w:type="dxa"/>
            <w:vAlign w:val="bottom"/>
            <w:shd w:val="clear" w:color="auto" w:fill="CCEBF8"/>
          </w:tcPr>
          <w:p>
            <w:pPr>
              <w:jc w:val="right"/>
              <w:ind w:right="20"/>
              <w:spacing w:after="0"/>
              <w:rPr>
                <w:sz w:val="20"/>
                <w:szCs w:val="20"/>
                <w:color w:val="auto"/>
              </w:rPr>
            </w:pPr>
            <w:r>
              <w:rPr>
                <w:rFonts w:ascii="Arial" w:cs="Arial" w:eastAsia="Arial" w:hAnsi="Arial"/>
                <w:sz w:val="16"/>
                <w:szCs w:val="16"/>
                <w:b w:val="1"/>
                <w:bCs w:val="1"/>
                <w:color w:val="009BDE"/>
                <w:w w:val="97"/>
              </w:rPr>
              <w:t>Number of</w:t>
            </w:r>
          </w:p>
        </w:tc>
        <w:tc>
          <w:tcPr>
            <w:tcW w:w="240" w:type="dxa"/>
            <w:vAlign w:val="bottom"/>
            <w:shd w:val="clear" w:color="auto" w:fill="CCEBF8"/>
          </w:tcPr>
          <w:p>
            <w:pPr>
              <w:spacing w:after="0"/>
              <w:rPr>
                <w:sz w:val="19"/>
                <w:szCs w:val="19"/>
                <w:color w:val="auto"/>
              </w:rPr>
            </w:pPr>
          </w:p>
        </w:tc>
        <w:tc>
          <w:tcPr>
            <w:tcW w:w="1180" w:type="dxa"/>
            <w:vAlign w:val="bottom"/>
            <w:shd w:val="clear" w:color="auto" w:fill="CCEBF8"/>
          </w:tcPr>
          <w:p>
            <w:pPr>
              <w:spacing w:after="0"/>
              <w:rPr>
                <w:sz w:val="19"/>
                <w:szCs w:val="19"/>
                <w:color w:val="auto"/>
              </w:rPr>
            </w:pPr>
          </w:p>
        </w:tc>
        <w:tc>
          <w:tcPr>
            <w:tcW w:w="260" w:type="dxa"/>
            <w:vAlign w:val="bottom"/>
            <w:shd w:val="clear" w:color="auto" w:fill="CCEBF8"/>
          </w:tcPr>
          <w:p>
            <w:pPr>
              <w:spacing w:after="0"/>
              <w:rPr>
                <w:sz w:val="19"/>
                <w:szCs w:val="19"/>
                <w:color w:val="auto"/>
              </w:rPr>
            </w:pPr>
          </w:p>
        </w:tc>
      </w:tr>
      <w:tr>
        <w:trPr>
          <w:trHeight w:val="187"/>
        </w:trPr>
        <w:tc>
          <w:tcPr>
            <w:tcW w:w="5840" w:type="dxa"/>
            <w:vAlign w:val="bottom"/>
            <w:shd w:val="clear" w:color="auto" w:fill="CCEBF8"/>
          </w:tcPr>
          <w:p>
            <w:pPr>
              <w:spacing w:after="0"/>
              <w:rPr>
                <w:sz w:val="16"/>
                <w:szCs w:val="16"/>
                <w:color w:val="auto"/>
              </w:rPr>
            </w:pPr>
          </w:p>
        </w:tc>
        <w:tc>
          <w:tcPr>
            <w:tcW w:w="100" w:type="dxa"/>
            <w:vAlign w:val="bottom"/>
            <w:shd w:val="clear" w:color="auto" w:fill="CCEBF8"/>
          </w:tcPr>
          <w:p>
            <w:pPr>
              <w:spacing w:after="0"/>
              <w:rPr>
                <w:sz w:val="16"/>
                <w:szCs w:val="16"/>
                <w:color w:val="auto"/>
              </w:rPr>
            </w:pPr>
          </w:p>
        </w:tc>
        <w:tc>
          <w:tcPr>
            <w:tcW w:w="104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7"/>
              </w:rPr>
              <w:t>Shares</w:t>
            </w:r>
          </w:p>
        </w:tc>
        <w:tc>
          <w:tcPr>
            <w:tcW w:w="680" w:type="dxa"/>
            <w:vAlign w:val="bottom"/>
            <w:shd w:val="clear" w:color="auto" w:fill="CCEBF8"/>
          </w:tcPr>
          <w:p>
            <w:pPr>
              <w:spacing w:after="0"/>
              <w:rPr>
                <w:sz w:val="16"/>
                <w:szCs w:val="16"/>
                <w:color w:val="auto"/>
              </w:rPr>
            </w:pPr>
          </w:p>
        </w:tc>
        <w:tc>
          <w:tcPr>
            <w:tcW w:w="580" w:type="dxa"/>
            <w:vAlign w:val="bottom"/>
            <w:shd w:val="clear" w:color="auto" w:fill="CCEBF8"/>
          </w:tcPr>
          <w:p>
            <w:pPr>
              <w:spacing w:after="0"/>
              <w:rPr>
                <w:sz w:val="16"/>
                <w:szCs w:val="16"/>
                <w:color w:val="auto"/>
              </w:rPr>
            </w:pPr>
          </w:p>
        </w:tc>
        <w:tc>
          <w:tcPr>
            <w:tcW w:w="100" w:type="dxa"/>
            <w:vAlign w:val="bottom"/>
            <w:shd w:val="clear" w:color="auto" w:fill="CCEBF8"/>
          </w:tcPr>
          <w:p>
            <w:pPr>
              <w:spacing w:after="0"/>
              <w:rPr>
                <w:sz w:val="16"/>
                <w:szCs w:val="16"/>
                <w:color w:val="auto"/>
              </w:rPr>
            </w:pPr>
          </w:p>
        </w:tc>
        <w:tc>
          <w:tcPr>
            <w:tcW w:w="90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Shares</w:t>
            </w:r>
          </w:p>
        </w:tc>
        <w:tc>
          <w:tcPr>
            <w:tcW w:w="240" w:type="dxa"/>
            <w:vAlign w:val="bottom"/>
            <w:shd w:val="clear" w:color="auto" w:fill="CCEBF8"/>
          </w:tcPr>
          <w:p>
            <w:pPr>
              <w:spacing w:after="0"/>
              <w:rPr>
                <w:sz w:val="16"/>
                <w:szCs w:val="16"/>
                <w:color w:val="auto"/>
              </w:rPr>
            </w:pPr>
          </w:p>
        </w:tc>
        <w:tc>
          <w:tcPr>
            <w:tcW w:w="1180" w:type="dxa"/>
            <w:vAlign w:val="bottom"/>
            <w:shd w:val="clear" w:color="auto" w:fill="CCEBF8"/>
          </w:tcPr>
          <w:p>
            <w:pPr>
              <w:spacing w:after="0"/>
              <w:rPr>
                <w:sz w:val="16"/>
                <w:szCs w:val="16"/>
                <w:color w:val="auto"/>
              </w:rPr>
            </w:pPr>
          </w:p>
        </w:tc>
        <w:tc>
          <w:tcPr>
            <w:tcW w:w="260" w:type="dxa"/>
            <w:vAlign w:val="bottom"/>
            <w:shd w:val="clear" w:color="auto" w:fill="CCEBF8"/>
          </w:tcPr>
          <w:p>
            <w:pPr>
              <w:spacing w:after="0"/>
              <w:rPr>
                <w:sz w:val="16"/>
                <w:szCs w:val="16"/>
                <w:color w:val="auto"/>
              </w:rPr>
            </w:pPr>
          </w:p>
        </w:tc>
      </w:tr>
      <w:tr>
        <w:trPr>
          <w:trHeight w:val="187"/>
        </w:trPr>
        <w:tc>
          <w:tcPr>
            <w:tcW w:w="5840" w:type="dxa"/>
            <w:vAlign w:val="bottom"/>
            <w:shd w:val="clear" w:color="auto" w:fill="CCEBF8"/>
          </w:tcPr>
          <w:p>
            <w:pPr>
              <w:spacing w:after="0"/>
              <w:rPr>
                <w:sz w:val="16"/>
                <w:szCs w:val="16"/>
                <w:color w:val="auto"/>
              </w:rPr>
            </w:pPr>
          </w:p>
        </w:tc>
        <w:tc>
          <w:tcPr>
            <w:tcW w:w="100" w:type="dxa"/>
            <w:vAlign w:val="bottom"/>
            <w:shd w:val="clear" w:color="auto" w:fill="CCEBF8"/>
          </w:tcPr>
          <w:p>
            <w:pPr>
              <w:spacing w:after="0"/>
              <w:rPr>
                <w:sz w:val="16"/>
                <w:szCs w:val="16"/>
                <w:color w:val="auto"/>
              </w:rPr>
            </w:pPr>
          </w:p>
        </w:tc>
        <w:tc>
          <w:tcPr>
            <w:tcW w:w="1040" w:type="dxa"/>
            <w:vAlign w:val="bottom"/>
            <w:shd w:val="clear" w:color="auto" w:fill="CCEBF8"/>
          </w:tcPr>
          <w:p>
            <w:pPr>
              <w:jc w:val="right"/>
              <w:ind w:right="20"/>
              <w:spacing w:after="0"/>
              <w:rPr>
                <w:sz w:val="20"/>
                <w:szCs w:val="20"/>
                <w:color w:val="auto"/>
              </w:rPr>
            </w:pPr>
            <w:r>
              <w:rPr>
                <w:rFonts w:ascii="Arial" w:cs="Arial" w:eastAsia="Arial" w:hAnsi="Arial"/>
                <w:sz w:val="16"/>
                <w:szCs w:val="16"/>
                <w:b w:val="1"/>
                <w:bCs w:val="1"/>
                <w:color w:val="009BDE"/>
                <w:w w:val="98"/>
              </w:rPr>
              <w:t>Acquired on</w:t>
            </w:r>
          </w:p>
        </w:tc>
        <w:tc>
          <w:tcPr>
            <w:tcW w:w="1360" w:type="dxa"/>
            <w:vAlign w:val="bottom"/>
            <w:gridSpan w:val="3"/>
            <w:shd w:val="clear" w:color="auto" w:fill="CCEBF8"/>
          </w:tcPr>
          <w:p>
            <w:pPr>
              <w:ind w:left="80"/>
              <w:spacing w:after="0"/>
              <w:rPr>
                <w:sz w:val="20"/>
                <w:szCs w:val="20"/>
                <w:color w:val="auto"/>
              </w:rPr>
            </w:pPr>
            <w:r>
              <w:rPr>
                <w:rFonts w:ascii="Arial" w:cs="Arial" w:eastAsia="Arial" w:hAnsi="Arial"/>
                <w:sz w:val="16"/>
                <w:szCs w:val="16"/>
                <w:b w:val="1"/>
                <w:bCs w:val="1"/>
                <w:color w:val="009BDE"/>
              </w:rPr>
              <w:t>Value Realized</w:t>
            </w:r>
          </w:p>
        </w:tc>
        <w:tc>
          <w:tcPr>
            <w:tcW w:w="90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Acquired</w:t>
            </w:r>
          </w:p>
        </w:tc>
        <w:tc>
          <w:tcPr>
            <w:tcW w:w="1420" w:type="dxa"/>
            <w:vAlign w:val="bottom"/>
            <w:gridSpan w:val="2"/>
            <w:shd w:val="clear" w:color="auto" w:fill="CCEBF8"/>
          </w:tcPr>
          <w:p>
            <w:pPr>
              <w:ind w:left="80"/>
              <w:spacing w:after="0"/>
              <w:rPr>
                <w:sz w:val="20"/>
                <w:szCs w:val="20"/>
                <w:color w:val="auto"/>
              </w:rPr>
            </w:pPr>
            <w:r>
              <w:rPr>
                <w:rFonts w:ascii="Arial" w:cs="Arial" w:eastAsia="Arial" w:hAnsi="Arial"/>
                <w:sz w:val="16"/>
                <w:szCs w:val="16"/>
                <w:b w:val="1"/>
                <w:bCs w:val="1"/>
                <w:color w:val="009BDE"/>
              </w:rPr>
              <w:t>  Value Realized</w:t>
            </w:r>
          </w:p>
        </w:tc>
        <w:tc>
          <w:tcPr>
            <w:tcW w:w="260" w:type="dxa"/>
            <w:vAlign w:val="bottom"/>
            <w:shd w:val="clear" w:color="auto" w:fill="CCEBF8"/>
          </w:tcPr>
          <w:p>
            <w:pPr>
              <w:spacing w:after="0"/>
              <w:rPr>
                <w:sz w:val="16"/>
                <w:szCs w:val="16"/>
                <w:color w:val="auto"/>
              </w:rPr>
            </w:pPr>
          </w:p>
        </w:tc>
      </w:tr>
      <w:tr>
        <w:trPr>
          <w:trHeight w:val="187"/>
        </w:trPr>
        <w:tc>
          <w:tcPr>
            <w:tcW w:w="5840" w:type="dxa"/>
            <w:vAlign w:val="bottom"/>
            <w:shd w:val="clear" w:color="auto" w:fill="CCEBF8"/>
          </w:tcPr>
          <w:p>
            <w:pPr>
              <w:spacing w:after="0"/>
              <w:rPr>
                <w:sz w:val="16"/>
                <w:szCs w:val="16"/>
                <w:color w:val="auto"/>
              </w:rPr>
            </w:pPr>
          </w:p>
        </w:tc>
        <w:tc>
          <w:tcPr>
            <w:tcW w:w="100" w:type="dxa"/>
            <w:vAlign w:val="bottom"/>
            <w:shd w:val="clear" w:color="auto" w:fill="CCEBF8"/>
          </w:tcPr>
          <w:p>
            <w:pPr>
              <w:spacing w:after="0"/>
              <w:rPr>
                <w:sz w:val="16"/>
                <w:szCs w:val="16"/>
                <w:color w:val="auto"/>
              </w:rPr>
            </w:pPr>
          </w:p>
        </w:tc>
        <w:tc>
          <w:tcPr>
            <w:tcW w:w="104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Exercise</w:t>
            </w:r>
          </w:p>
        </w:tc>
        <w:tc>
          <w:tcPr>
            <w:tcW w:w="1360" w:type="dxa"/>
            <w:vAlign w:val="bottom"/>
            <w:gridSpan w:val="3"/>
            <w:shd w:val="clear" w:color="auto" w:fill="CCEBF8"/>
          </w:tcPr>
          <w:p>
            <w:pPr>
              <w:ind w:left="180"/>
              <w:spacing w:after="0"/>
              <w:rPr>
                <w:sz w:val="20"/>
                <w:szCs w:val="20"/>
                <w:color w:val="auto"/>
              </w:rPr>
            </w:pPr>
            <w:r>
              <w:rPr>
                <w:rFonts w:ascii="Arial" w:cs="Arial" w:eastAsia="Arial" w:hAnsi="Arial"/>
                <w:sz w:val="16"/>
                <w:szCs w:val="16"/>
                <w:b w:val="1"/>
                <w:bCs w:val="1"/>
                <w:color w:val="009BDE"/>
              </w:rPr>
              <w:t>On Exercise</w:t>
            </w:r>
          </w:p>
        </w:tc>
        <w:tc>
          <w:tcPr>
            <w:tcW w:w="900" w:type="dxa"/>
            <w:vAlign w:val="bottom"/>
            <w:shd w:val="clear" w:color="auto" w:fill="CCEBF8"/>
          </w:tcPr>
          <w:p>
            <w:pPr>
              <w:jc w:val="right"/>
              <w:spacing w:after="0"/>
              <w:rPr>
                <w:sz w:val="20"/>
                <w:szCs w:val="20"/>
                <w:color w:val="auto"/>
              </w:rPr>
            </w:pPr>
            <w:r>
              <w:rPr>
                <w:rFonts w:ascii="Arial" w:cs="Arial" w:eastAsia="Arial" w:hAnsi="Arial"/>
                <w:sz w:val="16"/>
                <w:szCs w:val="16"/>
                <w:b w:val="1"/>
                <w:bCs w:val="1"/>
                <w:color w:val="009BDE"/>
                <w:w w:val="97"/>
              </w:rPr>
              <w:t>on Vesting</w:t>
            </w:r>
          </w:p>
        </w:tc>
        <w:tc>
          <w:tcPr>
            <w:tcW w:w="240" w:type="dxa"/>
            <w:vAlign w:val="bottom"/>
            <w:shd w:val="clear" w:color="auto" w:fill="CCEBF8"/>
          </w:tcPr>
          <w:p>
            <w:pPr>
              <w:spacing w:after="0"/>
              <w:rPr>
                <w:sz w:val="16"/>
                <w:szCs w:val="16"/>
                <w:color w:val="auto"/>
              </w:rPr>
            </w:pPr>
          </w:p>
        </w:tc>
        <w:tc>
          <w:tcPr>
            <w:tcW w:w="1180" w:type="dxa"/>
            <w:vAlign w:val="bottom"/>
            <w:shd w:val="clear" w:color="auto" w:fill="CCEBF8"/>
          </w:tcPr>
          <w:p>
            <w:pPr>
              <w:jc w:val="right"/>
              <w:ind w:right="200"/>
              <w:spacing w:after="0"/>
              <w:rPr>
                <w:sz w:val="20"/>
                <w:szCs w:val="20"/>
                <w:color w:val="auto"/>
              </w:rPr>
            </w:pPr>
            <w:r>
              <w:rPr>
                <w:rFonts w:ascii="Arial" w:cs="Arial" w:eastAsia="Arial" w:hAnsi="Arial"/>
                <w:sz w:val="16"/>
                <w:szCs w:val="16"/>
                <w:b w:val="1"/>
                <w:bCs w:val="1"/>
                <w:color w:val="009BDE"/>
              </w:rPr>
              <w:t>On Vesting</w:t>
            </w:r>
          </w:p>
        </w:tc>
        <w:tc>
          <w:tcPr>
            <w:tcW w:w="260" w:type="dxa"/>
            <w:vAlign w:val="bottom"/>
            <w:shd w:val="clear" w:color="auto" w:fill="CCEBF8"/>
          </w:tcPr>
          <w:p>
            <w:pPr>
              <w:spacing w:after="0"/>
              <w:rPr>
                <w:sz w:val="16"/>
                <w:szCs w:val="16"/>
                <w:color w:val="auto"/>
              </w:rPr>
            </w:pPr>
          </w:p>
        </w:tc>
      </w:tr>
      <w:tr>
        <w:trPr>
          <w:trHeight w:val="235"/>
        </w:trPr>
        <w:tc>
          <w:tcPr>
            <w:tcW w:w="5840" w:type="dxa"/>
            <w:vAlign w:val="bottom"/>
            <w:shd w:val="clear" w:color="auto" w:fill="CCEBF8"/>
          </w:tcPr>
          <w:p>
            <w:pPr>
              <w:spacing w:after="0"/>
              <w:rPr>
                <w:sz w:val="20"/>
                <w:szCs w:val="20"/>
                <w:color w:val="auto"/>
              </w:rPr>
            </w:pPr>
            <w:r>
              <w:rPr>
                <w:rFonts w:ascii="Arial" w:cs="Arial" w:eastAsia="Arial" w:hAnsi="Arial"/>
                <w:sz w:val="16"/>
                <w:szCs w:val="16"/>
                <w:b w:val="1"/>
                <w:bCs w:val="1"/>
                <w:color w:val="009BDE"/>
              </w:rPr>
              <w:t>  Name</w:t>
            </w:r>
          </w:p>
        </w:tc>
        <w:tc>
          <w:tcPr>
            <w:tcW w:w="1140" w:type="dxa"/>
            <w:vAlign w:val="bottom"/>
            <w:gridSpan w:val="2"/>
            <w:shd w:val="clear" w:color="auto" w:fill="CCEBF8"/>
          </w:tcPr>
          <w:p>
            <w:pPr>
              <w:jc w:val="center"/>
              <w:spacing w:after="0"/>
              <w:rPr>
                <w:sz w:val="20"/>
                <w:szCs w:val="20"/>
                <w:color w:val="auto"/>
              </w:rPr>
            </w:pPr>
            <w:r>
              <w:rPr>
                <w:rFonts w:ascii="Arial" w:cs="Arial" w:eastAsia="Arial" w:hAnsi="Arial"/>
                <w:sz w:val="16"/>
                <w:szCs w:val="16"/>
                <w:b w:val="1"/>
                <w:bCs w:val="1"/>
                <w:color w:val="009BDE"/>
              </w:rPr>
              <w:t>(#)</w:t>
            </w:r>
          </w:p>
        </w:tc>
        <w:tc>
          <w:tcPr>
            <w:tcW w:w="680" w:type="dxa"/>
            <w:vAlign w:val="bottom"/>
            <w:shd w:val="clear" w:color="auto" w:fill="CCEBF8"/>
          </w:tcPr>
          <w:p>
            <w:pPr>
              <w:ind w:left="540"/>
              <w:spacing w:after="0"/>
              <w:rPr>
                <w:sz w:val="20"/>
                <w:szCs w:val="20"/>
                <w:color w:val="auto"/>
              </w:rPr>
            </w:pPr>
            <w:r>
              <w:rPr>
                <w:rFonts w:ascii="Arial" w:cs="Arial" w:eastAsia="Arial" w:hAnsi="Arial"/>
                <w:sz w:val="16"/>
                <w:szCs w:val="16"/>
                <w:b w:val="1"/>
                <w:bCs w:val="1"/>
                <w:color w:val="009BDE"/>
                <w:w w:val="84"/>
              </w:rPr>
              <w:t>($</w:t>
            </w:r>
          </w:p>
        </w:tc>
        <w:tc>
          <w:tcPr>
            <w:tcW w:w="580" w:type="dxa"/>
            <w:vAlign w:val="bottom"/>
            <w:shd w:val="clear" w:color="auto" w:fill="CCEBF8"/>
          </w:tcPr>
          <w:p>
            <w:pPr>
              <w:spacing w:after="0"/>
              <w:rPr>
                <w:sz w:val="20"/>
                <w:szCs w:val="20"/>
                <w:color w:val="auto"/>
              </w:rPr>
            </w:pPr>
            <w:r>
              <w:rPr>
                <w:rFonts w:ascii="Arial" w:cs="Arial" w:eastAsia="Arial" w:hAnsi="Arial"/>
                <w:sz w:val="16"/>
                <w:szCs w:val="16"/>
                <w:b w:val="1"/>
                <w:bCs w:val="1"/>
                <w:color w:val="009BDE"/>
              </w:rPr>
              <w:t>)</w:t>
            </w:r>
          </w:p>
        </w:tc>
        <w:tc>
          <w:tcPr>
            <w:tcW w:w="100" w:type="dxa"/>
            <w:vAlign w:val="bottom"/>
            <w:shd w:val="clear" w:color="auto" w:fill="CCEBF8"/>
          </w:tcPr>
          <w:p>
            <w:pPr>
              <w:spacing w:after="0"/>
              <w:rPr>
                <w:sz w:val="20"/>
                <w:szCs w:val="20"/>
                <w:color w:val="auto"/>
              </w:rPr>
            </w:pPr>
          </w:p>
        </w:tc>
        <w:tc>
          <w:tcPr>
            <w:tcW w:w="900" w:type="dxa"/>
            <w:vAlign w:val="bottom"/>
            <w:shd w:val="clear" w:color="auto" w:fill="CCEBF8"/>
          </w:tcPr>
          <w:p>
            <w:pPr>
              <w:jc w:val="center"/>
              <w:ind w:right="20"/>
              <w:spacing w:after="0"/>
              <w:rPr>
                <w:sz w:val="20"/>
                <w:szCs w:val="20"/>
                <w:color w:val="auto"/>
              </w:rPr>
            </w:pPr>
            <w:r>
              <w:rPr>
                <w:rFonts w:ascii="Arial" w:cs="Arial" w:eastAsia="Arial" w:hAnsi="Arial"/>
                <w:sz w:val="16"/>
                <w:szCs w:val="16"/>
                <w:b w:val="1"/>
                <w:bCs w:val="1"/>
                <w:color w:val="009BDE"/>
              </w:rPr>
              <w:t>(#)</w:t>
            </w:r>
          </w:p>
        </w:tc>
        <w:tc>
          <w:tcPr>
            <w:tcW w:w="240" w:type="dxa"/>
            <w:vAlign w:val="bottom"/>
            <w:shd w:val="clear" w:color="auto" w:fill="CCEBF8"/>
          </w:tcPr>
          <w:p>
            <w:pPr>
              <w:spacing w:after="0"/>
              <w:rPr>
                <w:sz w:val="20"/>
                <w:szCs w:val="20"/>
                <w:color w:val="auto"/>
              </w:rPr>
            </w:pPr>
          </w:p>
        </w:tc>
        <w:tc>
          <w:tcPr>
            <w:tcW w:w="1180" w:type="dxa"/>
            <w:vAlign w:val="bottom"/>
            <w:shd w:val="clear" w:color="auto" w:fill="CCEBF8"/>
          </w:tcPr>
          <w:p>
            <w:pPr>
              <w:jc w:val="right"/>
              <w:ind w:right="520"/>
              <w:spacing w:after="0"/>
              <w:rPr>
                <w:sz w:val="20"/>
                <w:szCs w:val="20"/>
                <w:color w:val="auto"/>
              </w:rPr>
            </w:pPr>
            <w:r>
              <w:rPr>
                <w:rFonts w:ascii="Arial" w:cs="Arial" w:eastAsia="Arial" w:hAnsi="Arial"/>
                <w:sz w:val="16"/>
                <w:szCs w:val="16"/>
                <w:b w:val="1"/>
                <w:bCs w:val="1"/>
                <w:color w:val="009BDE"/>
              </w:rPr>
              <w:t>($)</w:t>
            </w:r>
          </w:p>
        </w:tc>
        <w:tc>
          <w:tcPr>
            <w:tcW w:w="260" w:type="dxa"/>
            <w:vAlign w:val="bottom"/>
            <w:shd w:val="clear" w:color="auto" w:fill="CCEBF8"/>
          </w:tcPr>
          <w:p>
            <w:pPr>
              <w:spacing w:after="0"/>
              <w:rPr>
                <w:sz w:val="20"/>
                <w:szCs w:val="20"/>
                <w:color w:val="auto"/>
              </w:rPr>
            </w:pPr>
          </w:p>
        </w:tc>
      </w:tr>
      <w:tr>
        <w:trPr>
          <w:trHeight w:val="114"/>
        </w:trPr>
        <w:tc>
          <w:tcPr>
            <w:tcW w:w="5840" w:type="dxa"/>
            <w:vAlign w:val="bottom"/>
            <w:tcBorders>
              <w:bottom w:val="single" w:sz="8" w:color="009BDE"/>
            </w:tcBorders>
            <w:shd w:val="clear" w:color="auto" w:fill="CCEBF8"/>
          </w:tcPr>
          <w:p>
            <w:pPr>
              <w:spacing w:after="0"/>
              <w:rPr>
                <w:sz w:val="9"/>
                <w:szCs w:val="9"/>
                <w:color w:val="auto"/>
              </w:rPr>
            </w:pPr>
          </w:p>
        </w:tc>
        <w:tc>
          <w:tcPr>
            <w:tcW w:w="100" w:type="dxa"/>
            <w:vAlign w:val="bottom"/>
            <w:tcBorders>
              <w:bottom w:val="single" w:sz="8" w:color="009BDE"/>
            </w:tcBorders>
            <w:shd w:val="clear" w:color="auto" w:fill="CCEBF8"/>
          </w:tcPr>
          <w:p>
            <w:pPr>
              <w:spacing w:after="0"/>
              <w:rPr>
                <w:sz w:val="9"/>
                <w:szCs w:val="9"/>
                <w:color w:val="auto"/>
              </w:rPr>
            </w:pPr>
          </w:p>
        </w:tc>
        <w:tc>
          <w:tcPr>
            <w:tcW w:w="1040" w:type="dxa"/>
            <w:vAlign w:val="bottom"/>
            <w:tcBorders>
              <w:bottom w:val="single" w:sz="8" w:color="009BDE"/>
            </w:tcBorders>
            <w:shd w:val="clear" w:color="auto" w:fill="CCEBF8"/>
          </w:tcPr>
          <w:p>
            <w:pPr>
              <w:spacing w:after="0"/>
              <w:rPr>
                <w:sz w:val="9"/>
                <w:szCs w:val="9"/>
                <w:color w:val="auto"/>
              </w:rPr>
            </w:pPr>
          </w:p>
        </w:tc>
        <w:tc>
          <w:tcPr>
            <w:tcW w:w="680" w:type="dxa"/>
            <w:vAlign w:val="bottom"/>
            <w:tcBorders>
              <w:bottom w:val="single" w:sz="8" w:color="009BDE"/>
            </w:tcBorders>
            <w:shd w:val="clear" w:color="auto" w:fill="CCEBF8"/>
          </w:tcPr>
          <w:p>
            <w:pPr>
              <w:spacing w:after="0"/>
              <w:rPr>
                <w:sz w:val="9"/>
                <w:szCs w:val="9"/>
                <w:color w:val="auto"/>
              </w:rPr>
            </w:pPr>
          </w:p>
        </w:tc>
        <w:tc>
          <w:tcPr>
            <w:tcW w:w="580" w:type="dxa"/>
            <w:vAlign w:val="bottom"/>
            <w:tcBorders>
              <w:bottom w:val="single" w:sz="8" w:color="009BDE"/>
            </w:tcBorders>
            <w:shd w:val="clear" w:color="auto" w:fill="CCEBF8"/>
          </w:tcPr>
          <w:p>
            <w:pPr>
              <w:spacing w:after="0"/>
              <w:rPr>
                <w:sz w:val="9"/>
                <w:szCs w:val="9"/>
                <w:color w:val="auto"/>
              </w:rPr>
            </w:pPr>
          </w:p>
        </w:tc>
        <w:tc>
          <w:tcPr>
            <w:tcW w:w="100" w:type="dxa"/>
            <w:vAlign w:val="bottom"/>
            <w:tcBorders>
              <w:bottom w:val="single" w:sz="8" w:color="009BDE"/>
            </w:tcBorders>
            <w:shd w:val="clear" w:color="auto" w:fill="CCEBF8"/>
          </w:tcPr>
          <w:p>
            <w:pPr>
              <w:spacing w:after="0"/>
              <w:rPr>
                <w:sz w:val="9"/>
                <w:szCs w:val="9"/>
                <w:color w:val="auto"/>
              </w:rPr>
            </w:pPr>
          </w:p>
        </w:tc>
        <w:tc>
          <w:tcPr>
            <w:tcW w:w="900" w:type="dxa"/>
            <w:vAlign w:val="bottom"/>
            <w:tcBorders>
              <w:bottom w:val="single" w:sz="8" w:color="009BDE"/>
            </w:tcBorders>
            <w:shd w:val="clear" w:color="auto" w:fill="CCEBF8"/>
          </w:tcPr>
          <w:p>
            <w:pPr>
              <w:spacing w:after="0"/>
              <w:rPr>
                <w:sz w:val="9"/>
                <w:szCs w:val="9"/>
                <w:color w:val="auto"/>
              </w:rPr>
            </w:pPr>
          </w:p>
        </w:tc>
        <w:tc>
          <w:tcPr>
            <w:tcW w:w="240" w:type="dxa"/>
            <w:vAlign w:val="bottom"/>
            <w:tcBorders>
              <w:bottom w:val="single" w:sz="8" w:color="009BDE"/>
            </w:tcBorders>
            <w:shd w:val="clear" w:color="auto" w:fill="CCEBF8"/>
          </w:tcPr>
          <w:p>
            <w:pPr>
              <w:spacing w:after="0"/>
              <w:rPr>
                <w:sz w:val="9"/>
                <w:szCs w:val="9"/>
                <w:color w:val="auto"/>
              </w:rPr>
            </w:pPr>
          </w:p>
        </w:tc>
        <w:tc>
          <w:tcPr>
            <w:tcW w:w="1180" w:type="dxa"/>
            <w:vAlign w:val="bottom"/>
            <w:tcBorders>
              <w:bottom w:val="single" w:sz="8" w:color="009BDE"/>
            </w:tcBorders>
            <w:shd w:val="clear" w:color="auto" w:fill="CCEBF8"/>
          </w:tcPr>
          <w:p>
            <w:pPr>
              <w:spacing w:after="0"/>
              <w:rPr>
                <w:sz w:val="9"/>
                <w:szCs w:val="9"/>
                <w:color w:val="auto"/>
              </w:rPr>
            </w:pPr>
          </w:p>
        </w:tc>
        <w:tc>
          <w:tcPr>
            <w:tcW w:w="260" w:type="dxa"/>
            <w:vAlign w:val="bottom"/>
            <w:tcBorders>
              <w:bottom w:val="single" w:sz="8" w:color="009BDE"/>
            </w:tcBorders>
            <w:shd w:val="clear" w:color="auto" w:fill="CCEBF8"/>
          </w:tcPr>
          <w:p>
            <w:pPr>
              <w:spacing w:after="0"/>
              <w:rPr>
                <w:sz w:val="9"/>
                <w:szCs w:val="9"/>
                <w:color w:val="auto"/>
              </w:rPr>
            </w:pPr>
          </w:p>
        </w:tc>
      </w:tr>
      <w:tr>
        <w:trPr>
          <w:trHeight w:val="284"/>
        </w:trPr>
        <w:tc>
          <w:tcPr>
            <w:tcW w:w="5840" w:type="dxa"/>
            <w:vAlign w:val="bottom"/>
          </w:tcPr>
          <w:p>
            <w:pPr>
              <w:ind w:left="80"/>
              <w:spacing w:after="0"/>
              <w:rPr>
                <w:sz w:val="20"/>
                <w:szCs w:val="20"/>
                <w:color w:val="auto"/>
              </w:rPr>
            </w:pPr>
            <w:r>
              <w:rPr>
                <w:rFonts w:ascii="Arial" w:cs="Arial" w:eastAsia="Arial" w:hAnsi="Arial"/>
                <w:sz w:val="16"/>
                <w:szCs w:val="16"/>
                <w:color w:val="auto"/>
              </w:rPr>
              <w:t>Chris Cocks</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680" w:type="dxa"/>
            <w:vAlign w:val="bottom"/>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67,488</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4,412,850</w:t>
            </w:r>
          </w:p>
        </w:tc>
        <w:tc>
          <w:tcPr>
            <w:tcW w:w="260" w:type="dxa"/>
            <w:vAlign w:val="bottom"/>
          </w:tcPr>
          <w:p>
            <w:pPr>
              <w:ind w:left="180"/>
              <w:spacing w:after="0"/>
              <w:rPr>
                <w:sz w:val="20"/>
                <w:szCs w:val="20"/>
                <w:color w:val="auto"/>
              </w:rPr>
            </w:pPr>
            <w:r>
              <w:rPr>
                <w:rFonts w:ascii="Arial" w:cs="Arial" w:eastAsia="Arial" w:hAnsi="Arial"/>
                <w:sz w:val="16"/>
                <w:szCs w:val="16"/>
                <w:color w:val="auto"/>
                <w:w w:val="77"/>
              </w:rPr>
              <w:t>  </w:t>
            </w:r>
          </w:p>
        </w:tc>
      </w:tr>
      <w:tr>
        <w:trPr>
          <w:trHeight w:val="97"/>
        </w:trPr>
        <w:tc>
          <w:tcPr>
            <w:tcW w:w="584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r>
      <w:tr>
        <w:trPr>
          <w:trHeight w:val="284"/>
        </w:trPr>
        <w:tc>
          <w:tcPr>
            <w:tcW w:w="5840" w:type="dxa"/>
            <w:vAlign w:val="bottom"/>
          </w:tcPr>
          <w:p>
            <w:pPr>
              <w:ind w:left="80"/>
              <w:spacing w:after="0"/>
              <w:rPr>
                <w:sz w:val="20"/>
                <w:szCs w:val="20"/>
                <w:color w:val="auto"/>
              </w:rPr>
            </w:pPr>
            <w:r>
              <w:rPr>
                <w:rFonts w:ascii="Arial" w:cs="Arial" w:eastAsia="Arial" w:hAnsi="Arial"/>
                <w:sz w:val="16"/>
                <w:szCs w:val="16"/>
                <w:color w:val="auto"/>
              </w:rPr>
              <w:t>Gina Goetter</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680" w:type="dxa"/>
            <w:vAlign w:val="bottom"/>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38,648</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2,537,667</w:t>
            </w:r>
          </w:p>
        </w:tc>
        <w:tc>
          <w:tcPr>
            <w:tcW w:w="260" w:type="dxa"/>
            <w:vAlign w:val="bottom"/>
          </w:tcPr>
          <w:p>
            <w:pPr>
              <w:spacing w:after="0"/>
              <w:rPr>
                <w:sz w:val="24"/>
                <w:szCs w:val="24"/>
                <w:color w:val="auto"/>
              </w:rPr>
            </w:pPr>
          </w:p>
        </w:tc>
      </w:tr>
      <w:tr>
        <w:trPr>
          <w:trHeight w:val="97"/>
        </w:trPr>
        <w:tc>
          <w:tcPr>
            <w:tcW w:w="584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r>
      <w:tr>
        <w:trPr>
          <w:trHeight w:val="284"/>
        </w:trPr>
        <w:tc>
          <w:tcPr>
            <w:tcW w:w="5840" w:type="dxa"/>
            <w:vAlign w:val="bottom"/>
          </w:tcPr>
          <w:p>
            <w:pPr>
              <w:ind w:left="80"/>
              <w:spacing w:after="0"/>
              <w:rPr>
                <w:sz w:val="20"/>
                <w:szCs w:val="20"/>
                <w:color w:val="auto"/>
              </w:rPr>
            </w:pPr>
            <w:r>
              <w:rPr>
                <w:rFonts w:ascii="Arial" w:cs="Arial" w:eastAsia="Arial" w:hAnsi="Arial"/>
                <w:sz w:val="16"/>
                <w:szCs w:val="16"/>
                <w:color w:val="auto"/>
              </w:rPr>
              <w:t>John Hight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680" w:type="dxa"/>
            <w:vAlign w:val="bottom"/>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18,515</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1,494,531</w:t>
            </w:r>
          </w:p>
        </w:tc>
        <w:tc>
          <w:tcPr>
            <w:tcW w:w="260" w:type="dxa"/>
            <w:vAlign w:val="bottom"/>
          </w:tcPr>
          <w:p>
            <w:pPr>
              <w:spacing w:after="0"/>
              <w:rPr>
                <w:sz w:val="24"/>
                <w:szCs w:val="24"/>
                <w:color w:val="auto"/>
              </w:rPr>
            </w:pPr>
          </w:p>
        </w:tc>
      </w:tr>
      <w:tr>
        <w:trPr>
          <w:trHeight w:val="97"/>
        </w:trPr>
        <w:tc>
          <w:tcPr>
            <w:tcW w:w="584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r>
      <w:tr>
        <w:trPr>
          <w:trHeight w:val="284"/>
        </w:trPr>
        <w:tc>
          <w:tcPr>
            <w:tcW w:w="5840" w:type="dxa"/>
            <w:vAlign w:val="bottom"/>
          </w:tcPr>
          <w:p>
            <w:pPr>
              <w:ind w:left="80"/>
              <w:spacing w:after="0"/>
              <w:rPr>
                <w:sz w:val="20"/>
                <w:szCs w:val="20"/>
                <w:color w:val="auto"/>
              </w:rPr>
            </w:pPr>
            <w:r>
              <w:rPr>
                <w:rFonts w:ascii="Arial" w:cs="Arial" w:eastAsia="Arial" w:hAnsi="Arial"/>
                <w:sz w:val="16"/>
                <w:szCs w:val="16"/>
                <w:color w:val="auto"/>
              </w:rPr>
              <w:t>Tim Kilpin</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680" w:type="dxa"/>
            <w:vAlign w:val="bottom"/>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24,264</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1,591,802</w:t>
            </w:r>
          </w:p>
        </w:tc>
        <w:tc>
          <w:tcPr>
            <w:tcW w:w="260" w:type="dxa"/>
            <w:vAlign w:val="bottom"/>
          </w:tcPr>
          <w:p>
            <w:pPr>
              <w:spacing w:after="0"/>
              <w:rPr>
                <w:sz w:val="24"/>
                <w:szCs w:val="24"/>
                <w:color w:val="auto"/>
              </w:rPr>
            </w:pPr>
          </w:p>
        </w:tc>
      </w:tr>
      <w:tr>
        <w:trPr>
          <w:trHeight w:val="97"/>
        </w:trPr>
        <w:tc>
          <w:tcPr>
            <w:tcW w:w="584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r>
      <w:tr>
        <w:trPr>
          <w:trHeight w:val="284"/>
        </w:trPr>
        <w:tc>
          <w:tcPr>
            <w:tcW w:w="5840" w:type="dxa"/>
            <w:vAlign w:val="bottom"/>
          </w:tcPr>
          <w:p>
            <w:pPr>
              <w:ind w:left="80"/>
              <w:spacing w:after="0"/>
              <w:rPr>
                <w:sz w:val="20"/>
                <w:szCs w:val="20"/>
                <w:color w:val="auto"/>
              </w:rPr>
            </w:pPr>
            <w:r>
              <w:rPr>
                <w:rFonts w:ascii="Arial" w:cs="Arial" w:eastAsia="Arial" w:hAnsi="Arial"/>
                <w:sz w:val="16"/>
                <w:szCs w:val="16"/>
                <w:color w:val="auto"/>
              </w:rPr>
              <w:t>Tarrant Sibley</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680" w:type="dxa"/>
            <w:vAlign w:val="bottom"/>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12,559</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820,822</w:t>
            </w:r>
          </w:p>
        </w:tc>
        <w:tc>
          <w:tcPr>
            <w:tcW w:w="260" w:type="dxa"/>
            <w:vAlign w:val="bottom"/>
          </w:tcPr>
          <w:p>
            <w:pPr>
              <w:spacing w:after="0"/>
              <w:rPr>
                <w:sz w:val="24"/>
                <w:szCs w:val="24"/>
                <w:color w:val="auto"/>
              </w:rPr>
            </w:pPr>
          </w:p>
        </w:tc>
      </w:tr>
      <w:tr>
        <w:trPr>
          <w:trHeight w:val="97"/>
        </w:trPr>
        <w:tc>
          <w:tcPr>
            <w:tcW w:w="584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r>
    </w:tbl>
    <w:p>
      <w:pPr>
        <w:spacing w:after="0" w:line="200"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auto"/>
        </w:rPr>
        <w:t>The following table sets forth information regarding each of our NEOs’ years of credited service and accrued pension benefits with the Company under plans providing specified retirement payments and benefits, including tax-qualified defined benefit plans and supplemental executive retirement plans, but excluding tax-qualified defined measurement dates used for financial reporting purposes for the Company’s 2025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29755" cy="33147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6929755" cy="331470"/>
                    </a:xfrm>
                    <a:prstGeom prst="rect">
                      <a:avLst/>
                    </a:prstGeom>
                    <a:noFill/>
                  </pic:spPr>
                </pic:pic>
              </a:graphicData>
            </a:graphic>
          </wp:anchor>
        </w:drawing>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Retirement Plan Annual Benefits and Payments</w:t>
      </w:r>
    </w:p>
    <w:p>
      <w:pPr>
        <w:spacing w:after="0" w:line="75"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2520" w:type="dxa"/>
            <w:vAlign w:val="bottom"/>
            <w:tcBorders>
              <w:top w:val="single" w:sz="8" w:color="0060ED"/>
            </w:tcBorders>
            <w:shd w:val="clear" w:color="auto" w:fill="CCEBF8"/>
          </w:tcPr>
          <w:p>
            <w:pPr>
              <w:spacing w:after="0"/>
              <w:rPr>
                <w:sz w:val="24"/>
                <w:szCs w:val="24"/>
                <w:color w:val="auto"/>
              </w:rPr>
            </w:pPr>
          </w:p>
        </w:tc>
        <w:tc>
          <w:tcPr>
            <w:tcW w:w="2380" w:type="dxa"/>
            <w:vAlign w:val="bottom"/>
            <w:tcBorders>
              <w:top w:val="single" w:sz="8" w:color="0060ED"/>
            </w:tcBorders>
            <w:shd w:val="clear" w:color="auto" w:fill="CCEBF8"/>
          </w:tcPr>
          <w:p>
            <w:pPr>
              <w:spacing w:after="0"/>
              <w:rPr>
                <w:sz w:val="24"/>
                <w:szCs w:val="24"/>
                <w:color w:val="auto"/>
              </w:rPr>
            </w:pPr>
          </w:p>
        </w:tc>
        <w:tc>
          <w:tcPr>
            <w:tcW w:w="2020" w:type="dxa"/>
            <w:vAlign w:val="bottom"/>
            <w:tcBorders>
              <w:top w:val="single" w:sz="8" w:color="0060ED"/>
            </w:tcBorders>
            <w:shd w:val="clear" w:color="auto" w:fill="CCEBF8"/>
          </w:tcPr>
          <w:p>
            <w:pPr>
              <w:spacing w:after="0"/>
              <w:rPr>
                <w:sz w:val="24"/>
                <w:szCs w:val="24"/>
                <w:color w:val="auto"/>
              </w:rPr>
            </w:pPr>
          </w:p>
        </w:tc>
        <w:tc>
          <w:tcPr>
            <w:tcW w:w="440" w:type="dxa"/>
            <w:vAlign w:val="bottom"/>
            <w:tcBorders>
              <w:top w:val="single" w:sz="8" w:color="0060ED"/>
            </w:tcBorders>
            <w:shd w:val="clear" w:color="auto" w:fill="CCEBF8"/>
          </w:tcPr>
          <w:p>
            <w:pPr>
              <w:spacing w:after="0"/>
              <w:rPr>
                <w:sz w:val="24"/>
                <w:szCs w:val="24"/>
                <w:color w:val="auto"/>
              </w:rPr>
            </w:pPr>
          </w:p>
        </w:tc>
        <w:tc>
          <w:tcPr>
            <w:tcW w:w="1880" w:type="dxa"/>
            <w:vAlign w:val="bottom"/>
            <w:tcBorders>
              <w:top w:val="single" w:sz="8" w:color="0060ED"/>
            </w:tcBorders>
            <w:shd w:val="clear" w:color="auto" w:fill="CCEBF8"/>
          </w:tcPr>
          <w:p>
            <w:pPr>
              <w:jc w:val="center"/>
              <w:ind w:right="380"/>
              <w:spacing w:after="0"/>
              <w:rPr>
                <w:sz w:val="20"/>
                <w:szCs w:val="20"/>
                <w:color w:val="auto"/>
              </w:rPr>
            </w:pPr>
            <w:r>
              <w:rPr>
                <w:rFonts w:ascii="Arial" w:cs="Arial" w:eastAsia="Arial" w:hAnsi="Arial"/>
                <w:sz w:val="16"/>
                <w:szCs w:val="16"/>
                <w:b w:val="1"/>
                <w:bCs w:val="1"/>
                <w:color w:val="009BDE"/>
              </w:rPr>
              <w:t>Present Value of</w:t>
            </w:r>
          </w:p>
        </w:tc>
        <w:tc>
          <w:tcPr>
            <w:tcW w:w="560" w:type="dxa"/>
            <w:vAlign w:val="bottom"/>
            <w:tcBorders>
              <w:top w:val="single" w:sz="8" w:color="0060ED"/>
            </w:tcBorders>
            <w:shd w:val="clear" w:color="auto" w:fill="CCEBF8"/>
          </w:tcPr>
          <w:p>
            <w:pPr>
              <w:spacing w:after="0"/>
              <w:rPr>
                <w:sz w:val="24"/>
                <w:szCs w:val="24"/>
                <w:color w:val="auto"/>
              </w:rPr>
            </w:pPr>
          </w:p>
        </w:tc>
        <w:tc>
          <w:tcPr>
            <w:tcW w:w="1120" w:type="dxa"/>
            <w:vAlign w:val="bottom"/>
            <w:tcBorders>
              <w:top w:val="single" w:sz="8" w:color="0060ED"/>
            </w:tcBorders>
            <w:shd w:val="clear" w:color="auto" w:fill="CCEBF8"/>
          </w:tcPr>
          <w:p>
            <w:pPr>
              <w:spacing w:after="0"/>
              <w:rPr>
                <w:sz w:val="24"/>
                <w:szCs w:val="24"/>
                <w:color w:val="auto"/>
              </w:rPr>
            </w:pPr>
          </w:p>
        </w:tc>
      </w:tr>
      <w:tr>
        <w:trPr>
          <w:trHeight w:val="187"/>
        </w:trPr>
        <w:tc>
          <w:tcPr>
            <w:tcW w:w="2520" w:type="dxa"/>
            <w:vAlign w:val="bottom"/>
            <w:shd w:val="clear" w:color="auto" w:fill="CCEBF8"/>
          </w:tcPr>
          <w:p>
            <w:pPr>
              <w:spacing w:after="0"/>
              <w:rPr>
                <w:sz w:val="16"/>
                <w:szCs w:val="16"/>
                <w:color w:val="auto"/>
              </w:rPr>
            </w:pPr>
          </w:p>
        </w:tc>
        <w:tc>
          <w:tcPr>
            <w:tcW w:w="2380" w:type="dxa"/>
            <w:vAlign w:val="bottom"/>
            <w:shd w:val="clear" w:color="auto" w:fill="CCEBF8"/>
          </w:tcPr>
          <w:p>
            <w:pPr>
              <w:spacing w:after="0"/>
              <w:rPr>
                <w:sz w:val="16"/>
                <w:szCs w:val="16"/>
                <w:color w:val="auto"/>
              </w:rPr>
            </w:pPr>
          </w:p>
        </w:tc>
        <w:tc>
          <w:tcPr>
            <w:tcW w:w="2020" w:type="dxa"/>
            <w:vAlign w:val="bottom"/>
            <w:shd w:val="clear" w:color="auto" w:fill="CCEBF8"/>
          </w:tcPr>
          <w:p>
            <w:pPr>
              <w:spacing w:after="0"/>
              <w:rPr>
                <w:sz w:val="16"/>
                <w:szCs w:val="16"/>
                <w:color w:val="auto"/>
              </w:rPr>
            </w:pPr>
          </w:p>
        </w:tc>
        <w:tc>
          <w:tcPr>
            <w:tcW w:w="2320" w:type="dxa"/>
            <w:vAlign w:val="bottom"/>
            <w:gridSpan w:val="2"/>
            <w:shd w:val="clear" w:color="auto" w:fill="CCEBF8"/>
          </w:tcPr>
          <w:p>
            <w:pPr>
              <w:jc w:val="right"/>
              <w:ind w:right="280"/>
              <w:spacing w:after="0"/>
              <w:rPr>
                <w:sz w:val="20"/>
                <w:szCs w:val="20"/>
                <w:color w:val="auto"/>
              </w:rPr>
            </w:pPr>
            <w:r>
              <w:rPr>
                <w:rFonts w:ascii="Arial" w:cs="Arial" w:eastAsia="Arial" w:hAnsi="Arial"/>
                <w:sz w:val="16"/>
                <w:szCs w:val="16"/>
                <w:b w:val="1"/>
                <w:bCs w:val="1"/>
                <w:color w:val="009BDE"/>
              </w:rPr>
              <w:t>Accumulated Benefit</w:t>
            </w:r>
          </w:p>
        </w:tc>
        <w:tc>
          <w:tcPr>
            <w:tcW w:w="560" w:type="dxa"/>
            <w:vAlign w:val="bottom"/>
            <w:shd w:val="clear" w:color="auto" w:fill="CCEBF8"/>
          </w:tcPr>
          <w:p>
            <w:pPr>
              <w:spacing w:after="0"/>
              <w:rPr>
                <w:sz w:val="16"/>
                <w:szCs w:val="16"/>
                <w:color w:val="auto"/>
              </w:rPr>
            </w:pPr>
          </w:p>
        </w:tc>
        <w:tc>
          <w:tcPr>
            <w:tcW w:w="1120" w:type="dxa"/>
            <w:vAlign w:val="bottom"/>
            <w:shd w:val="clear" w:color="auto" w:fill="CCEBF8"/>
          </w:tcPr>
          <w:p>
            <w:pPr>
              <w:spacing w:after="0"/>
              <w:rPr>
                <w:sz w:val="16"/>
                <w:szCs w:val="16"/>
                <w:color w:val="auto"/>
              </w:rPr>
            </w:pPr>
          </w:p>
        </w:tc>
      </w:tr>
      <w:tr>
        <w:trPr>
          <w:trHeight w:val="187"/>
        </w:trPr>
        <w:tc>
          <w:tcPr>
            <w:tcW w:w="2520" w:type="dxa"/>
            <w:vAlign w:val="bottom"/>
            <w:shd w:val="clear" w:color="auto" w:fill="CCEBF8"/>
          </w:tcPr>
          <w:p>
            <w:pPr>
              <w:spacing w:after="0"/>
              <w:rPr>
                <w:sz w:val="16"/>
                <w:szCs w:val="16"/>
                <w:color w:val="auto"/>
              </w:rPr>
            </w:pPr>
          </w:p>
        </w:tc>
        <w:tc>
          <w:tcPr>
            <w:tcW w:w="2380" w:type="dxa"/>
            <w:vAlign w:val="bottom"/>
            <w:shd w:val="clear" w:color="auto" w:fill="CCEBF8"/>
          </w:tcPr>
          <w:p>
            <w:pPr>
              <w:spacing w:after="0"/>
              <w:rPr>
                <w:sz w:val="16"/>
                <w:szCs w:val="16"/>
                <w:color w:val="auto"/>
              </w:rPr>
            </w:pPr>
          </w:p>
        </w:tc>
        <w:tc>
          <w:tcPr>
            <w:tcW w:w="20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Number of</w:t>
            </w:r>
          </w:p>
        </w:tc>
        <w:tc>
          <w:tcPr>
            <w:tcW w:w="440" w:type="dxa"/>
            <w:vAlign w:val="bottom"/>
            <w:shd w:val="clear" w:color="auto" w:fill="CCEBF8"/>
          </w:tcPr>
          <w:p>
            <w:pPr>
              <w:spacing w:after="0"/>
              <w:rPr>
                <w:sz w:val="16"/>
                <w:szCs w:val="16"/>
                <w:color w:val="auto"/>
              </w:rPr>
            </w:pPr>
          </w:p>
        </w:tc>
        <w:tc>
          <w:tcPr>
            <w:tcW w:w="1880" w:type="dxa"/>
            <w:vAlign w:val="bottom"/>
            <w:shd w:val="clear" w:color="auto" w:fill="CCEBF8"/>
          </w:tcPr>
          <w:p>
            <w:pPr>
              <w:jc w:val="center"/>
              <w:ind w:right="380"/>
              <w:spacing w:after="0"/>
              <w:rPr>
                <w:sz w:val="20"/>
                <w:szCs w:val="20"/>
                <w:color w:val="auto"/>
              </w:rPr>
            </w:pPr>
            <w:r>
              <w:rPr>
                <w:rFonts w:ascii="Arial" w:cs="Arial" w:eastAsia="Arial" w:hAnsi="Arial"/>
                <w:sz w:val="16"/>
                <w:szCs w:val="16"/>
                <w:b w:val="1"/>
                <w:bCs w:val="1"/>
                <w:color w:val="009BDE"/>
                <w:w w:val="99"/>
              </w:rPr>
              <w:t>Payable at Normal</w:t>
            </w:r>
          </w:p>
        </w:tc>
        <w:tc>
          <w:tcPr>
            <w:tcW w:w="560" w:type="dxa"/>
            <w:vAlign w:val="bottom"/>
            <w:shd w:val="clear" w:color="auto" w:fill="CCEBF8"/>
          </w:tcPr>
          <w:p>
            <w:pPr>
              <w:spacing w:after="0"/>
              <w:rPr>
                <w:sz w:val="16"/>
                <w:szCs w:val="16"/>
                <w:color w:val="auto"/>
              </w:rPr>
            </w:pPr>
          </w:p>
        </w:tc>
        <w:tc>
          <w:tcPr>
            <w:tcW w:w="1120" w:type="dxa"/>
            <w:vAlign w:val="bottom"/>
            <w:shd w:val="clear" w:color="auto" w:fill="CCEBF8"/>
          </w:tcPr>
          <w:p>
            <w:pPr>
              <w:jc w:val="center"/>
              <w:ind w:right="120"/>
              <w:spacing w:after="0"/>
              <w:rPr>
                <w:sz w:val="20"/>
                <w:szCs w:val="20"/>
                <w:color w:val="auto"/>
              </w:rPr>
            </w:pPr>
            <w:r>
              <w:rPr>
                <w:rFonts w:ascii="Arial" w:cs="Arial" w:eastAsia="Arial" w:hAnsi="Arial"/>
                <w:sz w:val="16"/>
                <w:szCs w:val="16"/>
                <w:b w:val="1"/>
                <w:bCs w:val="1"/>
                <w:color w:val="009BDE"/>
              </w:rPr>
              <w:t>Payment  </w:t>
            </w:r>
          </w:p>
        </w:tc>
      </w:tr>
      <w:tr>
        <w:trPr>
          <w:trHeight w:val="187"/>
        </w:trPr>
        <w:tc>
          <w:tcPr>
            <w:tcW w:w="2520" w:type="dxa"/>
            <w:vAlign w:val="bottom"/>
            <w:shd w:val="clear" w:color="auto" w:fill="CCEBF8"/>
          </w:tcPr>
          <w:p>
            <w:pPr>
              <w:spacing w:after="0"/>
              <w:rPr>
                <w:sz w:val="16"/>
                <w:szCs w:val="16"/>
                <w:color w:val="auto"/>
              </w:rPr>
            </w:pPr>
          </w:p>
        </w:tc>
        <w:tc>
          <w:tcPr>
            <w:tcW w:w="2380" w:type="dxa"/>
            <w:vAlign w:val="bottom"/>
            <w:shd w:val="clear" w:color="auto" w:fill="CCEBF8"/>
          </w:tcPr>
          <w:p>
            <w:pPr>
              <w:spacing w:after="0"/>
              <w:rPr>
                <w:sz w:val="16"/>
                <w:szCs w:val="16"/>
                <w:color w:val="auto"/>
              </w:rPr>
            </w:pPr>
          </w:p>
        </w:tc>
        <w:tc>
          <w:tcPr>
            <w:tcW w:w="20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Years of Credited</w:t>
            </w:r>
          </w:p>
        </w:tc>
        <w:tc>
          <w:tcPr>
            <w:tcW w:w="440" w:type="dxa"/>
            <w:vAlign w:val="bottom"/>
            <w:shd w:val="clear" w:color="auto" w:fill="CCEBF8"/>
          </w:tcPr>
          <w:p>
            <w:pPr>
              <w:spacing w:after="0"/>
              <w:rPr>
                <w:sz w:val="16"/>
                <w:szCs w:val="16"/>
                <w:color w:val="auto"/>
              </w:rPr>
            </w:pPr>
          </w:p>
        </w:tc>
        <w:tc>
          <w:tcPr>
            <w:tcW w:w="1880" w:type="dxa"/>
            <w:vAlign w:val="bottom"/>
            <w:shd w:val="clear" w:color="auto" w:fill="CCEBF8"/>
          </w:tcPr>
          <w:p>
            <w:pPr>
              <w:jc w:val="center"/>
              <w:ind w:right="360"/>
              <w:spacing w:after="0"/>
              <w:rPr>
                <w:sz w:val="20"/>
                <w:szCs w:val="20"/>
                <w:color w:val="auto"/>
              </w:rPr>
            </w:pPr>
            <w:r>
              <w:rPr>
                <w:rFonts w:ascii="Arial" w:cs="Arial" w:eastAsia="Arial" w:hAnsi="Arial"/>
                <w:sz w:val="16"/>
                <w:szCs w:val="16"/>
                <w:b w:val="1"/>
                <w:bCs w:val="1"/>
                <w:color w:val="009BDE"/>
              </w:rPr>
              <w:t>Retirement</w:t>
            </w:r>
          </w:p>
        </w:tc>
        <w:tc>
          <w:tcPr>
            <w:tcW w:w="1680" w:type="dxa"/>
            <w:vAlign w:val="bottom"/>
            <w:gridSpan w:val="2"/>
            <w:shd w:val="clear" w:color="auto" w:fill="CCEBF8"/>
          </w:tcPr>
          <w:p>
            <w:pPr>
              <w:jc w:val="center"/>
              <w:ind w:left="280"/>
              <w:spacing w:after="0"/>
              <w:rPr>
                <w:sz w:val="20"/>
                <w:szCs w:val="20"/>
                <w:color w:val="auto"/>
              </w:rPr>
            </w:pPr>
            <w:r>
              <w:rPr>
                <w:rFonts w:ascii="Arial" w:cs="Arial" w:eastAsia="Arial" w:hAnsi="Arial"/>
                <w:sz w:val="16"/>
                <w:szCs w:val="16"/>
                <w:b w:val="1"/>
                <w:bCs w:val="1"/>
                <w:color w:val="009BDE"/>
              </w:rPr>
              <w:t>During the Last  </w:t>
            </w:r>
          </w:p>
        </w:tc>
      </w:tr>
      <w:tr>
        <w:trPr>
          <w:trHeight w:val="235"/>
        </w:trPr>
        <w:tc>
          <w:tcPr>
            <w:tcW w:w="2520" w:type="dxa"/>
            <w:vAlign w:val="bottom"/>
            <w:shd w:val="clear" w:color="auto" w:fill="CCEBF8"/>
          </w:tcPr>
          <w:p>
            <w:pPr>
              <w:spacing w:after="0"/>
              <w:rPr>
                <w:sz w:val="20"/>
                <w:szCs w:val="20"/>
                <w:color w:val="auto"/>
              </w:rPr>
            </w:pPr>
            <w:r>
              <w:rPr>
                <w:rFonts w:ascii="Arial" w:cs="Arial" w:eastAsia="Arial" w:hAnsi="Arial"/>
                <w:sz w:val="16"/>
                <w:szCs w:val="16"/>
                <w:b w:val="1"/>
                <w:bCs w:val="1"/>
                <w:color w:val="009BDE"/>
              </w:rPr>
              <w:t>  Name</w:t>
            </w:r>
          </w:p>
        </w:tc>
        <w:tc>
          <w:tcPr>
            <w:tcW w:w="2380" w:type="dxa"/>
            <w:vAlign w:val="bottom"/>
            <w:shd w:val="clear" w:color="auto" w:fill="CCEBF8"/>
          </w:tcPr>
          <w:p>
            <w:pPr>
              <w:jc w:val="center"/>
              <w:ind w:left="240"/>
              <w:spacing w:after="0"/>
              <w:rPr>
                <w:sz w:val="20"/>
                <w:szCs w:val="20"/>
                <w:color w:val="auto"/>
              </w:rPr>
            </w:pPr>
            <w:r>
              <w:rPr>
                <w:rFonts w:ascii="Arial" w:cs="Arial" w:eastAsia="Arial" w:hAnsi="Arial"/>
                <w:sz w:val="16"/>
                <w:szCs w:val="16"/>
                <w:b w:val="1"/>
                <w:bCs w:val="1"/>
                <w:color w:val="009BDE"/>
              </w:rPr>
              <w:t>Plan Name</w:t>
            </w:r>
          </w:p>
        </w:tc>
        <w:tc>
          <w:tcPr>
            <w:tcW w:w="20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Service (#)</w:t>
            </w:r>
          </w:p>
        </w:tc>
        <w:tc>
          <w:tcPr>
            <w:tcW w:w="440" w:type="dxa"/>
            <w:vAlign w:val="bottom"/>
            <w:shd w:val="clear" w:color="auto" w:fill="CCEBF8"/>
          </w:tcPr>
          <w:p>
            <w:pPr>
              <w:spacing w:after="0"/>
              <w:rPr>
                <w:sz w:val="20"/>
                <w:szCs w:val="20"/>
                <w:color w:val="auto"/>
              </w:rPr>
            </w:pPr>
          </w:p>
        </w:tc>
        <w:tc>
          <w:tcPr>
            <w:tcW w:w="1880" w:type="dxa"/>
            <w:vAlign w:val="bottom"/>
            <w:shd w:val="clear" w:color="auto" w:fill="CCEBF8"/>
          </w:tcPr>
          <w:p>
            <w:pPr>
              <w:jc w:val="center"/>
              <w:ind w:right="380"/>
              <w:spacing w:after="0"/>
              <w:rPr>
                <w:sz w:val="20"/>
                <w:szCs w:val="20"/>
                <w:color w:val="auto"/>
              </w:rPr>
            </w:pPr>
            <w:r>
              <w:rPr>
                <w:rFonts w:ascii="Arial" w:cs="Arial" w:eastAsia="Arial" w:hAnsi="Arial"/>
                <w:sz w:val="16"/>
                <w:szCs w:val="16"/>
                <w:b w:val="1"/>
                <w:bCs w:val="1"/>
                <w:color w:val="009BDE"/>
                <w:w w:val="97"/>
              </w:rPr>
              <w:t>($)(a)</w:t>
            </w:r>
          </w:p>
        </w:tc>
        <w:tc>
          <w:tcPr>
            <w:tcW w:w="1680" w:type="dxa"/>
            <w:vAlign w:val="bottom"/>
            <w:gridSpan w:val="2"/>
            <w:shd w:val="clear" w:color="auto" w:fill="CCEBF8"/>
          </w:tcPr>
          <w:p>
            <w:pPr>
              <w:jc w:val="center"/>
              <w:ind w:left="280"/>
              <w:spacing w:after="0"/>
              <w:rPr>
                <w:sz w:val="20"/>
                <w:szCs w:val="20"/>
                <w:color w:val="auto"/>
              </w:rPr>
            </w:pPr>
            <w:r>
              <w:rPr>
                <w:rFonts w:ascii="Arial" w:cs="Arial" w:eastAsia="Arial" w:hAnsi="Arial"/>
                <w:sz w:val="16"/>
                <w:szCs w:val="16"/>
                <w:b w:val="1"/>
                <w:bCs w:val="1"/>
                <w:color w:val="009BDE"/>
              </w:rPr>
              <w:t>Fiscal Year($)  </w:t>
            </w:r>
          </w:p>
        </w:tc>
      </w:tr>
      <w:tr>
        <w:trPr>
          <w:trHeight w:val="114"/>
        </w:trPr>
        <w:tc>
          <w:tcPr>
            <w:tcW w:w="2520" w:type="dxa"/>
            <w:vAlign w:val="bottom"/>
            <w:tcBorders>
              <w:bottom w:val="single" w:sz="8" w:color="009BDE"/>
            </w:tcBorders>
            <w:shd w:val="clear" w:color="auto" w:fill="CCEBF8"/>
          </w:tcPr>
          <w:p>
            <w:pPr>
              <w:spacing w:after="0"/>
              <w:rPr>
                <w:sz w:val="9"/>
                <w:szCs w:val="9"/>
                <w:color w:val="auto"/>
              </w:rPr>
            </w:pPr>
          </w:p>
        </w:tc>
        <w:tc>
          <w:tcPr>
            <w:tcW w:w="2380" w:type="dxa"/>
            <w:vAlign w:val="bottom"/>
            <w:tcBorders>
              <w:bottom w:val="single" w:sz="8" w:color="009BDE"/>
            </w:tcBorders>
            <w:shd w:val="clear" w:color="auto" w:fill="CCEBF8"/>
          </w:tcPr>
          <w:p>
            <w:pPr>
              <w:spacing w:after="0"/>
              <w:rPr>
                <w:sz w:val="9"/>
                <w:szCs w:val="9"/>
                <w:color w:val="auto"/>
              </w:rPr>
            </w:pPr>
          </w:p>
        </w:tc>
        <w:tc>
          <w:tcPr>
            <w:tcW w:w="2020" w:type="dxa"/>
            <w:vAlign w:val="bottom"/>
            <w:tcBorders>
              <w:bottom w:val="single" w:sz="8" w:color="009BDE"/>
            </w:tcBorders>
            <w:shd w:val="clear" w:color="auto" w:fill="CCEBF8"/>
          </w:tcPr>
          <w:p>
            <w:pPr>
              <w:spacing w:after="0"/>
              <w:rPr>
                <w:sz w:val="9"/>
                <w:szCs w:val="9"/>
                <w:color w:val="auto"/>
              </w:rPr>
            </w:pPr>
          </w:p>
        </w:tc>
        <w:tc>
          <w:tcPr>
            <w:tcW w:w="440" w:type="dxa"/>
            <w:vAlign w:val="bottom"/>
            <w:tcBorders>
              <w:bottom w:val="single" w:sz="8" w:color="009BDE"/>
            </w:tcBorders>
            <w:shd w:val="clear" w:color="auto" w:fill="CCEBF8"/>
          </w:tcPr>
          <w:p>
            <w:pPr>
              <w:spacing w:after="0"/>
              <w:rPr>
                <w:sz w:val="9"/>
                <w:szCs w:val="9"/>
                <w:color w:val="auto"/>
              </w:rPr>
            </w:pPr>
          </w:p>
        </w:tc>
        <w:tc>
          <w:tcPr>
            <w:tcW w:w="1880" w:type="dxa"/>
            <w:vAlign w:val="bottom"/>
            <w:tcBorders>
              <w:bottom w:val="single" w:sz="8" w:color="009BDE"/>
            </w:tcBorders>
            <w:shd w:val="clear" w:color="auto" w:fill="CCEBF8"/>
          </w:tcPr>
          <w:p>
            <w:pPr>
              <w:spacing w:after="0"/>
              <w:rPr>
                <w:sz w:val="9"/>
                <w:szCs w:val="9"/>
                <w:color w:val="auto"/>
              </w:rPr>
            </w:pPr>
          </w:p>
        </w:tc>
        <w:tc>
          <w:tcPr>
            <w:tcW w:w="560" w:type="dxa"/>
            <w:vAlign w:val="bottom"/>
            <w:tcBorders>
              <w:bottom w:val="single" w:sz="8" w:color="009BDE"/>
            </w:tcBorders>
            <w:shd w:val="clear" w:color="auto" w:fill="CCEBF8"/>
          </w:tcPr>
          <w:p>
            <w:pPr>
              <w:spacing w:after="0"/>
              <w:rPr>
                <w:sz w:val="9"/>
                <w:szCs w:val="9"/>
                <w:color w:val="auto"/>
              </w:rPr>
            </w:pPr>
          </w:p>
        </w:tc>
        <w:tc>
          <w:tcPr>
            <w:tcW w:w="1120" w:type="dxa"/>
            <w:vAlign w:val="bottom"/>
            <w:tcBorders>
              <w:bottom w:val="single" w:sz="8" w:color="009BDE"/>
            </w:tcBorders>
            <w:shd w:val="clear" w:color="auto" w:fill="CCEBF8"/>
          </w:tcPr>
          <w:p>
            <w:pPr>
              <w:spacing w:after="0"/>
              <w:rPr>
                <w:sz w:val="9"/>
                <w:szCs w:val="9"/>
                <w:color w:val="auto"/>
              </w:rPr>
            </w:pPr>
          </w:p>
        </w:tc>
      </w:tr>
      <w:tr>
        <w:trPr>
          <w:trHeight w:val="284"/>
        </w:trPr>
        <w:tc>
          <w:tcPr>
            <w:tcW w:w="2520" w:type="dxa"/>
            <w:vAlign w:val="bottom"/>
          </w:tcPr>
          <w:p>
            <w:pPr>
              <w:ind w:left="80"/>
              <w:spacing w:after="0"/>
              <w:rPr>
                <w:sz w:val="20"/>
                <w:szCs w:val="20"/>
                <w:color w:val="auto"/>
              </w:rPr>
            </w:pPr>
            <w:r>
              <w:rPr>
                <w:rFonts w:ascii="Arial" w:cs="Arial" w:eastAsia="Arial" w:hAnsi="Arial"/>
                <w:sz w:val="16"/>
                <w:szCs w:val="16"/>
                <w:color w:val="auto"/>
              </w:rPr>
              <w:t>Chris Cocks (b)</w:t>
            </w:r>
          </w:p>
        </w:tc>
        <w:tc>
          <w:tcPr>
            <w:tcW w:w="2380" w:type="dxa"/>
            <w:vAlign w:val="bottom"/>
          </w:tcPr>
          <w:p>
            <w:pPr>
              <w:jc w:val="center"/>
              <w:ind w:left="260"/>
              <w:spacing w:after="0"/>
              <w:rPr>
                <w:sz w:val="20"/>
                <w:szCs w:val="20"/>
                <w:color w:val="auto"/>
              </w:rPr>
            </w:pPr>
            <w:r>
              <w:rPr>
                <w:rFonts w:ascii="Arial" w:cs="Arial" w:eastAsia="Arial" w:hAnsi="Arial"/>
                <w:sz w:val="16"/>
                <w:szCs w:val="16"/>
                <w:color w:val="auto"/>
              </w:rPr>
              <w:t>n/a</w:t>
            </w:r>
          </w:p>
        </w:tc>
        <w:tc>
          <w:tcPr>
            <w:tcW w:w="2020" w:type="dxa"/>
            <w:vAlign w:val="bottom"/>
          </w:tcPr>
          <w:p>
            <w:pPr>
              <w:jc w:val="center"/>
              <w:spacing w:after="0"/>
              <w:rPr>
                <w:sz w:val="20"/>
                <w:szCs w:val="20"/>
                <w:color w:val="auto"/>
              </w:rPr>
            </w:pPr>
            <w:r>
              <w:rPr>
                <w:rFonts w:ascii="Arial" w:cs="Arial" w:eastAsia="Arial" w:hAnsi="Arial"/>
                <w:sz w:val="16"/>
                <w:szCs w:val="16"/>
                <w:color w:val="auto"/>
              </w:rPr>
              <w:t> n/a</w:t>
            </w:r>
          </w:p>
        </w:tc>
        <w:tc>
          <w:tcPr>
            <w:tcW w:w="440" w:type="dxa"/>
            <w:vAlign w:val="bottom"/>
          </w:tcPr>
          <w:p>
            <w:pPr>
              <w:spacing w:after="0"/>
              <w:rPr>
                <w:sz w:val="24"/>
                <w:szCs w:val="24"/>
                <w:color w:val="auto"/>
              </w:rPr>
            </w:pPr>
          </w:p>
        </w:tc>
        <w:tc>
          <w:tcPr>
            <w:tcW w:w="1880" w:type="dxa"/>
            <w:vAlign w:val="bottom"/>
          </w:tcPr>
          <w:p>
            <w:pPr>
              <w:jc w:val="right"/>
              <w:ind w:right="280"/>
              <w:spacing w:after="0"/>
              <w:rPr>
                <w:sz w:val="20"/>
                <w:szCs w:val="20"/>
                <w:color w:val="auto"/>
              </w:rPr>
            </w:pPr>
            <w:r>
              <w:rPr>
                <w:rFonts w:ascii="Arial" w:cs="Arial" w:eastAsia="Arial" w:hAnsi="Arial"/>
                <w:sz w:val="16"/>
                <w:szCs w:val="16"/>
                <w:color w:val="auto"/>
              </w:rPr>
              <w:t>n/a</w:t>
            </w: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97"/>
        </w:trPr>
        <w:tc>
          <w:tcPr>
            <w:tcW w:w="2520" w:type="dxa"/>
            <w:vAlign w:val="bottom"/>
            <w:tcBorders>
              <w:bottom w:val="single" w:sz="8" w:color="009BDE"/>
            </w:tcBorders>
          </w:tcPr>
          <w:p>
            <w:pPr>
              <w:spacing w:after="0"/>
              <w:rPr>
                <w:sz w:val="8"/>
                <w:szCs w:val="8"/>
                <w:color w:val="auto"/>
              </w:rPr>
            </w:pPr>
          </w:p>
        </w:tc>
        <w:tc>
          <w:tcPr>
            <w:tcW w:w="2380" w:type="dxa"/>
            <w:vAlign w:val="bottom"/>
            <w:tcBorders>
              <w:bottom w:val="single" w:sz="8" w:color="009BDE"/>
            </w:tcBorders>
          </w:tcPr>
          <w:p>
            <w:pPr>
              <w:spacing w:after="0"/>
              <w:rPr>
                <w:sz w:val="8"/>
                <w:szCs w:val="8"/>
                <w:color w:val="auto"/>
              </w:rPr>
            </w:pPr>
          </w:p>
        </w:tc>
        <w:tc>
          <w:tcPr>
            <w:tcW w:w="202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188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1120" w:type="dxa"/>
            <w:vAlign w:val="bottom"/>
            <w:tcBorders>
              <w:bottom w:val="single" w:sz="8" w:color="009BDE"/>
            </w:tcBorders>
          </w:tcPr>
          <w:p>
            <w:pPr>
              <w:spacing w:after="0"/>
              <w:rPr>
                <w:sz w:val="8"/>
                <w:szCs w:val="8"/>
                <w:color w:val="auto"/>
              </w:rPr>
            </w:pPr>
          </w:p>
        </w:tc>
      </w:tr>
      <w:tr>
        <w:trPr>
          <w:trHeight w:val="284"/>
        </w:trPr>
        <w:tc>
          <w:tcPr>
            <w:tcW w:w="2520" w:type="dxa"/>
            <w:vAlign w:val="bottom"/>
          </w:tcPr>
          <w:p>
            <w:pPr>
              <w:ind w:left="80"/>
              <w:spacing w:after="0"/>
              <w:rPr>
                <w:sz w:val="20"/>
                <w:szCs w:val="20"/>
                <w:color w:val="auto"/>
              </w:rPr>
            </w:pPr>
            <w:r>
              <w:rPr>
                <w:rFonts w:ascii="Arial" w:cs="Arial" w:eastAsia="Arial" w:hAnsi="Arial"/>
                <w:sz w:val="16"/>
                <w:szCs w:val="16"/>
                <w:color w:val="auto"/>
              </w:rPr>
              <w:t>Gina Goetter (b)</w:t>
            </w:r>
          </w:p>
        </w:tc>
        <w:tc>
          <w:tcPr>
            <w:tcW w:w="2380" w:type="dxa"/>
            <w:vAlign w:val="bottom"/>
          </w:tcPr>
          <w:p>
            <w:pPr>
              <w:jc w:val="center"/>
              <w:ind w:left="260"/>
              <w:spacing w:after="0"/>
              <w:rPr>
                <w:sz w:val="20"/>
                <w:szCs w:val="20"/>
                <w:color w:val="auto"/>
              </w:rPr>
            </w:pPr>
            <w:r>
              <w:rPr>
                <w:rFonts w:ascii="Arial" w:cs="Arial" w:eastAsia="Arial" w:hAnsi="Arial"/>
                <w:sz w:val="16"/>
                <w:szCs w:val="16"/>
                <w:color w:val="auto"/>
              </w:rPr>
              <w:t>n/a</w:t>
            </w:r>
          </w:p>
        </w:tc>
        <w:tc>
          <w:tcPr>
            <w:tcW w:w="2020" w:type="dxa"/>
            <w:vAlign w:val="bottom"/>
          </w:tcPr>
          <w:p>
            <w:pPr>
              <w:jc w:val="center"/>
              <w:spacing w:after="0"/>
              <w:rPr>
                <w:sz w:val="20"/>
                <w:szCs w:val="20"/>
                <w:color w:val="auto"/>
              </w:rPr>
            </w:pPr>
            <w:r>
              <w:rPr>
                <w:rFonts w:ascii="Arial" w:cs="Arial" w:eastAsia="Arial" w:hAnsi="Arial"/>
                <w:sz w:val="16"/>
                <w:szCs w:val="16"/>
                <w:color w:val="auto"/>
              </w:rPr>
              <w:t> n/a</w:t>
            </w:r>
          </w:p>
        </w:tc>
        <w:tc>
          <w:tcPr>
            <w:tcW w:w="440" w:type="dxa"/>
            <w:vAlign w:val="bottom"/>
          </w:tcPr>
          <w:p>
            <w:pPr>
              <w:spacing w:after="0"/>
              <w:rPr>
                <w:sz w:val="24"/>
                <w:szCs w:val="24"/>
                <w:color w:val="auto"/>
              </w:rPr>
            </w:pPr>
          </w:p>
        </w:tc>
        <w:tc>
          <w:tcPr>
            <w:tcW w:w="1880" w:type="dxa"/>
            <w:vAlign w:val="bottom"/>
          </w:tcPr>
          <w:p>
            <w:pPr>
              <w:jc w:val="right"/>
              <w:ind w:right="280"/>
              <w:spacing w:after="0"/>
              <w:rPr>
                <w:sz w:val="20"/>
                <w:szCs w:val="20"/>
                <w:color w:val="auto"/>
              </w:rPr>
            </w:pPr>
            <w:r>
              <w:rPr>
                <w:rFonts w:ascii="Arial" w:cs="Arial" w:eastAsia="Arial" w:hAnsi="Arial"/>
                <w:sz w:val="16"/>
                <w:szCs w:val="16"/>
                <w:color w:val="auto"/>
              </w:rPr>
              <w:t>n/a</w:t>
            </w: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97"/>
        </w:trPr>
        <w:tc>
          <w:tcPr>
            <w:tcW w:w="2520" w:type="dxa"/>
            <w:vAlign w:val="bottom"/>
            <w:tcBorders>
              <w:bottom w:val="single" w:sz="8" w:color="009BDE"/>
            </w:tcBorders>
          </w:tcPr>
          <w:p>
            <w:pPr>
              <w:spacing w:after="0"/>
              <w:rPr>
                <w:sz w:val="8"/>
                <w:szCs w:val="8"/>
                <w:color w:val="auto"/>
              </w:rPr>
            </w:pPr>
          </w:p>
        </w:tc>
        <w:tc>
          <w:tcPr>
            <w:tcW w:w="2380" w:type="dxa"/>
            <w:vAlign w:val="bottom"/>
            <w:tcBorders>
              <w:bottom w:val="single" w:sz="8" w:color="009BDE"/>
            </w:tcBorders>
          </w:tcPr>
          <w:p>
            <w:pPr>
              <w:spacing w:after="0"/>
              <w:rPr>
                <w:sz w:val="8"/>
                <w:szCs w:val="8"/>
                <w:color w:val="auto"/>
              </w:rPr>
            </w:pPr>
          </w:p>
        </w:tc>
        <w:tc>
          <w:tcPr>
            <w:tcW w:w="202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188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1120" w:type="dxa"/>
            <w:vAlign w:val="bottom"/>
            <w:tcBorders>
              <w:bottom w:val="single" w:sz="8" w:color="009BDE"/>
            </w:tcBorders>
          </w:tcPr>
          <w:p>
            <w:pPr>
              <w:spacing w:after="0"/>
              <w:rPr>
                <w:sz w:val="8"/>
                <w:szCs w:val="8"/>
                <w:color w:val="auto"/>
              </w:rPr>
            </w:pPr>
          </w:p>
        </w:tc>
      </w:tr>
      <w:tr>
        <w:trPr>
          <w:trHeight w:val="284"/>
        </w:trPr>
        <w:tc>
          <w:tcPr>
            <w:tcW w:w="2520" w:type="dxa"/>
            <w:vAlign w:val="bottom"/>
          </w:tcPr>
          <w:p>
            <w:pPr>
              <w:ind w:left="80"/>
              <w:spacing w:after="0"/>
              <w:rPr>
                <w:sz w:val="20"/>
                <w:szCs w:val="20"/>
                <w:color w:val="auto"/>
              </w:rPr>
            </w:pPr>
            <w:r>
              <w:rPr>
                <w:rFonts w:ascii="Arial" w:cs="Arial" w:eastAsia="Arial" w:hAnsi="Arial"/>
                <w:sz w:val="16"/>
                <w:szCs w:val="16"/>
                <w:color w:val="auto"/>
              </w:rPr>
              <w:t>John Hight (b)</w:t>
            </w:r>
          </w:p>
        </w:tc>
        <w:tc>
          <w:tcPr>
            <w:tcW w:w="2380" w:type="dxa"/>
            <w:vAlign w:val="bottom"/>
          </w:tcPr>
          <w:p>
            <w:pPr>
              <w:jc w:val="center"/>
              <w:ind w:left="260"/>
              <w:spacing w:after="0"/>
              <w:rPr>
                <w:sz w:val="20"/>
                <w:szCs w:val="20"/>
                <w:color w:val="auto"/>
              </w:rPr>
            </w:pPr>
            <w:r>
              <w:rPr>
                <w:rFonts w:ascii="Arial" w:cs="Arial" w:eastAsia="Arial" w:hAnsi="Arial"/>
                <w:sz w:val="16"/>
                <w:szCs w:val="16"/>
                <w:color w:val="auto"/>
              </w:rPr>
              <w:t>n/a</w:t>
            </w:r>
          </w:p>
        </w:tc>
        <w:tc>
          <w:tcPr>
            <w:tcW w:w="2020" w:type="dxa"/>
            <w:vAlign w:val="bottom"/>
          </w:tcPr>
          <w:p>
            <w:pPr>
              <w:jc w:val="center"/>
              <w:spacing w:after="0"/>
              <w:rPr>
                <w:sz w:val="20"/>
                <w:szCs w:val="20"/>
                <w:color w:val="auto"/>
              </w:rPr>
            </w:pPr>
            <w:r>
              <w:rPr>
                <w:rFonts w:ascii="Arial" w:cs="Arial" w:eastAsia="Arial" w:hAnsi="Arial"/>
                <w:sz w:val="16"/>
                <w:szCs w:val="16"/>
                <w:color w:val="auto"/>
              </w:rPr>
              <w:t> n/a</w:t>
            </w:r>
          </w:p>
        </w:tc>
        <w:tc>
          <w:tcPr>
            <w:tcW w:w="440" w:type="dxa"/>
            <w:vAlign w:val="bottom"/>
          </w:tcPr>
          <w:p>
            <w:pPr>
              <w:spacing w:after="0"/>
              <w:rPr>
                <w:sz w:val="24"/>
                <w:szCs w:val="24"/>
                <w:color w:val="auto"/>
              </w:rPr>
            </w:pPr>
          </w:p>
        </w:tc>
        <w:tc>
          <w:tcPr>
            <w:tcW w:w="1880" w:type="dxa"/>
            <w:vAlign w:val="bottom"/>
          </w:tcPr>
          <w:p>
            <w:pPr>
              <w:jc w:val="right"/>
              <w:ind w:right="280"/>
              <w:spacing w:after="0"/>
              <w:rPr>
                <w:sz w:val="20"/>
                <w:szCs w:val="20"/>
                <w:color w:val="auto"/>
              </w:rPr>
            </w:pPr>
            <w:r>
              <w:rPr>
                <w:rFonts w:ascii="Arial" w:cs="Arial" w:eastAsia="Arial" w:hAnsi="Arial"/>
                <w:sz w:val="16"/>
                <w:szCs w:val="16"/>
                <w:color w:val="auto"/>
              </w:rPr>
              <w:t>n/a</w:t>
            </w: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97"/>
        </w:trPr>
        <w:tc>
          <w:tcPr>
            <w:tcW w:w="2520" w:type="dxa"/>
            <w:vAlign w:val="bottom"/>
            <w:tcBorders>
              <w:bottom w:val="single" w:sz="8" w:color="009BDE"/>
            </w:tcBorders>
          </w:tcPr>
          <w:p>
            <w:pPr>
              <w:spacing w:after="0"/>
              <w:rPr>
                <w:sz w:val="8"/>
                <w:szCs w:val="8"/>
                <w:color w:val="auto"/>
              </w:rPr>
            </w:pPr>
          </w:p>
        </w:tc>
        <w:tc>
          <w:tcPr>
            <w:tcW w:w="2380" w:type="dxa"/>
            <w:vAlign w:val="bottom"/>
            <w:tcBorders>
              <w:bottom w:val="single" w:sz="8" w:color="009BDE"/>
            </w:tcBorders>
          </w:tcPr>
          <w:p>
            <w:pPr>
              <w:spacing w:after="0"/>
              <w:rPr>
                <w:sz w:val="8"/>
                <w:szCs w:val="8"/>
                <w:color w:val="auto"/>
              </w:rPr>
            </w:pPr>
          </w:p>
        </w:tc>
        <w:tc>
          <w:tcPr>
            <w:tcW w:w="202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188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1120" w:type="dxa"/>
            <w:vAlign w:val="bottom"/>
            <w:tcBorders>
              <w:bottom w:val="single" w:sz="8" w:color="009BDE"/>
            </w:tcBorders>
          </w:tcPr>
          <w:p>
            <w:pPr>
              <w:spacing w:after="0"/>
              <w:rPr>
                <w:sz w:val="8"/>
                <w:szCs w:val="8"/>
                <w:color w:val="auto"/>
              </w:rPr>
            </w:pPr>
          </w:p>
        </w:tc>
      </w:tr>
      <w:tr>
        <w:trPr>
          <w:trHeight w:val="284"/>
        </w:trPr>
        <w:tc>
          <w:tcPr>
            <w:tcW w:w="2520" w:type="dxa"/>
            <w:vAlign w:val="bottom"/>
          </w:tcPr>
          <w:p>
            <w:pPr>
              <w:ind w:left="80"/>
              <w:spacing w:after="0"/>
              <w:rPr>
                <w:sz w:val="20"/>
                <w:szCs w:val="20"/>
                <w:color w:val="auto"/>
              </w:rPr>
            </w:pPr>
            <w:r>
              <w:rPr>
                <w:rFonts w:ascii="Arial" w:cs="Arial" w:eastAsia="Arial" w:hAnsi="Arial"/>
                <w:sz w:val="16"/>
                <w:szCs w:val="16"/>
                <w:color w:val="auto"/>
              </w:rPr>
              <w:t>Tim Kilpin (b)</w:t>
            </w:r>
          </w:p>
        </w:tc>
        <w:tc>
          <w:tcPr>
            <w:tcW w:w="2380" w:type="dxa"/>
            <w:vAlign w:val="bottom"/>
          </w:tcPr>
          <w:p>
            <w:pPr>
              <w:jc w:val="center"/>
              <w:ind w:left="260"/>
              <w:spacing w:after="0"/>
              <w:rPr>
                <w:sz w:val="20"/>
                <w:szCs w:val="20"/>
                <w:color w:val="auto"/>
              </w:rPr>
            </w:pPr>
            <w:r>
              <w:rPr>
                <w:rFonts w:ascii="Arial" w:cs="Arial" w:eastAsia="Arial" w:hAnsi="Arial"/>
                <w:sz w:val="16"/>
                <w:szCs w:val="16"/>
                <w:color w:val="auto"/>
              </w:rPr>
              <w:t>n/a</w:t>
            </w:r>
          </w:p>
        </w:tc>
        <w:tc>
          <w:tcPr>
            <w:tcW w:w="2020" w:type="dxa"/>
            <w:vAlign w:val="bottom"/>
          </w:tcPr>
          <w:p>
            <w:pPr>
              <w:jc w:val="center"/>
              <w:spacing w:after="0"/>
              <w:rPr>
                <w:sz w:val="20"/>
                <w:szCs w:val="20"/>
                <w:color w:val="auto"/>
              </w:rPr>
            </w:pPr>
            <w:r>
              <w:rPr>
                <w:rFonts w:ascii="Arial" w:cs="Arial" w:eastAsia="Arial" w:hAnsi="Arial"/>
                <w:sz w:val="16"/>
                <w:szCs w:val="16"/>
                <w:color w:val="auto"/>
              </w:rPr>
              <w:t> n/a</w:t>
            </w:r>
          </w:p>
        </w:tc>
        <w:tc>
          <w:tcPr>
            <w:tcW w:w="440" w:type="dxa"/>
            <w:vAlign w:val="bottom"/>
          </w:tcPr>
          <w:p>
            <w:pPr>
              <w:spacing w:after="0"/>
              <w:rPr>
                <w:sz w:val="24"/>
                <w:szCs w:val="24"/>
                <w:color w:val="auto"/>
              </w:rPr>
            </w:pPr>
          </w:p>
        </w:tc>
        <w:tc>
          <w:tcPr>
            <w:tcW w:w="1880" w:type="dxa"/>
            <w:vAlign w:val="bottom"/>
          </w:tcPr>
          <w:p>
            <w:pPr>
              <w:jc w:val="right"/>
              <w:ind w:right="280"/>
              <w:spacing w:after="0"/>
              <w:rPr>
                <w:sz w:val="20"/>
                <w:szCs w:val="20"/>
                <w:color w:val="auto"/>
              </w:rPr>
            </w:pPr>
            <w:r>
              <w:rPr>
                <w:rFonts w:ascii="Arial" w:cs="Arial" w:eastAsia="Arial" w:hAnsi="Arial"/>
                <w:sz w:val="16"/>
                <w:szCs w:val="16"/>
                <w:color w:val="auto"/>
              </w:rPr>
              <w:t>n/a</w:t>
            </w: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97"/>
        </w:trPr>
        <w:tc>
          <w:tcPr>
            <w:tcW w:w="2520" w:type="dxa"/>
            <w:vAlign w:val="bottom"/>
            <w:tcBorders>
              <w:bottom w:val="single" w:sz="8" w:color="009BDE"/>
            </w:tcBorders>
          </w:tcPr>
          <w:p>
            <w:pPr>
              <w:spacing w:after="0"/>
              <w:rPr>
                <w:sz w:val="8"/>
                <w:szCs w:val="8"/>
                <w:color w:val="auto"/>
              </w:rPr>
            </w:pPr>
          </w:p>
        </w:tc>
        <w:tc>
          <w:tcPr>
            <w:tcW w:w="2380" w:type="dxa"/>
            <w:vAlign w:val="bottom"/>
            <w:tcBorders>
              <w:bottom w:val="single" w:sz="8" w:color="009BDE"/>
            </w:tcBorders>
          </w:tcPr>
          <w:p>
            <w:pPr>
              <w:spacing w:after="0"/>
              <w:rPr>
                <w:sz w:val="8"/>
                <w:szCs w:val="8"/>
                <w:color w:val="auto"/>
              </w:rPr>
            </w:pPr>
          </w:p>
        </w:tc>
        <w:tc>
          <w:tcPr>
            <w:tcW w:w="202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188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1120" w:type="dxa"/>
            <w:vAlign w:val="bottom"/>
            <w:tcBorders>
              <w:bottom w:val="single" w:sz="8" w:color="009BDE"/>
            </w:tcBorders>
          </w:tcPr>
          <w:p>
            <w:pPr>
              <w:spacing w:after="0"/>
              <w:rPr>
                <w:sz w:val="8"/>
                <w:szCs w:val="8"/>
                <w:color w:val="auto"/>
              </w:rPr>
            </w:pPr>
          </w:p>
        </w:tc>
      </w:tr>
      <w:tr>
        <w:trPr>
          <w:trHeight w:val="284"/>
        </w:trPr>
        <w:tc>
          <w:tcPr>
            <w:tcW w:w="2520" w:type="dxa"/>
            <w:vAlign w:val="bottom"/>
          </w:tcPr>
          <w:p>
            <w:pPr>
              <w:ind w:left="80"/>
              <w:spacing w:after="0"/>
              <w:rPr>
                <w:sz w:val="20"/>
                <w:szCs w:val="20"/>
                <w:color w:val="auto"/>
              </w:rPr>
            </w:pPr>
            <w:r>
              <w:rPr>
                <w:rFonts w:ascii="Arial" w:cs="Arial" w:eastAsia="Arial" w:hAnsi="Arial"/>
                <w:sz w:val="16"/>
                <w:szCs w:val="16"/>
                <w:color w:val="auto"/>
              </w:rPr>
              <w:t>Tarrant Sibley</w:t>
            </w:r>
          </w:p>
        </w:tc>
        <w:tc>
          <w:tcPr>
            <w:tcW w:w="2380" w:type="dxa"/>
            <w:vAlign w:val="bottom"/>
          </w:tcPr>
          <w:p>
            <w:pPr>
              <w:jc w:val="center"/>
              <w:ind w:left="260"/>
              <w:spacing w:after="0"/>
              <w:rPr>
                <w:sz w:val="20"/>
                <w:szCs w:val="20"/>
                <w:color w:val="auto"/>
              </w:rPr>
            </w:pPr>
            <w:r>
              <w:rPr>
                <w:rFonts w:ascii="Arial" w:cs="Arial" w:eastAsia="Arial" w:hAnsi="Arial"/>
                <w:sz w:val="16"/>
                <w:szCs w:val="16"/>
                <w:color w:val="auto"/>
              </w:rPr>
              <w:t>Supplemental Plan</w:t>
            </w:r>
          </w:p>
        </w:tc>
        <w:tc>
          <w:tcPr>
            <w:tcW w:w="2020" w:type="dxa"/>
            <w:vAlign w:val="bottom"/>
          </w:tcPr>
          <w:p>
            <w:pPr>
              <w:jc w:val="center"/>
              <w:spacing w:after="0"/>
              <w:rPr>
                <w:sz w:val="20"/>
                <w:szCs w:val="20"/>
                <w:color w:val="auto"/>
              </w:rPr>
            </w:pPr>
            <w:r>
              <w:rPr>
                <w:rFonts w:ascii="Arial" w:cs="Arial" w:eastAsia="Arial" w:hAnsi="Arial"/>
                <w:sz w:val="16"/>
                <w:szCs w:val="16"/>
                <w:color w:val="auto"/>
                <w:w w:val="96"/>
              </w:rPr>
              <w:t>7.00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80"/>
              <w:spacing w:after="0"/>
              <w:rPr>
                <w:sz w:val="20"/>
                <w:szCs w:val="20"/>
                <w:color w:val="auto"/>
              </w:rPr>
            </w:pPr>
            <w:r>
              <w:rPr>
                <w:rFonts w:ascii="Arial" w:cs="Arial" w:eastAsia="Arial" w:hAnsi="Arial"/>
                <w:sz w:val="16"/>
                <w:szCs w:val="16"/>
                <w:color w:val="auto"/>
              </w:rPr>
              <w:t>17,116</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61595</wp:posOffset>
            </wp:positionV>
            <wp:extent cx="69297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ind w:left="600" w:right="80" w:hanging="433"/>
        <w:spacing w:after="0" w:line="246" w:lineRule="auto"/>
        <w:tabs>
          <w:tab w:leader="none" w:pos="6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Supplemental Plan is the lump-sum value as of December 31, 2025 of the benefit earned as of December 31, 2025, reflecting credited service and five-year average compensation as of the plan freeze date of December 31, 2007, and current statutory benefit and pay limits as applicable. Certain assumptions were used to determine the lump-sum values and are outlined below. These assumptions are consistent with those used for financial statement purposes, except that the Named Executive Officer is assumed to continue to be employed until the assumed retirement age (i.e., there will be no assumed termination for any reason, including death or disability). The assumptions are as follows: (i) measurement date is December 28, 2025, (ii) the Supplemental Plan benefits lump sum amounts are based on interest rates as prescribed in Code Section 417(e)(3)(C) for August, 2025 and the mortality table as prescribed by Code Section 417(e)(3)(C) as prescribed by the Secretary of the Treasury for payments made in 2026, and (iii) all values are estimates only; actual benefits will be based on the selected retirement date.</w:t>
      </w:r>
    </w:p>
    <w:p>
      <w:pPr>
        <w:spacing w:after="0" w:line="49" w:lineRule="exact"/>
        <w:rPr>
          <w:sz w:val="20"/>
          <w:szCs w:val="20"/>
          <w:color w:val="auto"/>
        </w:rPr>
      </w:pPr>
    </w:p>
    <w:p>
      <w:pPr>
        <w:ind w:left="600" w:hanging="433"/>
        <w:spacing w:after="0"/>
        <w:tabs>
          <w:tab w:leader="none" w:pos="6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Pension Plan was frozen prior to Messrs. Cocks, Hight, Kilpin, and Ms. Goetter joining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252095</wp:posOffset>
            </wp:positionV>
            <wp:extent cx="6964045" cy="39052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  46</w:t>
      </w:r>
    </w:p>
    <w:p>
      <w:pPr>
        <w:sectPr>
          <w:pgSz w:w="11900" w:h="16838" w:orient="portrait"/>
          <w:cols w:equalWidth="0" w:num="1">
            <w:col w:w="11080"/>
          </w:cols>
          <w:pgMar w:left="320" w:top="478"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auto"/>
        </w:rPr>
        <w:t>The following table provides information with respect to fiscal 2025 for each Named Executive Officer regarding defined contribution plans and other plans which provide for the deferral of compensation on a basis that is not tax-qualified.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6929755" cy="33147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6929755" cy="331470"/>
                    </a:xfrm>
                    <a:prstGeom prst="rect">
                      <a:avLst/>
                    </a:prstGeom>
                    <a:noFill/>
                  </pic:spPr>
                </pic:pic>
              </a:graphicData>
            </a:graphic>
          </wp:anchor>
        </w:drawing>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Non-Qualified Deferred Compensation and Other Deferred Compensation</w:t>
      </w:r>
    </w:p>
    <w:p>
      <w:pPr>
        <w:spacing w:after="0" w:line="75" w:lineRule="exact"/>
        <w:rPr>
          <w:sz w:val="20"/>
          <w:szCs w:val="20"/>
          <w:color w:val="auto"/>
        </w:rPr>
      </w:pPr>
    </w:p>
    <w:tbl>
      <w:tblPr>
        <w:tblLayout w:type="fixed"/>
        <w:tblInd w:w="160" w:type="dxa"/>
        <w:tblCellMar>
          <w:top w:w="0" w:type="dxa"/>
          <w:left w:w="0" w:type="dxa"/>
          <w:bottom w:w="0" w:type="dxa"/>
          <w:right w:w="0" w:type="dxa"/>
        </w:tblCellMar>
      </w:tblPr>
      <w:tr>
        <w:trPr>
          <w:trHeight w:val="272"/>
        </w:trPr>
        <w:tc>
          <w:tcPr>
            <w:tcW w:w="980" w:type="dxa"/>
            <w:vAlign w:val="bottom"/>
            <w:tcBorders>
              <w:top w:val="single" w:sz="8" w:color="0060ED"/>
            </w:tcBorders>
            <w:shd w:val="clear" w:color="auto" w:fill="CCEBF8"/>
          </w:tcPr>
          <w:p>
            <w:pPr>
              <w:spacing w:after="0"/>
              <w:rPr>
                <w:sz w:val="23"/>
                <w:szCs w:val="23"/>
                <w:color w:val="auto"/>
              </w:rPr>
            </w:pPr>
          </w:p>
        </w:tc>
        <w:tc>
          <w:tcPr>
            <w:tcW w:w="2060" w:type="dxa"/>
            <w:vAlign w:val="bottom"/>
            <w:tcBorders>
              <w:top w:val="single" w:sz="8" w:color="0060ED"/>
            </w:tcBorders>
            <w:shd w:val="clear" w:color="auto" w:fill="CCEBF8"/>
          </w:tcPr>
          <w:p>
            <w:pPr>
              <w:spacing w:after="0"/>
              <w:rPr>
                <w:sz w:val="23"/>
                <w:szCs w:val="23"/>
                <w:color w:val="auto"/>
              </w:rPr>
            </w:pPr>
          </w:p>
        </w:tc>
        <w:tc>
          <w:tcPr>
            <w:tcW w:w="420" w:type="dxa"/>
            <w:vAlign w:val="bottom"/>
            <w:tcBorders>
              <w:top w:val="single" w:sz="8" w:color="0060ED"/>
            </w:tcBorders>
            <w:shd w:val="clear" w:color="auto" w:fill="CCEBF8"/>
          </w:tcPr>
          <w:p>
            <w:pPr>
              <w:spacing w:after="0"/>
              <w:rPr>
                <w:sz w:val="23"/>
                <w:szCs w:val="23"/>
                <w:color w:val="auto"/>
              </w:rPr>
            </w:pPr>
          </w:p>
        </w:tc>
        <w:tc>
          <w:tcPr>
            <w:tcW w:w="1340" w:type="dxa"/>
            <w:vAlign w:val="bottom"/>
            <w:tcBorders>
              <w:top w:val="single" w:sz="8" w:color="0060ED"/>
            </w:tcBorders>
            <w:shd w:val="clear" w:color="auto" w:fill="CCEBF8"/>
          </w:tcPr>
          <w:p>
            <w:pPr>
              <w:jc w:val="center"/>
              <w:ind w:right="256"/>
              <w:spacing w:after="0"/>
              <w:rPr>
                <w:sz w:val="20"/>
                <w:szCs w:val="20"/>
                <w:color w:val="auto"/>
              </w:rPr>
            </w:pPr>
            <w:r>
              <w:rPr>
                <w:rFonts w:ascii="Arial" w:cs="Arial" w:eastAsia="Arial" w:hAnsi="Arial"/>
                <w:sz w:val="14"/>
                <w:szCs w:val="14"/>
                <w:b w:val="1"/>
                <w:bCs w:val="1"/>
                <w:color w:val="009BDE"/>
              </w:rPr>
              <w:t>Executive</w:t>
            </w:r>
          </w:p>
        </w:tc>
        <w:tc>
          <w:tcPr>
            <w:tcW w:w="340" w:type="dxa"/>
            <w:vAlign w:val="bottom"/>
            <w:tcBorders>
              <w:top w:val="single" w:sz="8" w:color="0060ED"/>
            </w:tcBorders>
            <w:shd w:val="clear" w:color="auto" w:fill="CCEBF8"/>
          </w:tcPr>
          <w:p>
            <w:pPr>
              <w:spacing w:after="0"/>
              <w:rPr>
                <w:sz w:val="23"/>
                <w:szCs w:val="23"/>
                <w:color w:val="auto"/>
              </w:rPr>
            </w:pPr>
          </w:p>
        </w:tc>
        <w:tc>
          <w:tcPr>
            <w:tcW w:w="1160" w:type="dxa"/>
            <w:vAlign w:val="bottom"/>
            <w:tcBorders>
              <w:top w:val="single" w:sz="8" w:color="0060ED"/>
            </w:tcBorders>
            <w:shd w:val="clear" w:color="auto" w:fill="CCEBF8"/>
          </w:tcPr>
          <w:p>
            <w:pPr>
              <w:jc w:val="right"/>
              <w:ind w:right="336"/>
              <w:spacing w:after="0"/>
              <w:rPr>
                <w:sz w:val="20"/>
                <w:szCs w:val="20"/>
                <w:color w:val="auto"/>
              </w:rPr>
            </w:pPr>
            <w:r>
              <w:rPr>
                <w:rFonts w:ascii="Arial" w:cs="Arial" w:eastAsia="Arial" w:hAnsi="Arial"/>
                <w:sz w:val="14"/>
                <w:szCs w:val="14"/>
                <w:b w:val="1"/>
                <w:bCs w:val="1"/>
                <w:color w:val="009BDE"/>
              </w:rPr>
              <w:t>Registrant</w:t>
            </w:r>
          </w:p>
        </w:tc>
        <w:tc>
          <w:tcPr>
            <w:tcW w:w="280" w:type="dxa"/>
            <w:vAlign w:val="bottom"/>
            <w:tcBorders>
              <w:top w:val="single" w:sz="8" w:color="0060ED"/>
            </w:tcBorders>
            <w:shd w:val="clear" w:color="auto" w:fill="CCEBF8"/>
          </w:tcPr>
          <w:p>
            <w:pPr>
              <w:spacing w:after="0"/>
              <w:rPr>
                <w:sz w:val="23"/>
                <w:szCs w:val="23"/>
                <w:color w:val="auto"/>
              </w:rPr>
            </w:pPr>
          </w:p>
        </w:tc>
        <w:tc>
          <w:tcPr>
            <w:tcW w:w="1260" w:type="dxa"/>
            <w:vAlign w:val="bottom"/>
            <w:tcBorders>
              <w:top w:val="single" w:sz="8" w:color="0060ED"/>
            </w:tcBorders>
            <w:shd w:val="clear" w:color="auto" w:fill="CCEBF8"/>
          </w:tcPr>
          <w:p>
            <w:pPr>
              <w:jc w:val="center"/>
              <w:ind w:right="236"/>
              <w:spacing w:after="0"/>
              <w:rPr>
                <w:sz w:val="20"/>
                <w:szCs w:val="20"/>
                <w:color w:val="auto"/>
              </w:rPr>
            </w:pPr>
            <w:r>
              <w:rPr>
                <w:rFonts w:ascii="Arial" w:cs="Arial" w:eastAsia="Arial" w:hAnsi="Arial"/>
                <w:sz w:val="14"/>
                <w:szCs w:val="14"/>
                <w:b w:val="1"/>
                <w:bCs w:val="1"/>
                <w:color w:val="009BDE"/>
              </w:rPr>
              <w:t>Aggregate</w:t>
            </w:r>
          </w:p>
        </w:tc>
        <w:tc>
          <w:tcPr>
            <w:tcW w:w="1300" w:type="dxa"/>
            <w:vAlign w:val="bottom"/>
            <w:tcBorders>
              <w:top w:val="single" w:sz="8" w:color="0060ED"/>
            </w:tcBorders>
            <w:shd w:val="clear" w:color="auto" w:fill="CCEBF8"/>
          </w:tcPr>
          <w:p>
            <w:pPr>
              <w:jc w:val="right"/>
              <w:ind w:right="235"/>
              <w:spacing w:after="0"/>
              <w:rPr>
                <w:sz w:val="20"/>
                <w:szCs w:val="20"/>
                <w:color w:val="auto"/>
              </w:rPr>
            </w:pPr>
            <w:r>
              <w:rPr>
                <w:rFonts w:ascii="Arial" w:cs="Arial" w:eastAsia="Arial" w:hAnsi="Arial"/>
                <w:sz w:val="14"/>
                <w:szCs w:val="14"/>
                <w:b w:val="1"/>
                <w:bCs w:val="1"/>
                <w:color w:val="009BDE"/>
              </w:rPr>
              <w:t>Aggregate</w:t>
            </w:r>
          </w:p>
        </w:tc>
        <w:tc>
          <w:tcPr>
            <w:tcW w:w="1780" w:type="dxa"/>
            <w:vAlign w:val="bottom"/>
            <w:tcBorders>
              <w:top w:val="single" w:sz="8" w:color="0060ED"/>
            </w:tcBorders>
            <w:gridSpan w:val="2"/>
            <w:shd w:val="clear" w:color="auto" w:fill="CCEBF8"/>
          </w:tcPr>
          <w:p>
            <w:pPr>
              <w:ind w:left="220"/>
              <w:spacing w:after="0"/>
              <w:rPr>
                <w:sz w:val="20"/>
                <w:szCs w:val="20"/>
                <w:color w:val="auto"/>
              </w:rPr>
            </w:pPr>
            <w:r>
              <w:rPr>
                <w:rFonts w:ascii="Arial" w:cs="Arial" w:eastAsia="Arial" w:hAnsi="Arial"/>
                <w:sz w:val="14"/>
                <w:szCs w:val="14"/>
                <w:b w:val="1"/>
                <w:bCs w:val="1"/>
                <w:color w:val="009BDE"/>
              </w:rPr>
              <w:t>Aggregate Balance  </w:t>
            </w:r>
          </w:p>
        </w:tc>
      </w:tr>
      <w:tr>
        <w:trPr>
          <w:trHeight w:val="160"/>
        </w:trPr>
        <w:tc>
          <w:tcPr>
            <w:tcW w:w="980" w:type="dxa"/>
            <w:vAlign w:val="bottom"/>
            <w:shd w:val="clear" w:color="auto" w:fill="CCEBF8"/>
          </w:tcPr>
          <w:p>
            <w:pPr>
              <w:spacing w:after="0"/>
              <w:rPr>
                <w:sz w:val="13"/>
                <w:szCs w:val="13"/>
                <w:color w:val="auto"/>
              </w:rPr>
            </w:pPr>
          </w:p>
        </w:tc>
        <w:tc>
          <w:tcPr>
            <w:tcW w:w="2060" w:type="dxa"/>
            <w:vAlign w:val="bottom"/>
            <w:shd w:val="clear" w:color="auto" w:fill="CCEBF8"/>
          </w:tcPr>
          <w:p>
            <w:pPr>
              <w:spacing w:after="0"/>
              <w:rPr>
                <w:sz w:val="13"/>
                <w:szCs w:val="13"/>
                <w:color w:val="auto"/>
              </w:rPr>
            </w:pPr>
          </w:p>
        </w:tc>
        <w:tc>
          <w:tcPr>
            <w:tcW w:w="420" w:type="dxa"/>
            <w:vAlign w:val="bottom"/>
            <w:shd w:val="clear" w:color="auto" w:fill="CCEBF8"/>
          </w:tcPr>
          <w:p>
            <w:pPr>
              <w:spacing w:after="0"/>
              <w:rPr>
                <w:sz w:val="13"/>
                <w:szCs w:val="13"/>
                <w:color w:val="auto"/>
              </w:rPr>
            </w:pPr>
          </w:p>
        </w:tc>
        <w:tc>
          <w:tcPr>
            <w:tcW w:w="1340" w:type="dxa"/>
            <w:vAlign w:val="bottom"/>
            <w:shd w:val="clear" w:color="auto" w:fill="CCEBF8"/>
          </w:tcPr>
          <w:p>
            <w:pPr>
              <w:jc w:val="center"/>
              <w:ind w:right="256"/>
              <w:spacing w:after="0"/>
              <w:rPr>
                <w:sz w:val="20"/>
                <w:szCs w:val="20"/>
                <w:color w:val="auto"/>
              </w:rPr>
            </w:pPr>
            <w:r>
              <w:rPr>
                <w:rFonts w:ascii="Arial" w:cs="Arial" w:eastAsia="Arial" w:hAnsi="Arial"/>
                <w:sz w:val="14"/>
                <w:szCs w:val="14"/>
                <w:b w:val="1"/>
                <w:bCs w:val="1"/>
                <w:color w:val="009BDE"/>
              </w:rPr>
              <w:t>Contributions</w:t>
            </w:r>
          </w:p>
        </w:tc>
        <w:tc>
          <w:tcPr>
            <w:tcW w:w="1500" w:type="dxa"/>
            <w:vAlign w:val="bottom"/>
            <w:gridSpan w:val="2"/>
            <w:shd w:val="clear" w:color="auto" w:fill="CCEBF8"/>
          </w:tcPr>
          <w:p>
            <w:pPr>
              <w:ind w:left="200"/>
              <w:spacing w:after="0"/>
              <w:rPr>
                <w:sz w:val="20"/>
                <w:szCs w:val="20"/>
                <w:color w:val="auto"/>
              </w:rPr>
            </w:pPr>
            <w:r>
              <w:rPr>
                <w:rFonts w:ascii="Arial" w:cs="Arial" w:eastAsia="Arial" w:hAnsi="Arial"/>
                <w:sz w:val="14"/>
                <w:szCs w:val="14"/>
                <w:b w:val="1"/>
                <w:bCs w:val="1"/>
                <w:color w:val="009BDE"/>
              </w:rPr>
              <w:t>Contributions in</w:t>
            </w:r>
          </w:p>
        </w:tc>
        <w:tc>
          <w:tcPr>
            <w:tcW w:w="1540" w:type="dxa"/>
            <w:vAlign w:val="bottom"/>
            <w:gridSpan w:val="2"/>
            <w:shd w:val="clear" w:color="auto" w:fill="CCEBF8"/>
          </w:tcPr>
          <w:p>
            <w:pPr>
              <w:ind w:left="200"/>
              <w:spacing w:after="0"/>
              <w:rPr>
                <w:sz w:val="20"/>
                <w:szCs w:val="20"/>
                <w:color w:val="auto"/>
              </w:rPr>
            </w:pPr>
            <w:r>
              <w:rPr>
                <w:rFonts w:ascii="Arial" w:cs="Arial" w:eastAsia="Arial" w:hAnsi="Arial"/>
                <w:sz w:val="14"/>
                <w:szCs w:val="14"/>
                <w:b w:val="1"/>
                <w:bCs w:val="1"/>
                <w:color w:val="009BDE"/>
              </w:rPr>
              <w:t>Earnings in Last</w:t>
            </w:r>
          </w:p>
        </w:tc>
        <w:tc>
          <w:tcPr>
            <w:tcW w:w="1300" w:type="dxa"/>
            <w:vAlign w:val="bottom"/>
            <w:shd w:val="clear" w:color="auto" w:fill="CCEBF8"/>
          </w:tcPr>
          <w:p>
            <w:pPr>
              <w:jc w:val="right"/>
              <w:ind w:right="155"/>
              <w:spacing w:after="0"/>
              <w:rPr>
                <w:sz w:val="20"/>
                <w:szCs w:val="20"/>
                <w:color w:val="auto"/>
              </w:rPr>
            </w:pPr>
            <w:r>
              <w:rPr>
                <w:rFonts w:ascii="Arial" w:cs="Arial" w:eastAsia="Arial" w:hAnsi="Arial"/>
                <w:sz w:val="14"/>
                <w:szCs w:val="14"/>
                <w:b w:val="1"/>
                <w:bCs w:val="1"/>
                <w:color w:val="009BDE"/>
              </w:rPr>
              <w:t>Withdrawals/</w:t>
            </w:r>
          </w:p>
        </w:tc>
        <w:tc>
          <w:tcPr>
            <w:tcW w:w="340" w:type="dxa"/>
            <w:vAlign w:val="bottom"/>
            <w:shd w:val="clear" w:color="auto" w:fill="CCEBF8"/>
          </w:tcPr>
          <w:p>
            <w:pPr>
              <w:spacing w:after="0"/>
              <w:rPr>
                <w:sz w:val="13"/>
                <w:szCs w:val="13"/>
                <w:color w:val="auto"/>
              </w:rPr>
            </w:pPr>
          </w:p>
        </w:tc>
        <w:tc>
          <w:tcPr>
            <w:tcW w:w="1440" w:type="dxa"/>
            <w:vAlign w:val="bottom"/>
            <w:shd w:val="clear" w:color="auto" w:fill="CCEBF8"/>
          </w:tcPr>
          <w:p>
            <w:pPr>
              <w:jc w:val="center"/>
              <w:ind w:right="236"/>
              <w:spacing w:after="0"/>
              <w:rPr>
                <w:sz w:val="20"/>
                <w:szCs w:val="20"/>
                <w:color w:val="auto"/>
              </w:rPr>
            </w:pPr>
            <w:r>
              <w:rPr>
                <w:rFonts w:ascii="Arial" w:cs="Arial" w:eastAsia="Arial" w:hAnsi="Arial"/>
                <w:sz w:val="14"/>
                <w:szCs w:val="14"/>
                <w:b w:val="1"/>
                <w:bCs w:val="1"/>
                <w:color w:val="009BDE"/>
              </w:rPr>
              <w:t>at Last Fiscal  </w:t>
            </w:r>
          </w:p>
        </w:tc>
      </w:tr>
      <w:tr>
        <w:trPr>
          <w:trHeight w:val="160"/>
        </w:trPr>
        <w:tc>
          <w:tcPr>
            <w:tcW w:w="980" w:type="dxa"/>
            <w:vAlign w:val="bottom"/>
            <w:shd w:val="clear" w:color="auto" w:fill="CCEBF8"/>
          </w:tcPr>
          <w:p>
            <w:pPr>
              <w:spacing w:after="0"/>
              <w:rPr>
                <w:sz w:val="13"/>
                <w:szCs w:val="13"/>
                <w:color w:val="auto"/>
              </w:rPr>
            </w:pPr>
          </w:p>
        </w:tc>
        <w:tc>
          <w:tcPr>
            <w:tcW w:w="2060" w:type="dxa"/>
            <w:vAlign w:val="bottom"/>
            <w:shd w:val="clear" w:color="auto" w:fill="CCEBF8"/>
          </w:tcPr>
          <w:p>
            <w:pPr>
              <w:spacing w:after="0"/>
              <w:rPr>
                <w:sz w:val="13"/>
                <w:szCs w:val="13"/>
                <w:color w:val="auto"/>
              </w:rPr>
            </w:pPr>
          </w:p>
        </w:tc>
        <w:tc>
          <w:tcPr>
            <w:tcW w:w="1760" w:type="dxa"/>
            <w:vAlign w:val="bottom"/>
            <w:gridSpan w:val="2"/>
            <w:shd w:val="clear" w:color="auto" w:fill="CCEBF8"/>
          </w:tcPr>
          <w:p>
            <w:pPr>
              <w:jc w:val="center"/>
              <w:ind w:left="55"/>
              <w:spacing w:after="0"/>
              <w:rPr>
                <w:sz w:val="20"/>
                <w:szCs w:val="20"/>
                <w:color w:val="auto"/>
              </w:rPr>
            </w:pPr>
            <w:r>
              <w:rPr>
                <w:rFonts w:ascii="Arial" w:cs="Arial" w:eastAsia="Arial" w:hAnsi="Arial"/>
                <w:sz w:val="14"/>
                <w:szCs w:val="14"/>
                <w:b w:val="1"/>
                <w:bCs w:val="1"/>
                <w:color w:val="009BDE"/>
              </w:rPr>
              <w:t>in Last Fiscal Year</w:t>
            </w:r>
          </w:p>
        </w:tc>
        <w:tc>
          <w:tcPr>
            <w:tcW w:w="1500" w:type="dxa"/>
            <w:vAlign w:val="bottom"/>
            <w:gridSpan w:val="2"/>
            <w:shd w:val="clear" w:color="auto" w:fill="CCEBF8"/>
          </w:tcPr>
          <w:p>
            <w:pPr>
              <w:ind w:left="220"/>
              <w:spacing w:after="0"/>
              <w:rPr>
                <w:sz w:val="20"/>
                <w:szCs w:val="20"/>
                <w:color w:val="auto"/>
              </w:rPr>
            </w:pPr>
            <w:r>
              <w:rPr>
                <w:rFonts w:ascii="Arial" w:cs="Arial" w:eastAsia="Arial" w:hAnsi="Arial"/>
                <w:sz w:val="14"/>
                <w:szCs w:val="14"/>
                <w:b w:val="1"/>
                <w:bCs w:val="1"/>
                <w:color w:val="009BDE"/>
              </w:rPr>
              <w:t>Last Fiscal Year</w:t>
            </w:r>
          </w:p>
        </w:tc>
        <w:tc>
          <w:tcPr>
            <w:tcW w:w="280" w:type="dxa"/>
            <w:vAlign w:val="bottom"/>
            <w:shd w:val="clear" w:color="auto" w:fill="CCEBF8"/>
          </w:tcPr>
          <w:p>
            <w:pPr>
              <w:spacing w:after="0"/>
              <w:rPr>
                <w:sz w:val="13"/>
                <w:szCs w:val="13"/>
                <w:color w:val="auto"/>
              </w:rPr>
            </w:pPr>
          </w:p>
        </w:tc>
        <w:tc>
          <w:tcPr>
            <w:tcW w:w="1260" w:type="dxa"/>
            <w:vAlign w:val="bottom"/>
            <w:shd w:val="clear" w:color="auto" w:fill="CCEBF8"/>
          </w:tcPr>
          <w:p>
            <w:pPr>
              <w:jc w:val="center"/>
              <w:ind w:right="236"/>
              <w:spacing w:after="0"/>
              <w:rPr>
                <w:sz w:val="20"/>
                <w:szCs w:val="20"/>
                <w:color w:val="auto"/>
              </w:rPr>
            </w:pPr>
            <w:r>
              <w:rPr>
                <w:rFonts w:ascii="Arial" w:cs="Arial" w:eastAsia="Arial" w:hAnsi="Arial"/>
                <w:sz w:val="14"/>
                <w:szCs w:val="14"/>
                <w:b w:val="1"/>
                <w:bCs w:val="1"/>
                <w:color w:val="009BDE"/>
              </w:rPr>
              <w:t>Fiscal Year ($)</w:t>
            </w:r>
          </w:p>
        </w:tc>
        <w:tc>
          <w:tcPr>
            <w:tcW w:w="1300" w:type="dxa"/>
            <w:vAlign w:val="bottom"/>
            <w:shd w:val="clear" w:color="auto" w:fill="CCEBF8"/>
          </w:tcPr>
          <w:p>
            <w:pPr>
              <w:jc w:val="right"/>
              <w:ind w:right="155"/>
              <w:spacing w:after="0"/>
              <w:rPr>
                <w:sz w:val="20"/>
                <w:szCs w:val="20"/>
                <w:color w:val="auto"/>
              </w:rPr>
            </w:pPr>
            <w:r>
              <w:rPr>
                <w:rFonts w:ascii="Arial" w:cs="Arial" w:eastAsia="Arial" w:hAnsi="Arial"/>
                <w:sz w:val="14"/>
                <w:szCs w:val="14"/>
                <w:b w:val="1"/>
                <w:bCs w:val="1"/>
                <w:color w:val="009BDE"/>
              </w:rPr>
              <w:t>Distributions</w:t>
            </w:r>
          </w:p>
        </w:tc>
        <w:tc>
          <w:tcPr>
            <w:tcW w:w="340" w:type="dxa"/>
            <w:vAlign w:val="bottom"/>
            <w:shd w:val="clear" w:color="auto" w:fill="CCEBF8"/>
          </w:tcPr>
          <w:p>
            <w:pPr>
              <w:spacing w:after="0"/>
              <w:rPr>
                <w:sz w:val="13"/>
                <w:szCs w:val="13"/>
                <w:color w:val="auto"/>
              </w:rPr>
            </w:pPr>
          </w:p>
        </w:tc>
        <w:tc>
          <w:tcPr>
            <w:tcW w:w="1440" w:type="dxa"/>
            <w:vAlign w:val="bottom"/>
            <w:shd w:val="clear" w:color="auto" w:fill="CCEBF8"/>
          </w:tcPr>
          <w:p>
            <w:pPr>
              <w:jc w:val="center"/>
              <w:ind w:right="236"/>
              <w:spacing w:after="0"/>
              <w:rPr>
                <w:sz w:val="20"/>
                <w:szCs w:val="20"/>
                <w:color w:val="auto"/>
              </w:rPr>
            </w:pPr>
            <w:r>
              <w:rPr>
                <w:rFonts w:ascii="Arial" w:cs="Arial" w:eastAsia="Arial" w:hAnsi="Arial"/>
                <w:sz w:val="14"/>
                <w:szCs w:val="14"/>
                <w:b w:val="1"/>
                <w:bCs w:val="1"/>
                <w:color w:val="009BDE"/>
              </w:rPr>
              <w:t>Year End  </w:t>
            </w:r>
          </w:p>
        </w:tc>
      </w:tr>
      <w:tr>
        <w:trPr>
          <w:trHeight w:val="208"/>
        </w:trPr>
        <w:tc>
          <w:tcPr>
            <w:tcW w:w="980" w:type="dxa"/>
            <w:vAlign w:val="bottom"/>
            <w:shd w:val="clear" w:color="auto" w:fill="CCEBF8"/>
          </w:tcPr>
          <w:p>
            <w:pPr>
              <w:ind w:left="80"/>
              <w:spacing w:after="0"/>
              <w:rPr>
                <w:sz w:val="20"/>
                <w:szCs w:val="20"/>
                <w:color w:val="auto"/>
              </w:rPr>
            </w:pPr>
            <w:r>
              <w:rPr>
                <w:rFonts w:ascii="Arial" w:cs="Arial" w:eastAsia="Arial" w:hAnsi="Arial"/>
                <w:sz w:val="14"/>
                <w:szCs w:val="14"/>
                <w:b w:val="1"/>
                <w:bCs w:val="1"/>
                <w:color w:val="009BDE"/>
              </w:rPr>
              <w:t>Name</w:t>
            </w:r>
          </w:p>
        </w:tc>
        <w:tc>
          <w:tcPr>
            <w:tcW w:w="2060" w:type="dxa"/>
            <w:vAlign w:val="bottom"/>
            <w:shd w:val="clear" w:color="auto" w:fill="CCEBF8"/>
          </w:tcPr>
          <w:p>
            <w:pPr>
              <w:ind w:left="820"/>
              <w:spacing w:after="0"/>
              <w:rPr>
                <w:sz w:val="20"/>
                <w:szCs w:val="20"/>
                <w:color w:val="auto"/>
              </w:rPr>
            </w:pPr>
            <w:r>
              <w:rPr>
                <w:rFonts w:ascii="Arial" w:cs="Arial" w:eastAsia="Arial" w:hAnsi="Arial"/>
                <w:sz w:val="14"/>
                <w:szCs w:val="14"/>
                <w:b w:val="1"/>
                <w:bCs w:val="1"/>
                <w:color w:val="009BDE"/>
              </w:rPr>
              <w:t>Plan Name</w:t>
            </w:r>
          </w:p>
        </w:tc>
        <w:tc>
          <w:tcPr>
            <w:tcW w:w="420" w:type="dxa"/>
            <w:vAlign w:val="bottom"/>
            <w:shd w:val="clear" w:color="auto" w:fill="CCEBF8"/>
          </w:tcPr>
          <w:p>
            <w:pPr>
              <w:spacing w:after="0"/>
              <w:rPr>
                <w:sz w:val="18"/>
                <w:szCs w:val="18"/>
                <w:color w:val="auto"/>
              </w:rPr>
            </w:pPr>
          </w:p>
        </w:tc>
        <w:tc>
          <w:tcPr>
            <w:tcW w:w="1340" w:type="dxa"/>
            <w:vAlign w:val="bottom"/>
            <w:shd w:val="clear" w:color="auto" w:fill="CCEBF8"/>
          </w:tcPr>
          <w:p>
            <w:pPr>
              <w:jc w:val="center"/>
              <w:ind w:right="256"/>
              <w:spacing w:after="0"/>
              <w:rPr>
                <w:sz w:val="20"/>
                <w:szCs w:val="20"/>
                <w:color w:val="auto"/>
              </w:rPr>
            </w:pPr>
            <w:r>
              <w:rPr>
                <w:rFonts w:ascii="Arial" w:cs="Arial" w:eastAsia="Arial" w:hAnsi="Arial"/>
                <w:sz w:val="14"/>
                <w:szCs w:val="14"/>
                <w:b w:val="1"/>
                <w:bCs w:val="1"/>
                <w:color w:val="009BDE"/>
                <w:w w:val="99"/>
              </w:rPr>
              <w:t>($)(a)</w:t>
            </w:r>
          </w:p>
        </w:tc>
        <w:tc>
          <w:tcPr>
            <w:tcW w:w="340" w:type="dxa"/>
            <w:vAlign w:val="bottom"/>
            <w:shd w:val="clear" w:color="auto" w:fill="CCEBF8"/>
          </w:tcPr>
          <w:p>
            <w:pPr>
              <w:spacing w:after="0"/>
              <w:rPr>
                <w:sz w:val="18"/>
                <w:szCs w:val="18"/>
                <w:color w:val="auto"/>
              </w:rPr>
            </w:pPr>
          </w:p>
        </w:tc>
        <w:tc>
          <w:tcPr>
            <w:tcW w:w="1160" w:type="dxa"/>
            <w:vAlign w:val="bottom"/>
            <w:shd w:val="clear" w:color="auto" w:fill="CCEBF8"/>
          </w:tcPr>
          <w:p>
            <w:pPr>
              <w:jc w:val="right"/>
              <w:ind w:right="516"/>
              <w:spacing w:after="0"/>
              <w:rPr>
                <w:sz w:val="20"/>
                <w:szCs w:val="20"/>
                <w:color w:val="auto"/>
              </w:rPr>
            </w:pPr>
            <w:r>
              <w:rPr>
                <w:rFonts w:ascii="Arial" w:cs="Arial" w:eastAsia="Arial" w:hAnsi="Arial"/>
                <w:sz w:val="14"/>
                <w:szCs w:val="14"/>
                <w:b w:val="1"/>
                <w:bCs w:val="1"/>
                <w:color w:val="009BDE"/>
              </w:rPr>
              <w:t>($)(a)</w:t>
            </w:r>
          </w:p>
        </w:tc>
        <w:tc>
          <w:tcPr>
            <w:tcW w:w="280" w:type="dxa"/>
            <w:vAlign w:val="bottom"/>
            <w:shd w:val="clear" w:color="auto" w:fill="CCEBF8"/>
          </w:tcPr>
          <w:p>
            <w:pPr>
              <w:spacing w:after="0"/>
              <w:rPr>
                <w:sz w:val="18"/>
                <w:szCs w:val="18"/>
                <w:color w:val="auto"/>
              </w:rPr>
            </w:pPr>
          </w:p>
        </w:tc>
        <w:tc>
          <w:tcPr>
            <w:tcW w:w="1260" w:type="dxa"/>
            <w:vAlign w:val="bottom"/>
            <w:shd w:val="clear" w:color="auto" w:fill="CCEBF8"/>
          </w:tcPr>
          <w:p>
            <w:pPr>
              <w:jc w:val="center"/>
              <w:ind w:right="216"/>
              <w:spacing w:after="0"/>
              <w:rPr>
                <w:sz w:val="20"/>
                <w:szCs w:val="20"/>
                <w:color w:val="auto"/>
              </w:rPr>
            </w:pPr>
            <w:r>
              <w:rPr>
                <w:rFonts w:ascii="Arial" w:cs="Arial" w:eastAsia="Arial" w:hAnsi="Arial"/>
                <w:sz w:val="14"/>
                <w:szCs w:val="14"/>
                <w:b w:val="1"/>
                <w:bCs w:val="1"/>
                <w:color w:val="009BDE"/>
              </w:rPr>
              <w:t>(b)</w:t>
            </w:r>
          </w:p>
        </w:tc>
        <w:tc>
          <w:tcPr>
            <w:tcW w:w="1300" w:type="dxa"/>
            <w:vAlign w:val="bottom"/>
            <w:shd w:val="clear" w:color="auto" w:fill="CCEBF8"/>
          </w:tcPr>
          <w:p>
            <w:pPr>
              <w:jc w:val="right"/>
              <w:ind w:right="415"/>
              <w:spacing w:after="0"/>
              <w:rPr>
                <w:sz w:val="20"/>
                <w:szCs w:val="20"/>
                <w:color w:val="auto"/>
              </w:rPr>
            </w:pPr>
            <w:r>
              <w:rPr>
                <w:rFonts w:ascii="Arial" w:cs="Arial" w:eastAsia="Arial" w:hAnsi="Arial"/>
                <w:sz w:val="14"/>
                <w:szCs w:val="14"/>
                <w:b w:val="1"/>
                <w:bCs w:val="1"/>
                <w:color w:val="009BDE"/>
              </w:rPr>
              <w:t>($)(b)</w:t>
            </w:r>
          </w:p>
        </w:tc>
        <w:tc>
          <w:tcPr>
            <w:tcW w:w="340" w:type="dxa"/>
            <w:vAlign w:val="bottom"/>
            <w:shd w:val="clear" w:color="auto" w:fill="CCEBF8"/>
          </w:tcPr>
          <w:p>
            <w:pPr>
              <w:spacing w:after="0"/>
              <w:rPr>
                <w:sz w:val="18"/>
                <w:szCs w:val="18"/>
                <w:color w:val="auto"/>
              </w:rPr>
            </w:pPr>
          </w:p>
        </w:tc>
        <w:tc>
          <w:tcPr>
            <w:tcW w:w="1440" w:type="dxa"/>
            <w:vAlign w:val="bottom"/>
            <w:shd w:val="clear" w:color="auto" w:fill="CCEBF8"/>
          </w:tcPr>
          <w:p>
            <w:pPr>
              <w:jc w:val="center"/>
              <w:ind w:right="256"/>
              <w:spacing w:after="0"/>
              <w:rPr>
                <w:sz w:val="20"/>
                <w:szCs w:val="20"/>
                <w:color w:val="auto"/>
              </w:rPr>
            </w:pPr>
            <w:r>
              <w:rPr>
                <w:rFonts w:ascii="Arial" w:cs="Arial" w:eastAsia="Arial" w:hAnsi="Arial"/>
                <w:sz w:val="14"/>
                <w:szCs w:val="14"/>
                <w:b w:val="1"/>
                <w:bCs w:val="1"/>
                <w:color w:val="009BDE"/>
              </w:rPr>
              <w:t>($)(c)  </w:t>
            </w:r>
          </w:p>
        </w:tc>
      </w:tr>
      <w:tr>
        <w:trPr>
          <w:trHeight w:val="108"/>
        </w:trPr>
        <w:tc>
          <w:tcPr>
            <w:tcW w:w="980" w:type="dxa"/>
            <w:vAlign w:val="bottom"/>
            <w:tcBorders>
              <w:bottom w:val="single" w:sz="8" w:color="009BDE"/>
            </w:tcBorders>
            <w:shd w:val="clear" w:color="auto" w:fill="CCEBF8"/>
          </w:tcPr>
          <w:p>
            <w:pPr>
              <w:spacing w:after="0"/>
              <w:rPr>
                <w:sz w:val="9"/>
                <w:szCs w:val="9"/>
                <w:color w:val="auto"/>
              </w:rPr>
            </w:pPr>
          </w:p>
        </w:tc>
        <w:tc>
          <w:tcPr>
            <w:tcW w:w="2060" w:type="dxa"/>
            <w:vAlign w:val="bottom"/>
            <w:tcBorders>
              <w:bottom w:val="single" w:sz="8" w:color="009BDE"/>
            </w:tcBorders>
            <w:shd w:val="clear" w:color="auto" w:fill="CCEBF8"/>
          </w:tcPr>
          <w:p>
            <w:pPr>
              <w:spacing w:after="0"/>
              <w:rPr>
                <w:sz w:val="9"/>
                <w:szCs w:val="9"/>
                <w:color w:val="auto"/>
              </w:rPr>
            </w:pPr>
          </w:p>
        </w:tc>
        <w:tc>
          <w:tcPr>
            <w:tcW w:w="420" w:type="dxa"/>
            <w:vAlign w:val="bottom"/>
            <w:tcBorders>
              <w:bottom w:val="single" w:sz="8" w:color="009BDE"/>
            </w:tcBorders>
            <w:shd w:val="clear" w:color="auto" w:fill="CCEBF8"/>
          </w:tcPr>
          <w:p>
            <w:pPr>
              <w:spacing w:after="0"/>
              <w:rPr>
                <w:sz w:val="9"/>
                <w:szCs w:val="9"/>
                <w:color w:val="auto"/>
              </w:rPr>
            </w:pPr>
          </w:p>
        </w:tc>
        <w:tc>
          <w:tcPr>
            <w:tcW w:w="1340" w:type="dxa"/>
            <w:vAlign w:val="bottom"/>
            <w:tcBorders>
              <w:bottom w:val="single" w:sz="8" w:color="009BDE"/>
            </w:tcBorders>
            <w:shd w:val="clear" w:color="auto" w:fill="CCEBF8"/>
          </w:tcPr>
          <w:p>
            <w:pPr>
              <w:spacing w:after="0"/>
              <w:rPr>
                <w:sz w:val="9"/>
                <w:szCs w:val="9"/>
                <w:color w:val="auto"/>
              </w:rPr>
            </w:pPr>
          </w:p>
        </w:tc>
        <w:tc>
          <w:tcPr>
            <w:tcW w:w="340" w:type="dxa"/>
            <w:vAlign w:val="bottom"/>
            <w:tcBorders>
              <w:bottom w:val="single" w:sz="8" w:color="009BDE"/>
            </w:tcBorders>
            <w:shd w:val="clear" w:color="auto" w:fill="CCEBF8"/>
          </w:tcPr>
          <w:p>
            <w:pPr>
              <w:spacing w:after="0"/>
              <w:rPr>
                <w:sz w:val="9"/>
                <w:szCs w:val="9"/>
                <w:color w:val="auto"/>
              </w:rPr>
            </w:pPr>
          </w:p>
        </w:tc>
        <w:tc>
          <w:tcPr>
            <w:tcW w:w="1160" w:type="dxa"/>
            <w:vAlign w:val="bottom"/>
            <w:tcBorders>
              <w:bottom w:val="single" w:sz="8" w:color="009BDE"/>
            </w:tcBorders>
            <w:shd w:val="clear" w:color="auto" w:fill="CCEBF8"/>
          </w:tcPr>
          <w:p>
            <w:pPr>
              <w:spacing w:after="0"/>
              <w:rPr>
                <w:sz w:val="9"/>
                <w:szCs w:val="9"/>
                <w:color w:val="auto"/>
              </w:rPr>
            </w:pPr>
          </w:p>
        </w:tc>
        <w:tc>
          <w:tcPr>
            <w:tcW w:w="280" w:type="dxa"/>
            <w:vAlign w:val="bottom"/>
            <w:tcBorders>
              <w:bottom w:val="single" w:sz="8" w:color="009BDE"/>
            </w:tcBorders>
            <w:shd w:val="clear" w:color="auto" w:fill="CCEBF8"/>
          </w:tcPr>
          <w:p>
            <w:pPr>
              <w:spacing w:after="0"/>
              <w:rPr>
                <w:sz w:val="9"/>
                <w:szCs w:val="9"/>
                <w:color w:val="auto"/>
              </w:rPr>
            </w:pPr>
          </w:p>
        </w:tc>
        <w:tc>
          <w:tcPr>
            <w:tcW w:w="1260" w:type="dxa"/>
            <w:vAlign w:val="bottom"/>
            <w:tcBorders>
              <w:bottom w:val="single" w:sz="8" w:color="009BDE"/>
            </w:tcBorders>
            <w:shd w:val="clear" w:color="auto" w:fill="CCEBF8"/>
          </w:tcPr>
          <w:p>
            <w:pPr>
              <w:spacing w:after="0"/>
              <w:rPr>
                <w:sz w:val="9"/>
                <w:szCs w:val="9"/>
                <w:color w:val="auto"/>
              </w:rPr>
            </w:pPr>
          </w:p>
        </w:tc>
        <w:tc>
          <w:tcPr>
            <w:tcW w:w="1300" w:type="dxa"/>
            <w:vAlign w:val="bottom"/>
            <w:tcBorders>
              <w:bottom w:val="single" w:sz="8" w:color="009BDE"/>
            </w:tcBorders>
            <w:shd w:val="clear" w:color="auto" w:fill="CCEBF8"/>
          </w:tcPr>
          <w:p>
            <w:pPr>
              <w:spacing w:after="0"/>
              <w:rPr>
                <w:sz w:val="9"/>
                <w:szCs w:val="9"/>
                <w:color w:val="auto"/>
              </w:rPr>
            </w:pPr>
          </w:p>
        </w:tc>
        <w:tc>
          <w:tcPr>
            <w:tcW w:w="340" w:type="dxa"/>
            <w:vAlign w:val="bottom"/>
            <w:tcBorders>
              <w:bottom w:val="single" w:sz="8" w:color="009BDE"/>
            </w:tcBorders>
            <w:shd w:val="clear" w:color="auto" w:fill="CCEBF8"/>
          </w:tcPr>
          <w:p>
            <w:pPr>
              <w:spacing w:after="0"/>
              <w:rPr>
                <w:sz w:val="9"/>
                <w:szCs w:val="9"/>
                <w:color w:val="auto"/>
              </w:rPr>
            </w:pPr>
          </w:p>
        </w:tc>
        <w:tc>
          <w:tcPr>
            <w:tcW w:w="1440" w:type="dxa"/>
            <w:vAlign w:val="bottom"/>
            <w:tcBorders>
              <w:bottom w:val="single" w:sz="8" w:color="009BDE"/>
            </w:tcBorders>
            <w:shd w:val="clear" w:color="auto" w:fill="CCEBF8"/>
          </w:tcPr>
          <w:p>
            <w:pPr>
              <w:spacing w:after="0"/>
              <w:rPr>
                <w:sz w:val="9"/>
                <w:szCs w:val="9"/>
                <w:color w:val="auto"/>
              </w:rPr>
            </w:pPr>
          </w:p>
        </w:tc>
      </w:tr>
      <w:tr>
        <w:trPr>
          <w:trHeight w:val="123"/>
        </w:trPr>
        <w:tc>
          <w:tcPr>
            <w:tcW w:w="980" w:type="dxa"/>
            <w:vAlign w:val="bottom"/>
          </w:tcPr>
          <w:p>
            <w:pPr>
              <w:ind w:left="80"/>
              <w:spacing w:after="0" w:line="123" w:lineRule="exact"/>
              <w:rPr>
                <w:sz w:val="20"/>
                <w:szCs w:val="20"/>
                <w:color w:val="auto"/>
              </w:rPr>
            </w:pPr>
            <w:r>
              <w:rPr>
                <w:rFonts w:ascii="Arial" w:cs="Arial" w:eastAsia="Arial" w:hAnsi="Arial"/>
                <w:sz w:val="12"/>
                <w:szCs w:val="12"/>
                <w:color w:val="auto"/>
              </w:rPr>
              <w:t>Chris Cocks</w:t>
            </w:r>
          </w:p>
        </w:tc>
        <w:tc>
          <w:tcPr>
            <w:tcW w:w="2060" w:type="dxa"/>
            <w:vAlign w:val="bottom"/>
          </w:tcPr>
          <w:p>
            <w:pPr>
              <w:ind w:left="200"/>
              <w:spacing w:after="0" w:line="123" w:lineRule="exact"/>
              <w:rPr>
                <w:sz w:val="20"/>
                <w:szCs w:val="20"/>
                <w:color w:val="auto"/>
              </w:rPr>
            </w:pPr>
            <w:r>
              <w:rPr>
                <w:rFonts w:ascii="Arial" w:cs="Arial" w:eastAsia="Arial" w:hAnsi="Arial"/>
                <w:sz w:val="12"/>
                <w:szCs w:val="12"/>
                <w:color w:val="auto"/>
              </w:rPr>
              <w:t>Non-Qualified Deferred</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78"/>
        </w:trPr>
        <w:tc>
          <w:tcPr>
            <w:tcW w:w="980" w:type="dxa"/>
            <w:vAlign w:val="bottom"/>
          </w:tcPr>
          <w:p>
            <w:pPr>
              <w:spacing w:after="0"/>
              <w:rPr>
                <w:sz w:val="15"/>
                <w:szCs w:val="15"/>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auto"/>
              </w:rPr>
              <w:t>Compensation Plan</w:t>
            </w:r>
          </w:p>
        </w:tc>
        <w:tc>
          <w:tcPr>
            <w:tcW w:w="420" w:type="dxa"/>
            <w:vAlign w:val="bottom"/>
          </w:tcPr>
          <w:p>
            <w:pPr>
              <w:spacing w:after="0"/>
              <w:rPr>
                <w:sz w:val="15"/>
                <w:szCs w:val="15"/>
                <w:color w:val="auto"/>
              </w:rPr>
            </w:pPr>
          </w:p>
        </w:tc>
        <w:tc>
          <w:tcPr>
            <w:tcW w:w="1340" w:type="dxa"/>
            <w:vAlign w:val="bottom"/>
          </w:tcPr>
          <w:p>
            <w:pPr>
              <w:jc w:val="right"/>
              <w:ind w:right="136"/>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160" w:type="dxa"/>
            <w:vAlign w:val="bottom"/>
          </w:tcPr>
          <w:p>
            <w:pPr>
              <w:jc w:val="right"/>
              <w:ind w:right="136"/>
              <w:spacing w:after="0"/>
              <w:rPr>
                <w:sz w:val="20"/>
                <w:szCs w:val="20"/>
                <w:color w:val="auto"/>
              </w:rPr>
            </w:pPr>
            <w:r>
              <w:rPr>
                <w:rFonts w:ascii="Arial" w:cs="Arial" w:eastAsia="Arial" w:hAnsi="Arial"/>
                <w:sz w:val="12"/>
                <w:szCs w:val="12"/>
                <w:color w:val="auto"/>
              </w:rPr>
              <w:t>—</w:t>
            </w:r>
          </w:p>
        </w:tc>
        <w:tc>
          <w:tcPr>
            <w:tcW w:w="280" w:type="dxa"/>
            <w:vAlign w:val="bottom"/>
          </w:tcPr>
          <w:p>
            <w:pPr>
              <w:ind w:left="20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156"/>
              <w:spacing w:after="0"/>
              <w:rPr>
                <w:sz w:val="20"/>
                <w:szCs w:val="20"/>
                <w:color w:val="auto"/>
              </w:rPr>
            </w:pPr>
            <w:r>
              <w:rPr>
                <w:rFonts w:ascii="Arial" w:cs="Arial" w:eastAsia="Arial" w:hAnsi="Arial"/>
                <w:sz w:val="12"/>
                <w:szCs w:val="12"/>
                <w:color w:val="auto"/>
              </w:rPr>
              <w:t>513,025</w:t>
            </w:r>
          </w:p>
        </w:tc>
        <w:tc>
          <w:tcPr>
            <w:tcW w:w="1300" w:type="dxa"/>
            <w:vAlign w:val="bottom"/>
          </w:tcPr>
          <w:p>
            <w:pPr>
              <w:jc w:val="right"/>
              <w:ind w:right="155"/>
              <w:spacing w:after="0"/>
              <w:rPr>
                <w:sz w:val="20"/>
                <w:szCs w:val="20"/>
                <w:color w:val="auto"/>
              </w:rPr>
            </w:pPr>
            <w:r>
              <w:rPr>
                <w:rFonts w:ascii="Arial" w:cs="Arial" w:eastAsia="Arial" w:hAnsi="Arial"/>
                <w:sz w:val="12"/>
                <w:szCs w:val="12"/>
                <w:color w:val="auto"/>
              </w:rPr>
              <w:t>—</w:t>
            </w:r>
          </w:p>
        </w:tc>
        <w:tc>
          <w:tcPr>
            <w:tcW w:w="340" w:type="dxa"/>
            <w:vAlign w:val="bottom"/>
          </w:tcPr>
          <w:p>
            <w:pPr>
              <w:ind w:left="22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156"/>
              <w:spacing w:after="0"/>
              <w:rPr>
                <w:sz w:val="20"/>
                <w:szCs w:val="20"/>
                <w:color w:val="auto"/>
              </w:rPr>
            </w:pPr>
            <w:r>
              <w:rPr>
                <w:rFonts w:ascii="Arial" w:cs="Arial" w:eastAsia="Arial" w:hAnsi="Arial"/>
                <w:sz w:val="12"/>
                <w:szCs w:val="12"/>
                <w:color w:val="auto"/>
              </w:rPr>
              <w:t>4,246,134</w:t>
            </w:r>
          </w:p>
        </w:tc>
      </w:tr>
      <w:tr>
        <w:trPr>
          <w:trHeight w:val="241"/>
        </w:trPr>
        <w:tc>
          <w:tcPr>
            <w:tcW w:w="980" w:type="dxa"/>
            <w:vAlign w:val="bottom"/>
          </w:tcPr>
          <w:p>
            <w:pPr>
              <w:spacing w:after="0"/>
              <w:rPr>
                <w:sz w:val="20"/>
                <w:szCs w:val="20"/>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auto"/>
              </w:rPr>
              <w:t>Supplemental Savings Plan</w:t>
            </w:r>
          </w:p>
        </w:tc>
        <w:tc>
          <w:tcPr>
            <w:tcW w:w="420" w:type="dxa"/>
            <w:vAlign w:val="bottom"/>
          </w:tcPr>
          <w:p>
            <w:pPr>
              <w:spacing w:after="0"/>
              <w:rPr>
                <w:sz w:val="20"/>
                <w:szCs w:val="20"/>
                <w:color w:val="auto"/>
              </w:rPr>
            </w:pPr>
          </w:p>
        </w:tc>
        <w:tc>
          <w:tcPr>
            <w:tcW w:w="1340" w:type="dxa"/>
            <w:vAlign w:val="bottom"/>
          </w:tcPr>
          <w:p>
            <w:pPr>
              <w:jc w:val="right"/>
              <w:ind w:right="136"/>
              <w:spacing w:after="0"/>
              <w:rPr>
                <w:sz w:val="20"/>
                <w:szCs w:val="20"/>
                <w:color w:val="auto"/>
              </w:rPr>
            </w:pPr>
            <w:r>
              <w:rPr>
                <w:rFonts w:ascii="Arial" w:cs="Arial" w:eastAsia="Arial" w:hAnsi="Arial"/>
                <w:sz w:val="12"/>
                <w:szCs w:val="12"/>
                <w:color w:val="auto"/>
              </w:rPr>
              <w:t>—</w:t>
            </w:r>
          </w:p>
        </w:tc>
        <w:tc>
          <w:tcPr>
            <w:tcW w:w="340" w:type="dxa"/>
            <w:vAlign w:val="bottom"/>
          </w:tcPr>
          <w:p>
            <w:pPr>
              <w:ind w:left="20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36"/>
              <w:spacing w:after="0"/>
              <w:rPr>
                <w:sz w:val="20"/>
                <w:szCs w:val="20"/>
                <w:color w:val="auto"/>
              </w:rPr>
            </w:pPr>
            <w:r>
              <w:rPr>
                <w:rFonts w:ascii="Arial" w:cs="Arial" w:eastAsia="Arial" w:hAnsi="Arial"/>
                <w:sz w:val="12"/>
                <w:szCs w:val="12"/>
                <w:color w:val="auto"/>
              </w:rPr>
              <w:t>502,172</w:t>
            </w:r>
          </w:p>
        </w:tc>
        <w:tc>
          <w:tcPr>
            <w:tcW w:w="280" w:type="dxa"/>
            <w:vAlign w:val="bottom"/>
          </w:tcPr>
          <w:p>
            <w:pPr>
              <w:ind w:left="20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156"/>
              <w:spacing w:after="0"/>
              <w:rPr>
                <w:sz w:val="20"/>
                <w:szCs w:val="20"/>
                <w:color w:val="auto"/>
              </w:rPr>
            </w:pPr>
            <w:r>
              <w:rPr>
                <w:rFonts w:ascii="Arial" w:cs="Arial" w:eastAsia="Arial" w:hAnsi="Arial"/>
                <w:sz w:val="12"/>
                <w:szCs w:val="12"/>
                <w:color w:val="auto"/>
              </w:rPr>
              <w:t>34,493</w:t>
            </w:r>
          </w:p>
        </w:tc>
        <w:tc>
          <w:tcPr>
            <w:tcW w:w="1300" w:type="dxa"/>
            <w:vAlign w:val="bottom"/>
          </w:tcPr>
          <w:p>
            <w:pPr>
              <w:jc w:val="right"/>
              <w:ind w:right="155"/>
              <w:spacing w:after="0"/>
              <w:rPr>
                <w:sz w:val="20"/>
                <w:szCs w:val="20"/>
                <w:color w:val="auto"/>
              </w:rPr>
            </w:pPr>
            <w:r>
              <w:rPr>
                <w:rFonts w:ascii="Arial" w:cs="Arial" w:eastAsia="Arial" w:hAnsi="Arial"/>
                <w:sz w:val="12"/>
                <w:szCs w:val="12"/>
                <w:color w:val="auto"/>
              </w:rPr>
              <w:t>—</w:t>
            </w:r>
          </w:p>
        </w:tc>
        <w:tc>
          <w:tcPr>
            <w:tcW w:w="340" w:type="dxa"/>
            <w:vAlign w:val="bottom"/>
          </w:tcPr>
          <w:p>
            <w:pPr>
              <w:ind w:left="22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156"/>
              <w:spacing w:after="0"/>
              <w:rPr>
                <w:sz w:val="20"/>
                <w:szCs w:val="20"/>
                <w:color w:val="auto"/>
              </w:rPr>
            </w:pPr>
            <w:r>
              <w:rPr>
                <w:rFonts w:ascii="Arial" w:cs="Arial" w:eastAsia="Arial" w:hAnsi="Arial"/>
                <w:sz w:val="12"/>
                <w:szCs w:val="12"/>
                <w:color w:val="auto"/>
              </w:rPr>
              <w:t>1,445,417</w:t>
            </w:r>
          </w:p>
        </w:tc>
      </w:tr>
      <w:tr>
        <w:trPr>
          <w:trHeight w:val="94"/>
        </w:trPr>
        <w:tc>
          <w:tcPr>
            <w:tcW w:w="980" w:type="dxa"/>
            <w:vAlign w:val="bottom"/>
            <w:tcBorders>
              <w:bottom w:val="single" w:sz="8" w:color="009BDE"/>
            </w:tcBorders>
          </w:tcPr>
          <w:p>
            <w:pPr>
              <w:spacing w:after="0"/>
              <w:rPr>
                <w:sz w:val="8"/>
                <w:szCs w:val="8"/>
                <w:color w:val="auto"/>
              </w:rPr>
            </w:pPr>
          </w:p>
        </w:tc>
        <w:tc>
          <w:tcPr>
            <w:tcW w:w="206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134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28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440" w:type="dxa"/>
            <w:vAlign w:val="bottom"/>
            <w:tcBorders>
              <w:bottom w:val="single" w:sz="8" w:color="009BDE"/>
            </w:tcBorders>
          </w:tcPr>
          <w:p>
            <w:pPr>
              <w:spacing w:after="0"/>
              <w:rPr>
                <w:sz w:val="8"/>
                <w:szCs w:val="8"/>
                <w:color w:val="auto"/>
              </w:rPr>
            </w:pPr>
          </w:p>
        </w:tc>
      </w:tr>
      <w:tr>
        <w:trPr>
          <w:trHeight w:val="123"/>
        </w:trPr>
        <w:tc>
          <w:tcPr>
            <w:tcW w:w="980" w:type="dxa"/>
            <w:vAlign w:val="bottom"/>
          </w:tcPr>
          <w:p>
            <w:pPr>
              <w:ind w:left="80"/>
              <w:spacing w:after="0" w:line="123" w:lineRule="exact"/>
              <w:rPr>
                <w:sz w:val="20"/>
                <w:szCs w:val="20"/>
                <w:color w:val="auto"/>
              </w:rPr>
            </w:pPr>
            <w:r>
              <w:rPr>
                <w:rFonts w:ascii="Arial" w:cs="Arial" w:eastAsia="Arial" w:hAnsi="Arial"/>
                <w:sz w:val="12"/>
                <w:szCs w:val="12"/>
                <w:color w:val="auto"/>
              </w:rPr>
              <w:t>Gina Goetter</w:t>
            </w:r>
          </w:p>
        </w:tc>
        <w:tc>
          <w:tcPr>
            <w:tcW w:w="2060" w:type="dxa"/>
            <w:vAlign w:val="bottom"/>
          </w:tcPr>
          <w:p>
            <w:pPr>
              <w:ind w:left="200"/>
              <w:spacing w:after="0" w:line="123" w:lineRule="exact"/>
              <w:rPr>
                <w:sz w:val="20"/>
                <w:szCs w:val="20"/>
                <w:color w:val="auto"/>
              </w:rPr>
            </w:pPr>
            <w:r>
              <w:rPr>
                <w:rFonts w:ascii="Arial" w:cs="Arial" w:eastAsia="Arial" w:hAnsi="Arial"/>
                <w:sz w:val="12"/>
                <w:szCs w:val="12"/>
                <w:color w:val="auto"/>
              </w:rPr>
              <w:t>Non-Qualified Deferred</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78"/>
        </w:trPr>
        <w:tc>
          <w:tcPr>
            <w:tcW w:w="980" w:type="dxa"/>
            <w:vAlign w:val="bottom"/>
          </w:tcPr>
          <w:p>
            <w:pPr>
              <w:spacing w:after="0"/>
              <w:rPr>
                <w:sz w:val="15"/>
                <w:szCs w:val="15"/>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auto"/>
              </w:rPr>
              <w:t>Compensation Plan</w:t>
            </w:r>
          </w:p>
        </w:tc>
        <w:tc>
          <w:tcPr>
            <w:tcW w:w="420" w:type="dxa"/>
            <w:vAlign w:val="bottom"/>
          </w:tcPr>
          <w:p>
            <w:pPr>
              <w:spacing w:after="0"/>
              <w:rPr>
                <w:sz w:val="15"/>
                <w:szCs w:val="15"/>
                <w:color w:val="auto"/>
              </w:rPr>
            </w:pPr>
          </w:p>
        </w:tc>
        <w:tc>
          <w:tcPr>
            <w:tcW w:w="1340" w:type="dxa"/>
            <w:vAlign w:val="bottom"/>
          </w:tcPr>
          <w:p>
            <w:pPr>
              <w:jc w:val="right"/>
              <w:ind w:right="136"/>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160" w:type="dxa"/>
            <w:vAlign w:val="bottom"/>
          </w:tcPr>
          <w:p>
            <w:pPr>
              <w:jc w:val="right"/>
              <w:ind w:right="136"/>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1260" w:type="dxa"/>
            <w:vAlign w:val="bottom"/>
          </w:tcPr>
          <w:p>
            <w:pPr>
              <w:jc w:val="right"/>
              <w:ind w:right="156"/>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155"/>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440" w:type="dxa"/>
            <w:vAlign w:val="bottom"/>
          </w:tcPr>
          <w:p>
            <w:pPr>
              <w:jc w:val="right"/>
              <w:ind w:right="156"/>
              <w:spacing w:after="0"/>
              <w:rPr>
                <w:sz w:val="20"/>
                <w:szCs w:val="20"/>
                <w:color w:val="auto"/>
              </w:rPr>
            </w:pPr>
            <w:r>
              <w:rPr>
                <w:rFonts w:ascii="Arial" w:cs="Arial" w:eastAsia="Arial" w:hAnsi="Arial"/>
                <w:sz w:val="12"/>
                <w:szCs w:val="12"/>
                <w:color w:val="auto"/>
              </w:rPr>
              <w:t>—</w:t>
            </w:r>
          </w:p>
        </w:tc>
      </w:tr>
      <w:tr>
        <w:trPr>
          <w:trHeight w:val="241"/>
        </w:trPr>
        <w:tc>
          <w:tcPr>
            <w:tcW w:w="980" w:type="dxa"/>
            <w:vAlign w:val="bottom"/>
          </w:tcPr>
          <w:p>
            <w:pPr>
              <w:spacing w:after="0"/>
              <w:rPr>
                <w:sz w:val="20"/>
                <w:szCs w:val="20"/>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auto"/>
              </w:rPr>
              <w:t>Supplemental Savings Plan</w:t>
            </w:r>
          </w:p>
        </w:tc>
        <w:tc>
          <w:tcPr>
            <w:tcW w:w="420" w:type="dxa"/>
            <w:vAlign w:val="bottom"/>
          </w:tcPr>
          <w:p>
            <w:pPr>
              <w:spacing w:after="0"/>
              <w:rPr>
                <w:sz w:val="20"/>
                <w:szCs w:val="20"/>
                <w:color w:val="auto"/>
              </w:rPr>
            </w:pPr>
          </w:p>
        </w:tc>
        <w:tc>
          <w:tcPr>
            <w:tcW w:w="1340" w:type="dxa"/>
            <w:vAlign w:val="bottom"/>
          </w:tcPr>
          <w:p>
            <w:pPr>
              <w:jc w:val="right"/>
              <w:ind w:right="136"/>
              <w:spacing w:after="0"/>
              <w:rPr>
                <w:sz w:val="20"/>
                <w:szCs w:val="20"/>
                <w:color w:val="auto"/>
              </w:rPr>
            </w:pPr>
            <w:r>
              <w:rPr>
                <w:rFonts w:ascii="Arial" w:cs="Arial" w:eastAsia="Arial" w:hAnsi="Arial"/>
                <w:sz w:val="12"/>
                <w:szCs w:val="12"/>
                <w:color w:val="auto"/>
              </w:rPr>
              <w:t>—</w:t>
            </w:r>
          </w:p>
        </w:tc>
        <w:tc>
          <w:tcPr>
            <w:tcW w:w="340" w:type="dxa"/>
            <w:vAlign w:val="bottom"/>
          </w:tcPr>
          <w:p>
            <w:pPr>
              <w:ind w:left="20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36"/>
              <w:spacing w:after="0"/>
              <w:rPr>
                <w:sz w:val="20"/>
                <w:szCs w:val="20"/>
                <w:color w:val="auto"/>
              </w:rPr>
            </w:pPr>
            <w:r>
              <w:rPr>
                <w:rFonts w:ascii="Arial" w:cs="Arial" w:eastAsia="Arial" w:hAnsi="Arial"/>
                <w:sz w:val="12"/>
                <w:szCs w:val="12"/>
                <w:color w:val="auto"/>
              </w:rPr>
              <w:t>215,221</w:t>
            </w:r>
          </w:p>
        </w:tc>
        <w:tc>
          <w:tcPr>
            <w:tcW w:w="280" w:type="dxa"/>
            <w:vAlign w:val="bottom"/>
          </w:tcPr>
          <w:p>
            <w:pPr>
              <w:ind w:left="20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156"/>
              <w:spacing w:after="0"/>
              <w:rPr>
                <w:sz w:val="20"/>
                <w:szCs w:val="20"/>
                <w:color w:val="auto"/>
              </w:rPr>
            </w:pPr>
            <w:r>
              <w:rPr>
                <w:rFonts w:ascii="Arial" w:cs="Arial" w:eastAsia="Arial" w:hAnsi="Arial"/>
                <w:sz w:val="12"/>
                <w:szCs w:val="12"/>
                <w:color w:val="auto"/>
              </w:rPr>
              <w:t>3,332</w:t>
            </w:r>
          </w:p>
        </w:tc>
        <w:tc>
          <w:tcPr>
            <w:tcW w:w="1300" w:type="dxa"/>
            <w:vAlign w:val="bottom"/>
          </w:tcPr>
          <w:p>
            <w:pPr>
              <w:jc w:val="right"/>
              <w:ind w:right="155"/>
              <w:spacing w:after="0"/>
              <w:rPr>
                <w:sz w:val="20"/>
                <w:szCs w:val="20"/>
                <w:color w:val="auto"/>
              </w:rPr>
            </w:pPr>
            <w:r>
              <w:rPr>
                <w:rFonts w:ascii="Arial" w:cs="Arial" w:eastAsia="Arial" w:hAnsi="Arial"/>
                <w:sz w:val="12"/>
                <w:szCs w:val="12"/>
                <w:color w:val="auto"/>
              </w:rPr>
              <w:t>—</w:t>
            </w:r>
          </w:p>
        </w:tc>
        <w:tc>
          <w:tcPr>
            <w:tcW w:w="340" w:type="dxa"/>
            <w:vAlign w:val="bottom"/>
          </w:tcPr>
          <w:p>
            <w:pPr>
              <w:ind w:left="22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156"/>
              <w:spacing w:after="0"/>
              <w:rPr>
                <w:sz w:val="20"/>
                <w:szCs w:val="20"/>
                <w:color w:val="auto"/>
              </w:rPr>
            </w:pPr>
            <w:r>
              <w:rPr>
                <w:rFonts w:ascii="Arial" w:cs="Arial" w:eastAsia="Arial" w:hAnsi="Arial"/>
                <w:sz w:val="12"/>
                <w:szCs w:val="12"/>
                <w:color w:val="auto"/>
              </w:rPr>
              <w:t>324,242</w:t>
            </w:r>
          </w:p>
        </w:tc>
      </w:tr>
      <w:tr>
        <w:trPr>
          <w:trHeight w:val="94"/>
        </w:trPr>
        <w:tc>
          <w:tcPr>
            <w:tcW w:w="980" w:type="dxa"/>
            <w:vAlign w:val="bottom"/>
            <w:tcBorders>
              <w:bottom w:val="single" w:sz="8" w:color="009BDE"/>
            </w:tcBorders>
          </w:tcPr>
          <w:p>
            <w:pPr>
              <w:spacing w:after="0"/>
              <w:rPr>
                <w:sz w:val="8"/>
                <w:szCs w:val="8"/>
                <w:color w:val="auto"/>
              </w:rPr>
            </w:pPr>
          </w:p>
        </w:tc>
        <w:tc>
          <w:tcPr>
            <w:tcW w:w="206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134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28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440" w:type="dxa"/>
            <w:vAlign w:val="bottom"/>
            <w:tcBorders>
              <w:bottom w:val="single" w:sz="8" w:color="009BDE"/>
            </w:tcBorders>
          </w:tcPr>
          <w:p>
            <w:pPr>
              <w:spacing w:after="0"/>
              <w:rPr>
                <w:sz w:val="8"/>
                <w:szCs w:val="8"/>
                <w:color w:val="auto"/>
              </w:rPr>
            </w:pPr>
          </w:p>
        </w:tc>
      </w:tr>
      <w:tr>
        <w:trPr>
          <w:trHeight w:val="123"/>
        </w:trPr>
        <w:tc>
          <w:tcPr>
            <w:tcW w:w="980" w:type="dxa"/>
            <w:vAlign w:val="bottom"/>
          </w:tcPr>
          <w:p>
            <w:pPr>
              <w:ind w:left="80"/>
              <w:spacing w:after="0" w:line="123" w:lineRule="exact"/>
              <w:rPr>
                <w:sz w:val="20"/>
                <w:szCs w:val="20"/>
                <w:color w:val="auto"/>
              </w:rPr>
            </w:pPr>
            <w:r>
              <w:rPr>
                <w:rFonts w:ascii="Arial" w:cs="Arial" w:eastAsia="Arial" w:hAnsi="Arial"/>
                <w:sz w:val="12"/>
                <w:szCs w:val="12"/>
                <w:color w:val="auto"/>
              </w:rPr>
              <w:t>John Hight</w:t>
            </w:r>
          </w:p>
        </w:tc>
        <w:tc>
          <w:tcPr>
            <w:tcW w:w="2060" w:type="dxa"/>
            <w:vAlign w:val="bottom"/>
          </w:tcPr>
          <w:p>
            <w:pPr>
              <w:ind w:left="200"/>
              <w:spacing w:after="0" w:line="123" w:lineRule="exact"/>
              <w:rPr>
                <w:sz w:val="20"/>
                <w:szCs w:val="20"/>
                <w:color w:val="auto"/>
              </w:rPr>
            </w:pPr>
            <w:r>
              <w:rPr>
                <w:rFonts w:ascii="Arial" w:cs="Arial" w:eastAsia="Arial" w:hAnsi="Arial"/>
                <w:sz w:val="12"/>
                <w:szCs w:val="12"/>
                <w:color w:val="auto"/>
              </w:rPr>
              <w:t>Non-Qualified Deferred</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78"/>
        </w:trPr>
        <w:tc>
          <w:tcPr>
            <w:tcW w:w="980" w:type="dxa"/>
            <w:vAlign w:val="bottom"/>
          </w:tcPr>
          <w:p>
            <w:pPr>
              <w:spacing w:after="0"/>
              <w:rPr>
                <w:sz w:val="15"/>
                <w:szCs w:val="15"/>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auto"/>
              </w:rPr>
              <w:t>Compensation Plan</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ind w:right="136"/>
              <w:spacing w:after="0"/>
              <w:rPr>
                <w:sz w:val="20"/>
                <w:szCs w:val="20"/>
                <w:color w:val="auto"/>
              </w:rPr>
            </w:pPr>
            <w:r>
              <w:rPr>
                <w:rFonts w:ascii="Arial" w:cs="Arial" w:eastAsia="Arial" w:hAnsi="Arial"/>
                <w:sz w:val="12"/>
                <w:szCs w:val="12"/>
                <w:color w:val="auto"/>
              </w:rPr>
              <w:t>142,212</w:t>
            </w:r>
          </w:p>
        </w:tc>
        <w:tc>
          <w:tcPr>
            <w:tcW w:w="340" w:type="dxa"/>
            <w:vAlign w:val="bottom"/>
          </w:tcPr>
          <w:p>
            <w:pPr>
              <w:spacing w:after="0"/>
              <w:rPr>
                <w:sz w:val="15"/>
                <w:szCs w:val="15"/>
                <w:color w:val="auto"/>
              </w:rPr>
            </w:pPr>
          </w:p>
        </w:tc>
        <w:tc>
          <w:tcPr>
            <w:tcW w:w="1160" w:type="dxa"/>
            <w:vAlign w:val="bottom"/>
          </w:tcPr>
          <w:p>
            <w:pPr>
              <w:jc w:val="right"/>
              <w:ind w:right="136"/>
              <w:spacing w:after="0"/>
              <w:rPr>
                <w:sz w:val="20"/>
                <w:szCs w:val="20"/>
                <w:color w:val="auto"/>
              </w:rPr>
            </w:pPr>
            <w:r>
              <w:rPr>
                <w:rFonts w:ascii="Arial" w:cs="Arial" w:eastAsia="Arial" w:hAnsi="Arial"/>
                <w:sz w:val="12"/>
                <w:szCs w:val="12"/>
                <w:color w:val="auto"/>
              </w:rPr>
              <w:t>—</w:t>
            </w:r>
          </w:p>
        </w:tc>
        <w:tc>
          <w:tcPr>
            <w:tcW w:w="280" w:type="dxa"/>
            <w:vAlign w:val="bottom"/>
          </w:tcPr>
          <w:p>
            <w:pPr>
              <w:ind w:left="20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156"/>
              <w:spacing w:after="0"/>
              <w:rPr>
                <w:sz w:val="20"/>
                <w:szCs w:val="20"/>
                <w:color w:val="auto"/>
              </w:rPr>
            </w:pPr>
            <w:r>
              <w:rPr>
                <w:rFonts w:ascii="Arial" w:cs="Arial" w:eastAsia="Arial" w:hAnsi="Arial"/>
                <w:sz w:val="12"/>
                <w:szCs w:val="12"/>
                <w:color w:val="auto"/>
              </w:rPr>
              <w:t>25,956</w:t>
            </w:r>
          </w:p>
        </w:tc>
        <w:tc>
          <w:tcPr>
            <w:tcW w:w="1300" w:type="dxa"/>
            <w:vAlign w:val="bottom"/>
          </w:tcPr>
          <w:p>
            <w:pPr>
              <w:jc w:val="right"/>
              <w:ind w:right="155"/>
              <w:spacing w:after="0"/>
              <w:rPr>
                <w:sz w:val="20"/>
                <w:szCs w:val="20"/>
                <w:color w:val="auto"/>
              </w:rPr>
            </w:pPr>
            <w:r>
              <w:rPr>
                <w:rFonts w:ascii="Arial" w:cs="Arial" w:eastAsia="Arial" w:hAnsi="Arial"/>
                <w:sz w:val="12"/>
                <w:szCs w:val="12"/>
                <w:color w:val="auto"/>
              </w:rPr>
              <w:t>—</w:t>
            </w:r>
          </w:p>
        </w:tc>
        <w:tc>
          <w:tcPr>
            <w:tcW w:w="340" w:type="dxa"/>
            <w:vAlign w:val="bottom"/>
          </w:tcPr>
          <w:p>
            <w:pPr>
              <w:ind w:left="22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156"/>
              <w:spacing w:after="0"/>
              <w:rPr>
                <w:sz w:val="20"/>
                <w:szCs w:val="20"/>
                <w:color w:val="auto"/>
              </w:rPr>
            </w:pPr>
            <w:r>
              <w:rPr>
                <w:rFonts w:ascii="Arial" w:cs="Arial" w:eastAsia="Arial" w:hAnsi="Arial"/>
                <w:sz w:val="12"/>
                <w:szCs w:val="12"/>
                <w:color w:val="auto"/>
              </w:rPr>
              <w:t>332,499</w:t>
            </w:r>
          </w:p>
        </w:tc>
      </w:tr>
      <w:tr>
        <w:trPr>
          <w:trHeight w:val="241"/>
        </w:trPr>
        <w:tc>
          <w:tcPr>
            <w:tcW w:w="980" w:type="dxa"/>
            <w:vAlign w:val="bottom"/>
          </w:tcPr>
          <w:p>
            <w:pPr>
              <w:spacing w:after="0"/>
              <w:rPr>
                <w:sz w:val="20"/>
                <w:szCs w:val="20"/>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auto"/>
              </w:rPr>
              <w:t>Supplemental Savings Plan</w:t>
            </w:r>
          </w:p>
        </w:tc>
        <w:tc>
          <w:tcPr>
            <w:tcW w:w="420" w:type="dxa"/>
            <w:vAlign w:val="bottom"/>
          </w:tcPr>
          <w:p>
            <w:pPr>
              <w:spacing w:after="0"/>
              <w:rPr>
                <w:sz w:val="20"/>
                <w:szCs w:val="20"/>
                <w:color w:val="auto"/>
              </w:rPr>
            </w:pPr>
          </w:p>
        </w:tc>
        <w:tc>
          <w:tcPr>
            <w:tcW w:w="1340" w:type="dxa"/>
            <w:vAlign w:val="bottom"/>
          </w:tcPr>
          <w:p>
            <w:pPr>
              <w:jc w:val="right"/>
              <w:ind w:right="136"/>
              <w:spacing w:after="0"/>
              <w:rPr>
                <w:sz w:val="20"/>
                <w:szCs w:val="20"/>
                <w:color w:val="auto"/>
              </w:rPr>
            </w:pPr>
            <w:r>
              <w:rPr>
                <w:rFonts w:ascii="Arial" w:cs="Arial" w:eastAsia="Arial" w:hAnsi="Arial"/>
                <w:sz w:val="12"/>
                <w:szCs w:val="12"/>
                <w:color w:val="auto"/>
              </w:rPr>
              <w:t>—</w:t>
            </w:r>
          </w:p>
        </w:tc>
        <w:tc>
          <w:tcPr>
            <w:tcW w:w="340" w:type="dxa"/>
            <w:vAlign w:val="bottom"/>
          </w:tcPr>
          <w:p>
            <w:pPr>
              <w:ind w:left="20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36"/>
              <w:spacing w:after="0"/>
              <w:rPr>
                <w:sz w:val="20"/>
                <w:szCs w:val="20"/>
                <w:color w:val="auto"/>
              </w:rPr>
            </w:pPr>
            <w:r>
              <w:rPr>
                <w:rFonts w:ascii="Arial" w:cs="Arial" w:eastAsia="Arial" w:hAnsi="Arial"/>
                <w:sz w:val="12"/>
                <w:szCs w:val="12"/>
                <w:color w:val="auto"/>
              </w:rPr>
              <w:t>65,120</w:t>
            </w:r>
          </w:p>
        </w:tc>
        <w:tc>
          <w:tcPr>
            <w:tcW w:w="280" w:type="dxa"/>
            <w:vAlign w:val="bottom"/>
          </w:tcPr>
          <w:p>
            <w:pPr>
              <w:spacing w:after="0"/>
              <w:rPr>
                <w:sz w:val="20"/>
                <w:szCs w:val="20"/>
                <w:color w:val="auto"/>
              </w:rPr>
            </w:pPr>
          </w:p>
        </w:tc>
        <w:tc>
          <w:tcPr>
            <w:tcW w:w="1260" w:type="dxa"/>
            <w:vAlign w:val="bottom"/>
          </w:tcPr>
          <w:p>
            <w:pPr>
              <w:jc w:val="right"/>
              <w:ind w:right="156"/>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155"/>
              <w:spacing w:after="0"/>
              <w:rPr>
                <w:sz w:val="20"/>
                <w:szCs w:val="20"/>
                <w:color w:val="auto"/>
              </w:rPr>
            </w:pPr>
            <w:r>
              <w:rPr>
                <w:rFonts w:ascii="Arial" w:cs="Arial" w:eastAsia="Arial" w:hAnsi="Arial"/>
                <w:sz w:val="12"/>
                <w:szCs w:val="12"/>
                <w:color w:val="auto"/>
              </w:rPr>
              <w:t>—</w:t>
            </w:r>
          </w:p>
        </w:tc>
        <w:tc>
          <w:tcPr>
            <w:tcW w:w="340" w:type="dxa"/>
            <w:vAlign w:val="bottom"/>
          </w:tcPr>
          <w:p>
            <w:pPr>
              <w:ind w:left="22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156"/>
              <w:spacing w:after="0"/>
              <w:rPr>
                <w:sz w:val="20"/>
                <w:szCs w:val="20"/>
                <w:color w:val="auto"/>
              </w:rPr>
            </w:pPr>
            <w:r>
              <w:rPr>
                <w:rFonts w:ascii="Arial" w:cs="Arial" w:eastAsia="Arial" w:hAnsi="Arial"/>
                <w:sz w:val="12"/>
                <w:szCs w:val="12"/>
                <w:color w:val="auto"/>
              </w:rPr>
              <w:t>65,120</w:t>
            </w:r>
          </w:p>
        </w:tc>
      </w:tr>
      <w:tr>
        <w:trPr>
          <w:trHeight w:val="94"/>
        </w:trPr>
        <w:tc>
          <w:tcPr>
            <w:tcW w:w="980" w:type="dxa"/>
            <w:vAlign w:val="bottom"/>
            <w:tcBorders>
              <w:bottom w:val="single" w:sz="8" w:color="009BDE"/>
            </w:tcBorders>
          </w:tcPr>
          <w:p>
            <w:pPr>
              <w:spacing w:after="0"/>
              <w:rPr>
                <w:sz w:val="8"/>
                <w:szCs w:val="8"/>
                <w:color w:val="auto"/>
              </w:rPr>
            </w:pPr>
          </w:p>
        </w:tc>
        <w:tc>
          <w:tcPr>
            <w:tcW w:w="206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134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28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440" w:type="dxa"/>
            <w:vAlign w:val="bottom"/>
            <w:tcBorders>
              <w:bottom w:val="single" w:sz="8" w:color="009BDE"/>
            </w:tcBorders>
          </w:tcPr>
          <w:p>
            <w:pPr>
              <w:spacing w:after="0"/>
              <w:rPr>
                <w:sz w:val="8"/>
                <w:szCs w:val="8"/>
                <w:color w:val="auto"/>
              </w:rPr>
            </w:pPr>
          </w:p>
        </w:tc>
      </w:tr>
      <w:tr>
        <w:trPr>
          <w:trHeight w:val="123"/>
        </w:trPr>
        <w:tc>
          <w:tcPr>
            <w:tcW w:w="980" w:type="dxa"/>
            <w:vAlign w:val="bottom"/>
          </w:tcPr>
          <w:p>
            <w:pPr>
              <w:ind w:left="80"/>
              <w:spacing w:after="0" w:line="123" w:lineRule="exact"/>
              <w:rPr>
                <w:sz w:val="20"/>
                <w:szCs w:val="20"/>
                <w:color w:val="auto"/>
              </w:rPr>
            </w:pPr>
            <w:r>
              <w:rPr>
                <w:rFonts w:ascii="Arial" w:cs="Arial" w:eastAsia="Arial" w:hAnsi="Arial"/>
                <w:sz w:val="12"/>
                <w:szCs w:val="12"/>
                <w:color w:val="auto"/>
              </w:rPr>
              <w:t>Tim Kilpin</w:t>
            </w:r>
          </w:p>
        </w:tc>
        <w:tc>
          <w:tcPr>
            <w:tcW w:w="2060" w:type="dxa"/>
            <w:vAlign w:val="bottom"/>
          </w:tcPr>
          <w:p>
            <w:pPr>
              <w:ind w:left="200"/>
              <w:spacing w:after="0" w:line="123" w:lineRule="exact"/>
              <w:rPr>
                <w:sz w:val="20"/>
                <w:szCs w:val="20"/>
                <w:color w:val="auto"/>
              </w:rPr>
            </w:pPr>
            <w:r>
              <w:rPr>
                <w:rFonts w:ascii="Arial" w:cs="Arial" w:eastAsia="Arial" w:hAnsi="Arial"/>
                <w:sz w:val="12"/>
                <w:szCs w:val="12"/>
                <w:color w:val="auto"/>
              </w:rPr>
              <w:t>Non-Qualified Deferred</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78"/>
        </w:trPr>
        <w:tc>
          <w:tcPr>
            <w:tcW w:w="980" w:type="dxa"/>
            <w:vAlign w:val="bottom"/>
          </w:tcPr>
          <w:p>
            <w:pPr>
              <w:spacing w:after="0"/>
              <w:rPr>
                <w:sz w:val="15"/>
                <w:szCs w:val="15"/>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auto"/>
              </w:rPr>
              <w:t>Compensation Plan</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ind w:right="136"/>
              <w:spacing w:after="0"/>
              <w:rPr>
                <w:sz w:val="20"/>
                <w:szCs w:val="20"/>
                <w:color w:val="auto"/>
              </w:rPr>
            </w:pPr>
            <w:r>
              <w:rPr>
                <w:rFonts w:ascii="Arial" w:cs="Arial" w:eastAsia="Arial" w:hAnsi="Arial"/>
                <w:sz w:val="12"/>
                <w:szCs w:val="12"/>
                <w:color w:val="auto"/>
              </w:rPr>
              <w:t>17,000</w:t>
            </w:r>
          </w:p>
        </w:tc>
        <w:tc>
          <w:tcPr>
            <w:tcW w:w="340" w:type="dxa"/>
            <w:vAlign w:val="bottom"/>
          </w:tcPr>
          <w:p>
            <w:pPr>
              <w:spacing w:after="0"/>
              <w:rPr>
                <w:sz w:val="15"/>
                <w:szCs w:val="15"/>
                <w:color w:val="auto"/>
              </w:rPr>
            </w:pPr>
          </w:p>
        </w:tc>
        <w:tc>
          <w:tcPr>
            <w:tcW w:w="1160" w:type="dxa"/>
            <w:vAlign w:val="bottom"/>
          </w:tcPr>
          <w:p>
            <w:pPr>
              <w:jc w:val="right"/>
              <w:ind w:right="136"/>
              <w:spacing w:after="0"/>
              <w:rPr>
                <w:sz w:val="20"/>
                <w:szCs w:val="20"/>
                <w:color w:val="auto"/>
              </w:rPr>
            </w:pPr>
            <w:r>
              <w:rPr>
                <w:rFonts w:ascii="Arial" w:cs="Arial" w:eastAsia="Arial" w:hAnsi="Arial"/>
                <w:sz w:val="12"/>
                <w:szCs w:val="12"/>
                <w:color w:val="auto"/>
              </w:rPr>
              <w:t>—</w:t>
            </w:r>
          </w:p>
        </w:tc>
        <w:tc>
          <w:tcPr>
            <w:tcW w:w="280" w:type="dxa"/>
            <w:vAlign w:val="bottom"/>
          </w:tcPr>
          <w:p>
            <w:pPr>
              <w:ind w:left="20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156"/>
              <w:spacing w:after="0"/>
              <w:rPr>
                <w:sz w:val="20"/>
                <w:szCs w:val="20"/>
                <w:color w:val="auto"/>
              </w:rPr>
            </w:pPr>
            <w:r>
              <w:rPr>
                <w:rFonts w:ascii="Arial" w:cs="Arial" w:eastAsia="Arial" w:hAnsi="Arial"/>
                <w:sz w:val="12"/>
                <w:szCs w:val="12"/>
                <w:color w:val="auto"/>
              </w:rPr>
              <w:t>7,865</w:t>
            </w:r>
          </w:p>
        </w:tc>
        <w:tc>
          <w:tcPr>
            <w:tcW w:w="1300" w:type="dxa"/>
            <w:vAlign w:val="bottom"/>
          </w:tcPr>
          <w:p>
            <w:pPr>
              <w:jc w:val="right"/>
              <w:ind w:right="155"/>
              <w:spacing w:after="0"/>
              <w:rPr>
                <w:sz w:val="20"/>
                <w:szCs w:val="20"/>
                <w:color w:val="auto"/>
              </w:rPr>
            </w:pPr>
            <w:r>
              <w:rPr>
                <w:rFonts w:ascii="Arial" w:cs="Arial" w:eastAsia="Arial" w:hAnsi="Arial"/>
                <w:sz w:val="12"/>
                <w:szCs w:val="12"/>
                <w:color w:val="auto"/>
              </w:rPr>
              <w:t>—</w:t>
            </w:r>
          </w:p>
        </w:tc>
        <w:tc>
          <w:tcPr>
            <w:tcW w:w="340" w:type="dxa"/>
            <w:vAlign w:val="bottom"/>
          </w:tcPr>
          <w:p>
            <w:pPr>
              <w:ind w:left="22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156"/>
              <w:spacing w:after="0"/>
              <w:rPr>
                <w:sz w:val="20"/>
                <w:szCs w:val="20"/>
                <w:color w:val="auto"/>
              </w:rPr>
            </w:pPr>
            <w:r>
              <w:rPr>
                <w:rFonts w:ascii="Arial" w:cs="Arial" w:eastAsia="Arial" w:hAnsi="Arial"/>
                <w:sz w:val="12"/>
                <w:szCs w:val="12"/>
                <w:color w:val="auto"/>
              </w:rPr>
              <w:t>93,884</w:t>
            </w:r>
          </w:p>
        </w:tc>
      </w:tr>
      <w:tr>
        <w:trPr>
          <w:trHeight w:val="241"/>
        </w:trPr>
        <w:tc>
          <w:tcPr>
            <w:tcW w:w="980" w:type="dxa"/>
            <w:vAlign w:val="bottom"/>
          </w:tcPr>
          <w:p>
            <w:pPr>
              <w:spacing w:after="0"/>
              <w:rPr>
                <w:sz w:val="20"/>
                <w:szCs w:val="20"/>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auto"/>
              </w:rPr>
              <w:t>Supplemental Savings Plan</w:t>
            </w:r>
          </w:p>
        </w:tc>
        <w:tc>
          <w:tcPr>
            <w:tcW w:w="420" w:type="dxa"/>
            <w:vAlign w:val="bottom"/>
          </w:tcPr>
          <w:p>
            <w:pPr>
              <w:spacing w:after="0"/>
              <w:rPr>
                <w:sz w:val="20"/>
                <w:szCs w:val="20"/>
                <w:color w:val="auto"/>
              </w:rPr>
            </w:pPr>
          </w:p>
        </w:tc>
        <w:tc>
          <w:tcPr>
            <w:tcW w:w="1340" w:type="dxa"/>
            <w:vAlign w:val="bottom"/>
          </w:tcPr>
          <w:p>
            <w:pPr>
              <w:jc w:val="right"/>
              <w:ind w:right="136"/>
              <w:spacing w:after="0"/>
              <w:rPr>
                <w:sz w:val="20"/>
                <w:szCs w:val="20"/>
                <w:color w:val="auto"/>
              </w:rPr>
            </w:pPr>
            <w:r>
              <w:rPr>
                <w:rFonts w:ascii="Arial" w:cs="Arial" w:eastAsia="Arial" w:hAnsi="Arial"/>
                <w:sz w:val="12"/>
                <w:szCs w:val="12"/>
                <w:color w:val="auto"/>
              </w:rPr>
              <w:t>—</w:t>
            </w:r>
          </w:p>
        </w:tc>
        <w:tc>
          <w:tcPr>
            <w:tcW w:w="340" w:type="dxa"/>
            <w:vAlign w:val="bottom"/>
          </w:tcPr>
          <w:p>
            <w:pPr>
              <w:ind w:left="20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36"/>
              <w:spacing w:after="0"/>
              <w:rPr>
                <w:sz w:val="20"/>
                <w:szCs w:val="20"/>
                <w:color w:val="auto"/>
              </w:rPr>
            </w:pPr>
            <w:r>
              <w:rPr>
                <w:rFonts w:ascii="Arial" w:cs="Arial" w:eastAsia="Arial" w:hAnsi="Arial"/>
                <w:sz w:val="12"/>
                <w:szCs w:val="12"/>
                <w:color w:val="auto"/>
              </w:rPr>
              <w:t>121,500</w:t>
            </w:r>
          </w:p>
        </w:tc>
        <w:tc>
          <w:tcPr>
            <w:tcW w:w="280" w:type="dxa"/>
            <w:vAlign w:val="bottom"/>
          </w:tcPr>
          <w:p>
            <w:pPr>
              <w:ind w:left="20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156"/>
              <w:spacing w:after="0"/>
              <w:rPr>
                <w:sz w:val="20"/>
                <w:szCs w:val="20"/>
                <w:color w:val="auto"/>
              </w:rPr>
            </w:pPr>
            <w:r>
              <w:rPr>
                <w:rFonts w:ascii="Arial" w:cs="Arial" w:eastAsia="Arial" w:hAnsi="Arial"/>
                <w:sz w:val="12"/>
                <w:szCs w:val="12"/>
                <w:color w:val="auto"/>
              </w:rPr>
              <w:t>3,708</w:t>
            </w:r>
          </w:p>
        </w:tc>
        <w:tc>
          <w:tcPr>
            <w:tcW w:w="1300" w:type="dxa"/>
            <w:vAlign w:val="bottom"/>
          </w:tcPr>
          <w:p>
            <w:pPr>
              <w:jc w:val="right"/>
              <w:ind w:right="155"/>
              <w:spacing w:after="0"/>
              <w:rPr>
                <w:sz w:val="20"/>
                <w:szCs w:val="20"/>
                <w:color w:val="auto"/>
              </w:rPr>
            </w:pPr>
            <w:r>
              <w:rPr>
                <w:rFonts w:ascii="Arial" w:cs="Arial" w:eastAsia="Arial" w:hAnsi="Arial"/>
                <w:sz w:val="12"/>
                <w:szCs w:val="12"/>
                <w:color w:val="auto"/>
              </w:rPr>
              <w:t>—</w:t>
            </w:r>
          </w:p>
        </w:tc>
        <w:tc>
          <w:tcPr>
            <w:tcW w:w="340" w:type="dxa"/>
            <w:vAlign w:val="bottom"/>
          </w:tcPr>
          <w:p>
            <w:pPr>
              <w:ind w:left="22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156"/>
              <w:spacing w:after="0"/>
              <w:rPr>
                <w:sz w:val="20"/>
                <w:szCs w:val="20"/>
                <w:color w:val="auto"/>
              </w:rPr>
            </w:pPr>
            <w:r>
              <w:rPr>
                <w:rFonts w:ascii="Arial" w:cs="Arial" w:eastAsia="Arial" w:hAnsi="Arial"/>
                <w:sz w:val="12"/>
                <w:szCs w:val="12"/>
                <w:color w:val="auto"/>
              </w:rPr>
              <w:t>238,891</w:t>
            </w:r>
          </w:p>
        </w:tc>
      </w:tr>
      <w:tr>
        <w:trPr>
          <w:trHeight w:val="94"/>
        </w:trPr>
        <w:tc>
          <w:tcPr>
            <w:tcW w:w="980" w:type="dxa"/>
            <w:vAlign w:val="bottom"/>
            <w:tcBorders>
              <w:bottom w:val="single" w:sz="8" w:color="009BDE"/>
            </w:tcBorders>
          </w:tcPr>
          <w:p>
            <w:pPr>
              <w:spacing w:after="0"/>
              <w:rPr>
                <w:sz w:val="8"/>
                <w:szCs w:val="8"/>
                <w:color w:val="auto"/>
              </w:rPr>
            </w:pPr>
          </w:p>
        </w:tc>
        <w:tc>
          <w:tcPr>
            <w:tcW w:w="206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134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28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440" w:type="dxa"/>
            <w:vAlign w:val="bottom"/>
            <w:tcBorders>
              <w:bottom w:val="single" w:sz="8" w:color="009BDE"/>
            </w:tcBorders>
          </w:tcPr>
          <w:p>
            <w:pPr>
              <w:spacing w:after="0"/>
              <w:rPr>
                <w:sz w:val="8"/>
                <w:szCs w:val="8"/>
                <w:color w:val="auto"/>
              </w:rPr>
            </w:pPr>
          </w:p>
        </w:tc>
      </w:tr>
      <w:tr>
        <w:trPr>
          <w:trHeight w:val="123"/>
        </w:trPr>
        <w:tc>
          <w:tcPr>
            <w:tcW w:w="980" w:type="dxa"/>
            <w:vAlign w:val="bottom"/>
          </w:tcPr>
          <w:p>
            <w:pPr>
              <w:ind w:left="80"/>
              <w:spacing w:after="0" w:line="123" w:lineRule="exact"/>
              <w:rPr>
                <w:sz w:val="20"/>
                <w:szCs w:val="20"/>
                <w:color w:val="auto"/>
              </w:rPr>
            </w:pPr>
            <w:r>
              <w:rPr>
                <w:rFonts w:ascii="Arial" w:cs="Arial" w:eastAsia="Arial" w:hAnsi="Arial"/>
                <w:sz w:val="12"/>
                <w:szCs w:val="12"/>
                <w:color w:val="auto"/>
              </w:rPr>
              <w:t>Tarrant Sibley</w:t>
            </w:r>
          </w:p>
        </w:tc>
        <w:tc>
          <w:tcPr>
            <w:tcW w:w="2060" w:type="dxa"/>
            <w:vAlign w:val="bottom"/>
          </w:tcPr>
          <w:p>
            <w:pPr>
              <w:ind w:left="200"/>
              <w:spacing w:after="0" w:line="123" w:lineRule="exact"/>
              <w:rPr>
                <w:sz w:val="20"/>
                <w:szCs w:val="20"/>
                <w:color w:val="auto"/>
              </w:rPr>
            </w:pPr>
            <w:r>
              <w:rPr>
                <w:rFonts w:ascii="Arial" w:cs="Arial" w:eastAsia="Arial" w:hAnsi="Arial"/>
                <w:sz w:val="12"/>
                <w:szCs w:val="12"/>
                <w:color w:val="auto"/>
              </w:rPr>
              <w:t>Non-Qualified Deferred</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78"/>
        </w:trPr>
        <w:tc>
          <w:tcPr>
            <w:tcW w:w="980" w:type="dxa"/>
            <w:vAlign w:val="bottom"/>
          </w:tcPr>
          <w:p>
            <w:pPr>
              <w:spacing w:after="0"/>
              <w:rPr>
                <w:sz w:val="15"/>
                <w:szCs w:val="15"/>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auto"/>
              </w:rPr>
              <w:t>Compensation Plan</w:t>
            </w:r>
          </w:p>
        </w:tc>
        <w:tc>
          <w:tcPr>
            <w:tcW w:w="420" w:type="dxa"/>
            <w:vAlign w:val="bottom"/>
          </w:tcPr>
          <w:p>
            <w:pPr>
              <w:spacing w:after="0"/>
              <w:rPr>
                <w:sz w:val="15"/>
                <w:szCs w:val="15"/>
                <w:color w:val="auto"/>
              </w:rPr>
            </w:pPr>
          </w:p>
        </w:tc>
        <w:tc>
          <w:tcPr>
            <w:tcW w:w="1340" w:type="dxa"/>
            <w:vAlign w:val="bottom"/>
          </w:tcPr>
          <w:p>
            <w:pPr>
              <w:jc w:val="right"/>
              <w:ind w:right="136"/>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160" w:type="dxa"/>
            <w:vAlign w:val="bottom"/>
          </w:tcPr>
          <w:p>
            <w:pPr>
              <w:jc w:val="right"/>
              <w:ind w:right="136"/>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1260" w:type="dxa"/>
            <w:vAlign w:val="bottom"/>
          </w:tcPr>
          <w:p>
            <w:pPr>
              <w:jc w:val="right"/>
              <w:ind w:right="156"/>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155"/>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440" w:type="dxa"/>
            <w:vAlign w:val="bottom"/>
          </w:tcPr>
          <w:p>
            <w:pPr>
              <w:jc w:val="right"/>
              <w:ind w:right="156"/>
              <w:spacing w:after="0"/>
              <w:rPr>
                <w:sz w:val="20"/>
                <w:szCs w:val="20"/>
                <w:color w:val="auto"/>
              </w:rPr>
            </w:pPr>
            <w:r>
              <w:rPr>
                <w:rFonts w:ascii="Arial" w:cs="Arial" w:eastAsia="Arial" w:hAnsi="Arial"/>
                <w:sz w:val="12"/>
                <w:szCs w:val="12"/>
                <w:color w:val="auto"/>
              </w:rPr>
              <w:t>—</w:t>
            </w:r>
          </w:p>
        </w:tc>
      </w:tr>
      <w:tr>
        <w:trPr>
          <w:trHeight w:val="241"/>
        </w:trPr>
        <w:tc>
          <w:tcPr>
            <w:tcW w:w="980" w:type="dxa"/>
            <w:vAlign w:val="bottom"/>
          </w:tcPr>
          <w:p>
            <w:pPr>
              <w:spacing w:after="0"/>
              <w:rPr>
                <w:sz w:val="20"/>
                <w:szCs w:val="20"/>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auto"/>
              </w:rPr>
              <w:t>Supplemental Savings Plan</w:t>
            </w:r>
          </w:p>
        </w:tc>
        <w:tc>
          <w:tcPr>
            <w:tcW w:w="420" w:type="dxa"/>
            <w:vAlign w:val="bottom"/>
          </w:tcPr>
          <w:p>
            <w:pPr>
              <w:spacing w:after="0"/>
              <w:rPr>
                <w:sz w:val="20"/>
                <w:szCs w:val="20"/>
                <w:color w:val="auto"/>
              </w:rPr>
            </w:pPr>
          </w:p>
        </w:tc>
        <w:tc>
          <w:tcPr>
            <w:tcW w:w="1340" w:type="dxa"/>
            <w:vAlign w:val="bottom"/>
          </w:tcPr>
          <w:p>
            <w:pPr>
              <w:jc w:val="right"/>
              <w:ind w:right="136"/>
              <w:spacing w:after="0"/>
              <w:rPr>
                <w:sz w:val="20"/>
                <w:szCs w:val="20"/>
                <w:color w:val="auto"/>
              </w:rPr>
            </w:pPr>
            <w:r>
              <w:rPr>
                <w:rFonts w:ascii="Arial" w:cs="Arial" w:eastAsia="Arial" w:hAnsi="Arial"/>
                <w:sz w:val="12"/>
                <w:szCs w:val="12"/>
                <w:color w:val="auto"/>
              </w:rPr>
              <w:t>—</w:t>
            </w:r>
          </w:p>
        </w:tc>
        <w:tc>
          <w:tcPr>
            <w:tcW w:w="340" w:type="dxa"/>
            <w:vAlign w:val="bottom"/>
          </w:tcPr>
          <w:p>
            <w:pPr>
              <w:ind w:left="20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36"/>
              <w:spacing w:after="0"/>
              <w:rPr>
                <w:sz w:val="20"/>
                <w:szCs w:val="20"/>
                <w:color w:val="auto"/>
              </w:rPr>
            </w:pPr>
            <w:r>
              <w:rPr>
                <w:rFonts w:ascii="Arial" w:cs="Arial" w:eastAsia="Arial" w:hAnsi="Arial"/>
                <w:sz w:val="12"/>
                <w:szCs w:val="12"/>
                <w:color w:val="auto"/>
              </w:rPr>
              <w:t>104,674</w:t>
            </w:r>
          </w:p>
        </w:tc>
        <w:tc>
          <w:tcPr>
            <w:tcW w:w="280" w:type="dxa"/>
            <w:vAlign w:val="bottom"/>
          </w:tcPr>
          <w:p>
            <w:pPr>
              <w:ind w:left="20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156"/>
              <w:spacing w:after="0"/>
              <w:rPr>
                <w:sz w:val="20"/>
                <w:szCs w:val="20"/>
                <w:color w:val="auto"/>
              </w:rPr>
            </w:pPr>
            <w:r>
              <w:rPr>
                <w:rFonts w:ascii="Arial" w:cs="Arial" w:eastAsia="Arial" w:hAnsi="Arial"/>
                <w:sz w:val="12"/>
                <w:szCs w:val="12"/>
                <w:color w:val="auto"/>
              </w:rPr>
              <w:t>28,810</w:t>
            </w:r>
          </w:p>
        </w:tc>
        <w:tc>
          <w:tcPr>
            <w:tcW w:w="1300" w:type="dxa"/>
            <w:vAlign w:val="bottom"/>
          </w:tcPr>
          <w:p>
            <w:pPr>
              <w:jc w:val="right"/>
              <w:ind w:right="155"/>
              <w:spacing w:after="0"/>
              <w:rPr>
                <w:sz w:val="20"/>
                <w:szCs w:val="20"/>
                <w:color w:val="auto"/>
              </w:rPr>
            </w:pPr>
            <w:r>
              <w:rPr>
                <w:rFonts w:ascii="Arial" w:cs="Arial" w:eastAsia="Arial" w:hAnsi="Arial"/>
                <w:sz w:val="12"/>
                <w:szCs w:val="12"/>
                <w:color w:val="auto"/>
              </w:rPr>
              <w:t>—</w:t>
            </w:r>
          </w:p>
        </w:tc>
        <w:tc>
          <w:tcPr>
            <w:tcW w:w="340" w:type="dxa"/>
            <w:vAlign w:val="bottom"/>
          </w:tcPr>
          <w:p>
            <w:pPr>
              <w:ind w:left="22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156"/>
              <w:spacing w:after="0"/>
              <w:rPr>
                <w:sz w:val="20"/>
                <w:szCs w:val="20"/>
                <w:color w:val="auto"/>
              </w:rPr>
            </w:pPr>
            <w:r>
              <w:rPr>
                <w:rFonts w:ascii="Arial" w:cs="Arial" w:eastAsia="Arial" w:hAnsi="Arial"/>
                <w:sz w:val="12"/>
                <w:szCs w:val="12"/>
                <w:color w:val="auto"/>
              </w:rPr>
              <w:t>855,254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59690</wp:posOffset>
            </wp:positionV>
            <wp:extent cx="69297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8" w:lineRule="exact"/>
        <w:rPr>
          <w:sz w:val="20"/>
          <w:szCs w:val="20"/>
          <w:color w:val="auto"/>
        </w:rPr>
      </w:pPr>
    </w:p>
    <w:p>
      <w:pPr>
        <w:ind w:left="600" w:right="260" w:hanging="433"/>
        <w:spacing w:after="0" w:line="260" w:lineRule="auto"/>
        <w:tabs>
          <w:tab w:leader="none" w:pos="6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Both the executive and registrant contributions above are also disclosed in the preceding Summary Compensation Table as either salary, non-equity incentive plan compensation or under all other compensation, as applicable. Registrant contributions earned during 2025 and credited to the account during 2025 as well as executive contributions on amounts earned during 2025 but paid in 2026 are included in the table above.</w:t>
      </w:r>
    </w:p>
    <w:p>
      <w:pPr>
        <w:spacing w:after="0" w:line="38" w:lineRule="exact"/>
        <w:rPr>
          <w:rFonts w:ascii="Arial" w:cs="Arial" w:eastAsia="Arial" w:hAnsi="Arial"/>
          <w:sz w:val="14"/>
          <w:szCs w:val="14"/>
          <w:color w:val="auto"/>
        </w:rPr>
      </w:pPr>
    </w:p>
    <w:p>
      <w:pPr>
        <w:ind w:left="600" w:hanging="433"/>
        <w:spacing w:after="0"/>
        <w:tabs>
          <w:tab w:leader="none" w:pos="6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aggregate earnings in the last fiscal year include earnings on amounts deferred by the individual in years prior to fiscal 2025.</w:t>
      </w:r>
    </w:p>
    <w:p>
      <w:pPr>
        <w:spacing w:after="0" w:line="79" w:lineRule="exact"/>
        <w:rPr>
          <w:rFonts w:ascii="Arial" w:cs="Arial" w:eastAsia="Arial" w:hAnsi="Arial"/>
          <w:sz w:val="14"/>
          <w:szCs w:val="14"/>
          <w:color w:val="auto"/>
        </w:rPr>
      </w:pPr>
    </w:p>
    <w:p>
      <w:pPr>
        <w:ind w:left="600" w:right="20" w:hanging="433"/>
        <w:spacing w:after="0" w:line="281" w:lineRule="auto"/>
        <w:tabs>
          <w:tab w:leader="none" w:pos="6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registrant and executive contributions on amounts earned during 2025 but credited during 2026. In addition to the amounts contributed for 2025, the amounts below were reported as compensation in prior year’s Summary Compensation Tables.</w:t>
      </w:r>
    </w:p>
    <w:p>
      <w:pPr>
        <w:spacing w:after="0" w:line="292"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5540" w:type="dxa"/>
            <w:vAlign w:val="bottom"/>
          </w:tcPr>
          <w:p>
            <w:pPr>
              <w:ind w:left="80"/>
              <w:spacing w:after="0"/>
              <w:rPr>
                <w:sz w:val="20"/>
                <w:szCs w:val="20"/>
                <w:color w:val="auto"/>
              </w:rPr>
            </w:pPr>
            <w:r>
              <w:rPr>
                <w:rFonts w:ascii="Arial" w:cs="Arial" w:eastAsia="Arial" w:hAnsi="Arial"/>
                <w:sz w:val="14"/>
                <w:szCs w:val="14"/>
                <w:color w:val="auto"/>
              </w:rPr>
              <w:t>Chris Cocks</w:t>
            </w:r>
          </w:p>
        </w:tc>
        <w:tc>
          <w:tcPr>
            <w:tcW w:w="46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1,617,406</w:t>
            </w:r>
          </w:p>
        </w:tc>
      </w:tr>
      <w:tr>
        <w:trPr>
          <w:trHeight w:val="88"/>
        </w:trPr>
        <w:tc>
          <w:tcPr>
            <w:tcW w:w="5540" w:type="dxa"/>
            <w:vAlign w:val="bottom"/>
            <w:tcBorders>
              <w:bottom w:val="single" w:sz="8" w:color="009BDE"/>
            </w:tcBorders>
          </w:tcPr>
          <w:p>
            <w:pPr>
              <w:spacing w:after="0"/>
              <w:rPr>
                <w:sz w:val="7"/>
                <w:szCs w:val="7"/>
                <w:color w:val="auto"/>
              </w:rPr>
            </w:pPr>
          </w:p>
        </w:tc>
        <w:tc>
          <w:tcPr>
            <w:tcW w:w="468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r>
      <w:tr>
        <w:trPr>
          <w:trHeight w:val="267"/>
        </w:trPr>
        <w:tc>
          <w:tcPr>
            <w:tcW w:w="5540" w:type="dxa"/>
            <w:vAlign w:val="bottom"/>
          </w:tcPr>
          <w:p>
            <w:pPr>
              <w:ind w:left="80"/>
              <w:spacing w:after="0"/>
              <w:rPr>
                <w:sz w:val="20"/>
                <w:szCs w:val="20"/>
                <w:color w:val="auto"/>
              </w:rPr>
            </w:pPr>
            <w:r>
              <w:rPr>
                <w:rFonts w:ascii="Arial" w:cs="Arial" w:eastAsia="Arial" w:hAnsi="Arial"/>
                <w:sz w:val="14"/>
                <w:szCs w:val="14"/>
                <w:color w:val="auto"/>
              </w:rPr>
              <w:t>Gina Goetter</w:t>
            </w:r>
          </w:p>
        </w:tc>
        <w:tc>
          <w:tcPr>
            <w:tcW w:w="46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105,403</w:t>
            </w:r>
          </w:p>
        </w:tc>
      </w:tr>
      <w:tr>
        <w:trPr>
          <w:trHeight w:val="88"/>
        </w:trPr>
        <w:tc>
          <w:tcPr>
            <w:tcW w:w="5540" w:type="dxa"/>
            <w:vAlign w:val="bottom"/>
            <w:tcBorders>
              <w:bottom w:val="single" w:sz="8" w:color="009BDE"/>
            </w:tcBorders>
          </w:tcPr>
          <w:p>
            <w:pPr>
              <w:spacing w:after="0"/>
              <w:rPr>
                <w:sz w:val="7"/>
                <w:szCs w:val="7"/>
                <w:color w:val="auto"/>
              </w:rPr>
            </w:pPr>
          </w:p>
        </w:tc>
        <w:tc>
          <w:tcPr>
            <w:tcW w:w="468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r>
      <w:tr>
        <w:trPr>
          <w:trHeight w:val="267"/>
        </w:trPr>
        <w:tc>
          <w:tcPr>
            <w:tcW w:w="5540" w:type="dxa"/>
            <w:vAlign w:val="bottom"/>
          </w:tcPr>
          <w:p>
            <w:pPr>
              <w:ind w:left="80"/>
              <w:spacing w:after="0"/>
              <w:rPr>
                <w:sz w:val="20"/>
                <w:szCs w:val="20"/>
                <w:color w:val="auto"/>
              </w:rPr>
            </w:pPr>
            <w:r>
              <w:rPr>
                <w:rFonts w:ascii="Arial" w:cs="Arial" w:eastAsia="Arial" w:hAnsi="Arial"/>
                <w:sz w:val="14"/>
                <w:szCs w:val="14"/>
                <w:color w:val="auto"/>
              </w:rPr>
              <w:t>John Hight</w:t>
            </w:r>
          </w:p>
        </w:tc>
        <w:tc>
          <w:tcPr>
            <w:tcW w:w="46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88"/>
        </w:trPr>
        <w:tc>
          <w:tcPr>
            <w:tcW w:w="5540" w:type="dxa"/>
            <w:vAlign w:val="bottom"/>
            <w:tcBorders>
              <w:bottom w:val="single" w:sz="8" w:color="009BDE"/>
            </w:tcBorders>
          </w:tcPr>
          <w:p>
            <w:pPr>
              <w:spacing w:after="0"/>
              <w:rPr>
                <w:sz w:val="7"/>
                <w:szCs w:val="7"/>
                <w:color w:val="auto"/>
              </w:rPr>
            </w:pPr>
          </w:p>
        </w:tc>
        <w:tc>
          <w:tcPr>
            <w:tcW w:w="468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r>
      <w:tr>
        <w:trPr>
          <w:trHeight w:val="267"/>
        </w:trPr>
        <w:tc>
          <w:tcPr>
            <w:tcW w:w="5540" w:type="dxa"/>
            <w:vAlign w:val="bottom"/>
          </w:tcPr>
          <w:p>
            <w:pPr>
              <w:ind w:left="80"/>
              <w:spacing w:after="0"/>
              <w:rPr>
                <w:sz w:val="20"/>
                <w:szCs w:val="20"/>
                <w:color w:val="auto"/>
              </w:rPr>
            </w:pPr>
            <w:r>
              <w:rPr>
                <w:rFonts w:ascii="Arial" w:cs="Arial" w:eastAsia="Arial" w:hAnsi="Arial"/>
                <w:sz w:val="14"/>
                <w:szCs w:val="14"/>
                <w:color w:val="auto"/>
              </w:rPr>
              <w:t>Tim Kilpin</w:t>
            </w:r>
          </w:p>
        </w:tc>
        <w:tc>
          <w:tcPr>
            <w:tcW w:w="46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113,002</w:t>
            </w:r>
          </w:p>
        </w:tc>
      </w:tr>
      <w:tr>
        <w:trPr>
          <w:trHeight w:val="88"/>
        </w:trPr>
        <w:tc>
          <w:tcPr>
            <w:tcW w:w="5540" w:type="dxa"/>
            <w:vAlign w:val="bottom"/>
            <w:tcBorders>
              <w:bottom w:val="single" w:sz="8" w:color="009BDE"/>
            </w:tcBorders>
          </w:tcPr>
          <w:p>
            <w:pPr>
              <w:spacing w:after="0"/>
              <w:rPr>
                <w:sz w:val="7"/>
                <w:szCs w:val="7"/>
                <w:color w:val="auto"/>
              </w:rPr>
            </w:pPr>
          </w:p>
        </w:tc>
        <w:tc>
          <w:tcPr>
            <w:tcW w:w="468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r>
      <w:tr>
        <w:trPr>
          <w:trHeight w:val="267"/>
        </w:trPr>
        <w:tc>
          <w:tcPr>
            <w:tcW w:w="5540" w:type="dxa"/>
            <w:vAlign w:val="bottom"/>
          </w:tcPr>
          <w:p>
            <w:pPr>
              <w:ind w:left="80"/>
              <w:spacing w:after="0"/>
              <w:rPr>
                <w:sz w:val="20"/>
                <w:szCs w:val="20"/>
                <w:color w:val="auto"/>
              </w:rPr>
            </w:pPr>
            <w:r>
              <w:rPr>
                <w:rFonts w:ascii="Arial" w:cs="Arial" w:eastAsia="Arial" w:hAnsi="Arial"/>
                <w:sz w:val="14"/>
                <w:szCs w:val="14"/>
                <w:color w:val="auto"/>
              </w:rPr>
              <w:t>Tarrant Sibley</w:t>
            </w:r>
          </w:p>
        </w:tc>
        <w:tc>
          <w:tcPr>
            <w:tcW w:w="46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42,248</w:t>
            </w:r>
          </w:p>
        </w:tc>
      </w:tr>
      <w:tr>
        <w:trPr>
          <w:trHeight w:val="88"/>
        </w:trPr>
        <w:tc>
          <w:tcPr>
            <w:tcW w:w="5540" w:type="dxa"/>
            <w:vAlign w:val="bottom"/>
            <w:tcBorders>
              <w:bottom w:val="single" w:sz="8" w:color="009BDE"/>
            </w:tcBorders>
          </w:tcPr>
          <w:p>
            <w:pPr>
              <w:spacing w:after="0"/>
              <w:rPr>
                <w:sz w:val="7"/>
                <w:szCs w:val="7"/>
                <w:color w:val="auto"/>
              </w:rPr>
            </w:pPr>
          </w:p>
        </w:tc>
        <w:tc>
          <w:tcPr>
            <w:tcW w:w="468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r>
    </w:tbl>
    <w:p>
      <w:pPr>
        <w:spacing w:after="0" w:line="120" w:lineRule="exact"/>
        <w:rPr>
          <w:sz w:val="20"/>
          <w:szCs w:val="20"/>
          <w:color w:val="auto"/>
        </w:rPr>
      </w:pPr>
    </w:p>
    <w:p>
      <w:pPr>
        <w:ind w:left="160" w:right="520"/>
        <w:spacing w:after="0" w:line="279" w:lineRule="auto"/>
        <w:rPr>
          <w:sz w:val="20"/>
          <w:szCs w:val="20"/>
          <w:color w:val="auto"/>
        </w:rPr>
      </w:pPr>
      <w:r>
        <w:rPr>
          <w:rFonts w:ascii="Arial" w:cs="Arial" w:eastAsia="Arial" w:hAnsi="Arial"/>
          <w:sz w:val="16"/>
          <w:szCs w:val="16"/>
          <w:color w:val="auto"/>
        </w:rPr>
        <w:t>Amounts included in the “Non-Qualified Deferred Compensation and Other Deferred Compensation” table above consist of executive deferrals and registrant contributions under the Supplemental Plan and the Non-Qualified Deferred Compensation Plan, each of which are described below.</w:t>
      </w:r>
    </w:p>
    <w:p>
      <w:pPr>
        <w:spacing w:after="0" w:line="260"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9BDE"/>
        </w:rPr>
        <w:t>Supplemental Plan</w:t>
      </w:r>
    </w:p>
    <w:p>
      <w:pPr>
        <w:spacing w:after="0" w:line="139"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Each of our NEOs participated in the Supplemental Plan. All registrant contributions reflected in the preceding table were allocated to the Supplemental Plan. Elective deferrals are not permitted under the Supplemental Plan. Account balances received interest at the rate of 4% per year for 2025. This rate reflects the 2025 return, less an allowance for certain expenses, paid by the insurance companies providing this corporate owned life insurance product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6964045" cy="39052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  47</w:t>
      </w:r>
    </w:p>
    <w:p>
      <w:pPr>
        <w:sectPr>
          <w:pgSz w:w="11900" w:h="16838" w:orient="portrait"/>
          <w:cols w:equalWidth="0" w:num="1">
            <w:col w:w="11080"/>
          </w:cols>
          <w:pgMar w:left="320" w:top="478"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Hasbro. Matching contributions are fully vested at all times while the annual discretionary Company and transition contributions are subject to a 3-year vesting requirement, however remaining benefits are subject to forfeiture for violations of non-competition or confidentiality obligations or for termination due to certain criminal acts involving Company property. Benefits under the Supplemental Plan are payable as a lump sum upon termination of employment (including retirement and death), subject to a six-month waiting period under Code Section 409A, as applicable.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9BDE"/>
        </w:rPr>
        <w:t>Non-Qualified Deferred Compensation Plan</w:t>
      </w:r>
    </w:p>
    <w:p>
      <w:pPr>
        <w:spacing w:after="0" w:line="125"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auto"/>
        </w:rPr>
        <w:t>The Deferred Compensation Plan is available to all of the Company’s U.S. based employees who are at or above job level 7 and whose base compensation is equal to or greater than $160,000 for 2025, including our NEOs. Participants may defer up to 75% of their base salary and 85% of the awards they are paid under the Company’s non-equity incentive plans. Participant account balances are credited with earnings based on the participant’s selection from the list of measurement funds offered in the plan, including a fixed rate option. The allocation of investments may be changed as often as daily, with the exception of the Hasbro Stock Fund and the fixed rate option. Selection of the Hasbro Stock Fund is made once per year and becomes effective the following January, while the selection of the fixed rate option fund is made twice per year and becomes effective the following month.</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Rates of return earned (lost) by our NEOs are the same as the rates of return earned (lost) by other participants selecting the same investment choices.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such, the Company does not consider these rates of return to be “above-market” within the meaning of the rules of the SEC.</w:t>
      </w:r>
    </w:p>
    <w:p>
      <w:pPr>
        <w:spacing w:after="0" w:line="134" w:lineRule="exact"/>
        <w:rPr>
          <w:sz w:val="20"/>
          <w:szCs w:val="20"/>
          <w:color w:val="auto"/>
        </w:rPr>
      </w:pPr>
    </w:p>
    <w:p>
      <w:pPr>
        <w:ind w:left="160" w:right="120"/>
        <w:spacing w:after="0" w:line="262" w:lineRule="auto"/>
        <w:rPr>
          <w:sz w:val="20"/>
          <w:szCs w:val="20"/>
          <w:color w:val="auto"/>
        </w:rPr>
      </w:pPr>
      <w:r>
        <w:rPr>
          <w:rFonts w:ascii="Arial" w:cs="Arial" w:eastAsia="Arial" w:hAnsi="Arial"/>
          <w:sz w:val="16"/>
          <w:szCs w:val="16"/>
          <w:color w:val="auto"/>
        </w:rPr>
        <w:t>Generally, account balances under the plan may be paid as a lump sum or in installments over a five, ten or fifteen-year period following the termination of employment, except amounts designated as short-term payouts which are payable at a pre-selected date in the future. Account balances may be distributed prior to retirement in the event of a financial hardship, but not in excess of the amount needed to meet the hardship.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212090</wp:posOffset>
            </wp:positionV>
            <wp:extent cx="6929755" cy="33972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6929755" cy="339725"/>
                    </a:xfrm>
                    <a:prstGeom prst="rect">
                      <a:avLst/>
                    </a:prstGeom>
                    <a:noFill/>
                  </pic:spPr>
                </pic:pic>
              </a:graphicData>
            </a:graphic>
          </wp:anchor>
        </w:drawing>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Potential Payments Upon Termination or Change in Control</w:t>
      </w:r>
    </w:p>
    <w:p>
      <w:pPr>
        <w:spacing w:after="0" w:line="281"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color w:val="auto"/>
        </w:rPr>
        <w:t>The following table provides information as to the value of incremental payments and other benefits that would have been received by our NEOs upon a termination of their employment with the Company due to various types of situations, including upon a change in control of the Company, assuming such termination and change in control had taken place on December 26, 2025 (the last trading day of the Company’s 2025 fiscal year), and based on any agreements with our NEOs in place as of December 28, 2025. The benefits reflect the closing price of the Company’s Common Stock of $82.56 on December 26, 2025, where appropriate. Following these tables is a narrative description of the plans and agreements pursuant to which these payments and benefits are payable.</w:t>
      </w:r>
    </w:p>
    <w:p>
      <w:pPr>
        <w:spacing w:after="0" w:line="116"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color w:val="auto"/>
        </w:rPr>
        <w:t>In addition to the benefits detailed in the following tables, our NEOs are eligible to receive vested benefits under the Company’s pension plans and deferred compensation plans, to the extent applicable, which are quantified in the preceding tables in this Proxy Statement. In addition, Messrs. Cocks, Kilpin and Sibley are eligible to receive benefits under stock options held by such executive officers which are vested and exercisable as of the date of their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6964045" cy="39052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  48</w:t>
      </w:r>
    </w:p>
    <w:p>
      <w:pPr>
        <w:sectPr>
          <w:pgSz w:w="11900" w:h="16838" w:orient="portrait"/>
          <w:cols w:equalWidth="0" w:num="1">
            <w:col w:w="11020"/>
          </w:cols>
          <w:pgMar w:left="320" w:top="478" w:right="5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right="420"/>
        <w:spacing w:after="0" w:line="279" w:lineRule="auto"/>
        <w:rPr>
          <w:sz w:val="20"/>
          <w:szCs w:val="20"/>
          <w:color w:val="auto"/>
        </w:rPr>
      </w:pPr>
      <w:r>
        <w:rPr>
          <w:rFonts w:ascii="Arial" w:cs="Arial" w:eastAsia="Arial" w:hAnsi="Arial"/>
          <w:sz w:val="16"/>
          <w:szCs w:val="16"/>
          <w:color w:val="auto"/>
        </w:rPr>
        <w:t>Our NEOs would not receive any incremental payments or other benefits if they voluntarily resigned from the Company (except resignation for Good Reason, where noted) or were involuntarily terminated by the Company for cause.</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3400" w:type="dxa"/>
            <w:vAlign w:val="bottom"/>
            <w:tcBorders>
              <w:bottom w:val="single" w:sz="8" w:color="CCEBF8"/>
            </w:tcBorders>
            <w:shd w:val="clear" w:color="auto" w:fill="CCEBF8"/>
          </w:tcPr>
          <w:p>
            <w:pPr>
              <w:spacing w:after="0"/>
              <w:rPr>
                <w:sz w:val="18"/>
                <w:szCs w:val="18"/>
                <w:color w:val="auto"/>
              </w:rPr>
            </w:pPr>
          </w:p>
        </w:tc>
        <w:tc>
          <w:tcPr>
            <w:tcW w:w="460" w:type="dxa"/>
            <w:vAlign w:val="bottom"/>
            <w:tcBorders>
              <w:bottom w:val="single" w:sz="8" w:color="CCEBF8"/>
            </w:tcBorders>
            <w:shd w:val="clear" w:color="auto" w:fill="CCEBF8"/>
          </w:tcPr>
          <w:p>
            <w:pPr>
              <w:spacing w:after="0"/>
              <w:rPr>
                <w:sz w:val="18"/>
                <w:szCs w:val="18"/>
                <w:color w:val="auto"/>
              </w:rPr>
            </w:pPr>
          </w:p>
        </w:tc>
        <w:tc>
          <w:tcPr>
            <w:tcW w:w="100" w:type="dxa"/>
            <w:vAlign w:val="bottom"/>
            <w:tcBorders>
              <w:bottom w:val="single" w:sz="8" w:color="009BDE"/>
            </w:tcBorders>
            <w:shd w:val="clear" w:color="auto" w:fill="CCEBF8"/>
          </w:tcPr>
          <w:p>
            <w:pPr>
              <w:spacing w:after="0"/>
              <w:rPr>
                <w:sz w:val="18"/>
                <w:szCs w:val="18"/>
                <w:color w:val="auto"/>
              </w:rPr>
            </w:pPr>
          </w:p>
        </w:tc>
        <w:tc>
          <w:tcPr>
            <w:tcW w:w="1020" w:type="dxa"/>
            <w:vAlign w:val="bottom"/>
            <w:tcBorders>
              <w:bottom w:val="single" w:sz="8" w:color="009BDE"/>
            </w:tcBorders>
            <w:shd w:val="clear" w:color="auto" w:fill="CCEBF8"/>
          </w:tcPr>
          <w:p>
            <w:pPr>
              <w:spacing w:after="0"/>
              <w:rPr>
                <w:sz w:val="18"/>
                <w:szCs w:val="18"/>
                <w:color w:val="auto"/>
              </w:rPr>
            </w:pPr>
          </w:p>
        </w:tc>
        <w:tc>
          <w:tcPr>
            <w:tcW w:w="1800" w:type="dxa"/>
            <w:vAlign w:val="bottom"/>
            <w:tcBorders>
              <w:bottom w:val="single" w:sz="8" w:color="009BDE"/>
            </w:tcBorders>
            <w:gridSpan w:val="2"/>
            <w:shd w:val="clear" w:color="auto" w:fill="CCEBF8"/>
          </w:tcPr>
          <w:p>
            <w:pPr>
              <w:jc w:val="right"/>
              <w:ind w:right="60"/>
              <w:spacing w:after="0"/>
              <w:rPr>
                <w:sz w:val="20"/>
                <w:szCs w:val="20"/>
                <w:color w:val="auto"/>
              </w:rPr>
            </w:pPr>
            <w:r>
              <w:rPr>
                <w:rFonts w:ascii="Arial" w:cs="Arial" w:eastAsia="Arial" w:hAnsi="Arial"/>
                <w:sz w:val="16"/>
                <w:szCs w:val="16"/>
                <w:b w:val="1"/>
                <w:bCs w:val="1"/>
                <w:color w:val="009BDE"/>
                <w:w w:val="99"/>
              </w:rPr>
              <w:t>No Change in Control</w:t>
            </w:r>
          </w:p>
        </w:tc>
        <w:tc>
          <w:tcPr>
            <w:tcW w:w="520" w:type="dxa"/>
            <w:vAlign w:val="bottom"/>
            <w:tcBorders>
              <w:bottom w:val="single" w:sz="8" w:color="009BDE"/>
            </w:tcBorders>
            <w:shd w:val="clear" w:color="auto" w:fill="CCEBF8"/>
          </w:tcPr>
          <w:p>
            <w:pPr>
              <w:spacing w:after="0"/>
              <w:rPr>
                <w:sz w:val="18"/>
                <w:szCs w:val="18"/>
                <w:color w:val="auto"/>
              </w:rPr>
            </w:pPr>
          </w:p>
        </w:tc>
        <w:tc>
          <w:tcPr>
            <w:tcW w:w="520" w:type="dxa"/>
            <w:vAlign w:val="bottom"/>
            <w:tcBorders>
              <w:bottom w:val="single" w:sz="8" w:color="009BDE"/>
            </w:tcBorders>
            <w:shd w:val="clear" w:color="auto" w:fill="CCEBF8"/>
          </w:tcPr>
          <w:p>
            <w:pPr>
              <w:spacing w:after="0"/>
              <w:rPr>
                <w:sz w:val="18"/>
                <w:szCs w:val="18"/>
                <w:color w:val="auto"/>
              </w:rPr>
            </w:pPr>
          </w:p>
        </w:tc>
        <w:tc>
          <w:tcPr>
            <w:tcW w:w="460" w:type="dxa"/>
            <w:vAlign w:val="bottom"/>
            <w:tcBorders>
              <w:bottom w:val="single" w:sz="8" w:color="CCEBF8"/>
            </w:tcBorders>
            <w:shd w:val="clear" w:color="auto" w:fill="CCEBF8"/>
          </w:tcPr>
          <w:p>
            <w:pPr>
              <w:spacing w:after="0"/>
              <w:rPr>
                <w:sz w:val="18"/>
                <w:szCs w:val="18"/>
                <w:color w:val="auto"/>
              </w:rPr>
            </w:pPr>
          </w:p>
        </w:tc>
        <w:tc>
          <w:tcPr>
            <w:tcW w:w="220" w:type="dxa"/>
            <w:vAlign w:val="bottom"/>
            <w:tcBorders>
              <w:bottom w:val="single" w:sz="8" w:color="009BDE"/>
            </w:tcBorders>
            <w:shd w:val="clear" w:color="auto" w:fill="CCEBF8"/>
          </w:tcPr>
          <w:p>
            <w:pPr>
              <w:spacing w:after="0"/>
              <w:rPr>
                <w:sz w:val="18"/>
                <w:szCs w:val="18"/>
                <w:color w:val="auto"/>
              </w:rPr>
            </w:pPr>
          </w:p>
        </w:tc>
        <w:tc>
          <w:tcPr>
            <w:tcW w:w="2420" w:type="dxa"/>
            <w:vAlign w:val="bottom"/>
            <w:tcBorders>
              <w:bottom w:val="single" w:sz="8" w:color="009BDE"/>
            </w:tcBorders>
            <w:gridSpan w:val="3"/>
            <w:shd w:val="clear" w:color="auto" w:fill="CCEBF8"/>
          </w:tcPr>
          <w:p>
            <w:pPr>
              <w:ind w:left="380"/>
              <w:spacing w:after="0"/>
              <w:rPr>
                <w:sz w:val="20"/>
                <w:szCs w:val="20"/>
                <w:color w:val="auto"/>
              </w:rPr>
            </w:pPr>
            <w:r>
              <w:rPr>
                <w:rFonts w:ascii="Arial" w:cs="Arial" w:eastAsia="Arial" w:hAnsi="Arial"/>
                <w:sz w:val="16"/>
                <w:szCs w:val="16"/>
                <w:b w:val="1"/>
                <w:bCs w:val="1"/>
                <w:color w:val="009BDE"/>
              </w:rPr>
              <w:t>Change in Control</w:t>
            </w:r>
          </w:p>
        </w:tc>
      </w:tr>
      <w:tr>
        <w:trPr>
          <w:trHeight w:val="180"/>
        </w:trPr>
        <w:tc>
          <w:tcPr>
            <w:tcW w:w="3400" w:type="dxa"/>
            <w:vAlign w:val="bottom"/>
            <w:shd w:val="clear" w:color="auto" w:fill="CCEBF8"/>
          </w:tcPr>
          <w:p>
            <w:pPr>
              <w:spacing w:after="0"/>
              <w:rPr>
                <w:sz w:val="15"/>
                <w:szCs w:val="15"/>
                <w:color w:val="auto"/>
              </w:rPr>
            </w:pPr>
          </w:p>
        </w:tc>
        <w:tc>
          <w:tcPr>
            <w:tcW w:w="460" w:type="dxa"/>
            <w:vAlign w:val="bottom"/>
            <w:shd w:val="clear" w:color="auto" w:fill="CCEBF8"/>
          </w:tcPr>
          <w:p>
            <w:pPr>
              <w:spacing w:after="0"/>
              <w:rPr>
                <w:sz w:val="15"/>
                <w:szCs w:val="15"/>
                <w:color w:val="auto"/>
              </w:rPr>
            </w:pPr>
          </w:p>
        </w:tc>
        <w:tc>
          <w:tcPr>
            <w:tcW w:w="100" w:type="dxa"/>
            <w:vAlign w:val="bottom"/>
            <w:shd w:val="clear" w:color="auto" w:fill="CCEBF8"/>
          </w:tcPr>
          <w:p>
            <w:pPr>
              <w:spacing w:after="0"/>
              <w:rPr>
                <w:sz w:val="15"/>
                <w:szCs w:val="15"/>
                <w:color w:val="auto"/>
              </w:rPr>
            </w:pPr>
          </w:p>
        </w:tc>
        <w:tc>
          <w:tcPr>
            <w:tcW w:w="1020" w:type="dxa"/>
            <w:vAlign w:val="bottom"/>
            <w:shd w:val="clear" w:color="auto" w:fill="CCEBF8"/>
          </w:tcPr>
          <w:p>
            <w:pPr>
              <w:spacing w:after="0"/>
              <w:rPr>
                <w:sz w:val="15"/>
                <w:szCs w:val="15"/>
                <w:color w:val="auto"/>
              </w:rPr>
            </w:pPr>
          </w:p>
        </w:tc>
        <w:tc>
          <w:tcPr>
            <w:tcW w:w="600" w:type="dxa"/>
            <w:vAlign w:val="bottom"/>
            <w:shd w:val="clear" w:color="auto" w:fill="CCEBF8"/>
          </w:tcPr>
          <w:p>
            <w:pPr>
              <w:spacing w:after="0"/>
              <w:rPr>
                <w:sz w:val="15"/>
                <w:szCs w:val="15"/>
                <w:color w:val="auto"/>
              </w:rPr>
            </w:pPr>
          </w:p>
        </w:tc>
        <w:tc>
          <w:tcPr>
            <w:tcW w:w="1200" w:type="dxa"/>
            <w:vAlign w:val="bottom"/>
            <w:shd w:val="clear" w:color="auto" w:fill="CCEBF8"/>
          </w:tcPr>
          <w:p>
            <w:pPr>
              <w:spacing w:after="0"/>
              <w:rPr>
                <w:sz w:val="15"/>
                <w:szCs w:val="15"/>
                <w:color w:val="auto"/>
              </w:rPr>
            </w:pPr>
          </w:p>
        </w:tc>
        <w:tc>
          <w:tcPr>
            <w:tcW w:w="520" w:type="dxa"/>
            <w:vAlign w:val="bottom"/>
            <w:shd w:val="clear" w:color="auto" w:fill="CCEBF8"/>
          </w:tcPr>
          <w:p>
            <w:pPr>
              <w:spacing w:after="0"/>
              <w:rPr>
                <w:sz w:val="15"/>
                <w:szCs w:val="15"/>
                <w:color w:val="auto"/>
              </w:rPr>
            </w:pPr>
          </w:p>
        </w:tc>
        <w:tc>
          <w:tcPr>
            <w:tcW w:w="520" w:type="dxa"/>
            <w:vAlign w:val="bottom"/>
            <w:shd w:val="clear" w:color="auto" w:fill="CCEBF8"/>
          </w:tcPr>
          <w:p>
            <w:pPr>
              <w:spacing w:after="0"/>
              <w:rPr>
                <w:sz w:val="15"/>
                <w:szCs w:val="15"/>
                <w:color w:val="auto"/>
              </w:rPr>
            </w:pPr>
          </w:p>
        </w:tc>
        <w:tc>
          <w:tcPr>
            <w:tcW w:w="460" w:type="dxa"/>
            <w:vAlign w:val="bottom"/>
            <w:shd w:val="clear" w:color="auto" w:fill="CCEBF8"/>
          </w:tcPr>
          <w:p>
            <w:pPr>
              <w:spacing w:after="0"/>
              <w:rPr>
                <w:sz w:val="15"/>
                <w:szCs w:val="15"/>
                <w:color w:val="auto"/>
              </w:rPr>
            </w:pPr>
          </w:p>
        </w:tc>
        <w:tc>
          <w:tcPr>
            <w:tcW w:w="220" w:type="dxa"/>
            <w:vAlign w:val="bottom"/>
            <w:shd w:val="clear" w:color="auto" w:fill="CCEBF8"/>
          </w:tcPr>
          <w:p>
            <w:pPr>
              <w:spacing w:after="0"/>
              <w:rPr>
                <w:sz w:val="15"/>
                <w:szCs w:val="15"/>
                <w:color w:val="auto"/>
              </w:rPr>
            </w:pPr>
          </w:p>
        </w:tc>
        <w:tc>
          <w:tcPr>
            <w:tcW w:w="960" w:type="dxa"/>
            <w:vAlign w:val="bottom"/>
            <w:shd w:val="clear" w:color="auto" w:fill="CCEBF8"/>
          </w:tcPr>
          <w:p>
            <w:pPr>
              <w:spacing w:after="0"/>
              <w:rPr>
                <w:sz w:val="15"/>
                <w:szCs w:val="15"/>
                <w:color w:val="auto"/>
              </w:rPr>
            </w:pPr>
          </w:p>
        </w:tc>
        <w:tc>
          <w:tcPr>
            <w:tcW w:w="360" w:type="dxa"/>
            <w:vAlign w:val="bottom"/>
            <w:shd w:val="clear" w:color="auto" w:fill="CCEBF8"/>
          </w:tcPr>
          <w:p>
            <w:pPr>
              <w:spacing w:after="0"/>
              <w:rPr>
                <w:sz w:val="15"/>
                <w:szCs w:val="15"/>
                <w:color w:val="auto"/>
              </w:rPr>
            </w:pPr>
          </w:p>
        </w:tc>
        <w:tc>
          <w:tcPr>
            <w:tcW w:w="1100" w:type="dxa"/>
            <w:vAlign w:val="bottom"/>
            <w:shd w:val="clear" w:color="auto" w:fill="CCEBF8"/>
          </w:tcPr>
          <w:p>
            <w:pPr>
              <w:jc w:val="center"/>
              <w:ind w:right="60"/>
              <w:spacing w:after="0" w:line="180" w:lineRule="exact"/>
              <w:rPr>
                <w:sz w:val="20"/>
                <w:szCs w:val="20"/>
                <w:color w:val="auto"/>
              </w:rPr>
            </w:pPr>
            <w:r>
              <w:rPr>
                <w:rFonts w:ascii="Arial" w:cs="Arial" w:eastAsia="Arial" w:hAnsi="Arial"/>
                <w:sz w:val="16"/>
                <w:szCs w:val="16"/>
                <w:b w:val="1"/>
                <w:bCs w:val="1"/>
                <w:color w:val="009BDE"/>
              </w:rPr>
              <w:t>Involuntary</w:t>
            </w:r>
          </w:p>
        </w:tc>
      </w:tr>
      <w:tr>
        <w:trPr>
          <w:trHeight w:val="187"/>
        </w:trPr>
        <w:tc>
          <w:tcPr>
            <w:tcW w:w="3400" w:type="dxa"/>
            <w:vAlign w:val="bottom"/>
            <w:shd w:val="clear" w:color="auto" w:fill="CCEBF8"/>
          </w:tcPr>
          <w:p>
            <w:pPr>
              <w:spacing w:after="0"/>
              <w:rPr>
                <w:sz w:val="16"/>
                <w:szCs w:val="16"/>
                <w:color w:val="auto"/>
              </w:rPr>
            </w:pPr>
          </w:p>
        </w:tc>
        <w:tc>
          <w:tcPr>
            <w:tcW w:w="460" w:type="dxa"/>
            <w:vAlign w:val="bottom"/>
            <w:shd w:val="clear" w:color="auto" w:fill="CCEBF8"/>
          </w:tcPr>
          <w:p>
            <w:pPr>
              <w:spacing w:after="0"/>
              <w:rPr>
                <w:sz w:val="16"/>
                <w:szCs w:val="16"/>
                <w:color w:val="auto"/>
              </w:rPr>
            </w:pPr>
          </w:p>
        </w:tc>
        <w:tc>
          <w:tcPr>
            <w:tcW w:w="100" w:type="dxa"/>
            <w:vAlign w:val="bottom"/>
            <w:shd w:val="clear" w:color="auto" w:fill="CCEBF8"/>
          </w:tcPr>
          <w:p>
            <w:pPr>
              <w:spacing w:after="0"/>
              <w:rPr>
                <w:sz w:val="16"/>
                <w:szCs w:val="16"/>
                <w:color w:val="auto"/>
              </w:rPr>
            </w:pPr>
          </w:p>
        </w:tc>
        <w:tc>
          <w:tcPr>
            <w:tcW w:w="1020" w:type="dxa"/>
            <w:vAlign w:val="bottom"/>
            <w:shd w:val="clear" w:color="auto" w:fill="CCEBF8"/>
          </w:tcPr>
          <w:p>
            <w:pPr>
              <w:spacing w:after="0"/>
              <w:rPr>
                <w:sz w:val="16"/>
                <w:szCs w:val="16"/>
                <w:color w:val="auto"/>
              </w:rPr>
            </w:pPr>
          </w:p>
        </w:tc>
        <w:tc>
          <w:tcPr>
            <w:tcW w:w="600" w:type="dxa"/>
            <w:vAlign w:val="bottom"/>
            <w:shd w:val="clear" w:color="auto" w:fill="CCEBF8"/>
          </w:tcPr>
          <w:p>
            <w:pPr>
              <w:spacing w:after="0"/>
              <w:rPr>
                <w:sz w:val="16"/>
                <w:szCs w:val="16"/>
                <w:color w:val="auto"/>
              </w:rPr>
            </w:pPr>
          </w:p>
        </w:tc>
        <w:tc>
          <w:tcPr>
            <w:tcW w:w="1200" w:type="dxa"/>
            <w:vAlign w:val="bottom"/>
            <w:shd w:val="clear" w:color="auto" w:fill="CCEBF8"/>
          </w:tcPr>
          <w:p>
            <w:pPr>
              <w:spacing w:after="0"/>
              <w:rPr>
                <w:sz w:val="16"/>
                <w:szCs w:val="16"/>
                <w:color w:val="auto"/>
              </w:rPr>
            </w:pPr>
          </w:p>
        </w:tc>
        <w:tc>
          <w:tcPr>
            <w:tcW w:w="520" w:type="dxa"/>
            <w:vAlign w:val="bottom"/>
            <w:shd w:val="clear" w:color="auto" w:fill="CCEBF8"/>
          </w:tcPr>
          <w:p>
            <w:pPr>
              <w:spacing w:after="0"/>
              <w:rPr>
                <w:sz w:val="16"/>
                <w:szCs w:val="16"/>
                <w:color w:val="auto"/>
              </w:rPr>
            </w:pPr>
          </w:p>
        </w:tc>
        <w:tc>
          <w:tcPr>
            <w:tcW w:w="520" w:type="dxa"/>
            <w:vAlign w:val="bottom"/>
            <w:shd w:val="clear" w:color="auto" w:fill="CCEBF8"/>
          </w:tcPr>
          <w:p>
            <w:pPr>
              <w:spacing w:after="0"/>
              <w:rPr>
                <w:sz w:val="16"/>
                <w:szCs w:val="16"/>
                <w:color w:val="auto"/>
              </w:rPr>
            </w:pPr>
          </w:p>
        </w:tc>
        <w:tc>
          <w:tcPr>
            <w:tcW w:w="460" w:type="dxa"/>
            <w:vAlign w:val="bottom"/>
            <w:shd w:val="clear" w:color="auto" w:fill="CCEBF8"/>
          </w:tcPr>
          <w:p>
            <w:pPr>
              <w:spacing w:after="0"/>
              <w:rPr>
                <w:sz w:val="16"/>
                <w:szCs w:val="16"/>
                <w:color w:val="auto"/>
              </w:rPr>
            </w:pPr>
          </w:p>
        </w:tc>
        <w:tc>
          <w:tcPr>
            <w:tcW w:w="220" w:type="dxa"/>
            <w:vAlign w:val="bottom"/>
            <w:shd w:val="clear" w:color="auto" w:fill="CCEBF8"/>
          </w:tcPr>
          <w:p>
            <w:pPr>
              <w:spacing w:after="0"/>
              <w:rPr>
                <w:sz w:val="16"/>
                <w:szCs w:val="16"/>
                <w:color w:val="auto"/>
              </w:rPr>
            </w:pPr>
          </w:p>
        </w:tc>
        <w:tc>
          <w:tcPr>
            <w:tcW w:w="960" w:type="dxa"/>
            <w:vAlign w:val="bottom"/>
            <w:shd w:val="clear" w:color="auto" w:fill="CCEBF8"/>
          </w:tcPr>
          <w:p>
            <w:pPr>
              <w:spacing w:after="0"/>
              <w:rPr>
                <w:sz w:val="16"/>
                <w:szCs w:val="16"/>
                <w:color w:val="auto"/>
              </w:rPr>
            </w:pPr>
          </w:p>
        </w:tc>
        <w:tc>
          <w:tcPr>
            <w:tcW w:w="1460" w:type="dxa"/>
            <w:vAlign w:val="bottom"/>
            <w:gridSpan w:val="2"/>
            <w:shd w:val="clear" w:color="auto" w:fill="CCEBF8"/>
          </w:tcPr>
          <w:p>
            <w:pPr>
              <w:ind w:left="280"/>
              <w:spacing w:after="0"/>
              <w:rPr>
                <w:sz w:val="20"/>
                <w:szCs w:val="20"/>
                <w:color w:val="auto"/>
              </w:rPr>
            </w:pPr>
            <w:r>
              <w:rPr>
                <w:rFonts w:ascii="Arial" w:cs="Arial" w:eastAsia="Arial" w:hAnsi="Arial"/>
                <w:sz w:val="16"/>
                <w:szCs w:val="16"/>
                <w:b w:val="1"/>
                <w:bCs w:val="1"/>
                <w:color w:val="009BDE"/>
              </w:rPr>
              <w:t>Termination in</w:t>
            </w:r>
          </w:p>
        </w:tc>
      </w:tr>
      <w:tr>
        <w:trPr>
          <w:trHeight w:val="187"/>
        </w:trPr>
        <w:tc>
          <w:tcPr>
            <w:tcW w:w="3400" w:type="dxa"/>
            <w:vAlign w:val="bottom"/>
            <w:shd w:val="clear" w:color="auto" w:fill="CCEBF8"/>
          </w:tcPr>
          <w:p>
            <w:pPr>
              <w:spacing w:after="0"/>
              <w:rPr>
                <w:sz w:val="16"/>
                <w:szCs w:val="16"/>
                <w:color w:val="auto"/>
              </w:rPr>
            </w:pPr>
          </w:p>
        </w:tc>
        <w:tc>
          <w:tcPr>
            <w:tcW w:w="460" w:type="dxa"/>
            <w:vAlign w:val="bottom"/>
            <w:shd w:val="clear" w:color="auto" w:fill="CCEBF8"/>
          </w:tcPr>
          <w:p>
            <w:pPr>
              <w:spacing w:after="0"/>
              <w:rPr>
                <w:sz w:val="16"/>
                <w:szCs w:val="16"/>
                <w:color w:val="auto"/>
              </w:rPr>
            </w:pPr>
          </w:p>
        </w:tc>
        <w:tc>
          <w:tcPr>
            <w:tcW w:w="100" w:type="dxa"/>
            <w:vAlign w:val="bottom"/>
            <w:shd w:val="clear" w:color="auto" w:fill="CCEBF8"/>
          </w:tcPr>
          <w:p>
            <w:pPr>
              <w:spacing w:after="0"/>
              <w:rPr>
                <w:sz w:val="16"/>
                <w:szCs w:val="16"/>
                <w:color w:val="auto"/>
              </w:rPr>
            </w:pPr>
          </w:p>
        </w:tc>
        <w:tc>
          <w:tcPr>
            <w:tcW w:w="1020" w:type="dxa"/>
            <w:vAlign w:val="bottom"/>
            <w:shd w:val="clear" w:color="auto" w:fill="CCEBF8"/>
          </w:tcPr>
          <w:p>
            <w:pPr>
              <w:spacing w:after="0"/>
              <w:rPr>
                <w:sz w:val="16"/>
                <w:szCs w:val="16"/>
                <w:color w:val="auto"/>
              </w:rPr>
            </w:pPr>
          </w:p>
        </w:tc>
        <w:tc>
          <w:tcPr>
            <w:tcW w:w="600" w:type="dxa"/>
            <w:vAlign w:val="bottom"/>
            <w:shd w:val="clear" w:color="auto" w:fill="CCEBF8"/>
          </w:tcPr>
          <w:p>
            <w:pPr>
              <w:spacing w:after="0"/>
              <w:rPr>
                <w:sz w:val="16"/>
                <w:szCs w:val="16"/>
                <w:color w:val="auto"/>
              </w:rPr>
            </w:pPr>
          </w:p>
        </w:tc>
        <w:tc>
          <w:tcPr>
            <w:tcW w:w="1200" w:type="dxa"/>
            <w:vAlign w:val="bottom"/>
            <w:shd w:val="clear" w:color="auto" w:fill="CCEBF8"/>
          </w:tcPr>
          <w:p>
            <w:pPr>
              <w:spacing w:after="0"/>
              <w:rPr>
                <w:sz w:val="16"/>
                <w:szCs w:val="16"/>
                <w:color w:val="auto"/>
              </w:rPr>
            </w:pPr>
          </w:p>
        </w:tc>
        <w:tc>
          <w:tcPr>
            <w:tcW w:w="520" w:type="dxa"/>
            <w:vAlign w:val="bottom"/>
            <w:shd w:val="clear" w:color="auto" w:fill="CCEBF8"/>
          </w:tcPr>
          <w:p>
            <w:pPr>
              <w:spacing w:after="0"/>
              <w:rPr>
                <w:sz w:val="16"/>
                <w:szCs w:val="16"/>
                <w:color w:val="auto"/>
              </w:rPr>
            </w:pPr>
          </w:p>
        </w:tc>
        <w:tc>
          <w:tcPr>
            <w:tcW w:w="520" w:type="dxa"/>
            <w:vAlign w:val="bottom"/>
            <w:shd w:val="clear" w:color="auto" w:fill="CCEBF8"/>
          </w:tcPr>
          <w:p>
            <w:pPr>
              <w:spacing w:after="0"/>
              <w:rPr>
                <w:sz w:val="16"/>
                <w:szCs w:val="16"/>
                <w:color w:val="auto"/>
              </w:rPr>
            </w:pPr>
          </w:p>
        </w:tc>
        <w:tc>
          <w:tcPr>
            <w:tcW w:w="460" w:type="dxa"/>
            <w:vAlign w:val="bottom"/>
            <w:shd w:val="clear" w:color="auto" w:fill="CCEBF8"/>
          </w:tcPr>
          <w:p>
            <w:pPr>
              <w:spacing w:after="0"/>
              <w:rPr>
                <w:sz w:val="16"/>
                <w:szCs w:val="16"/>
                <w:color w:val="auto"/>
              </w:rPr>
            </w:pPr>
          </w:p>
        </w:tc>
        <w:tc>
          <w:tcPr>
            <w:tcW w:w="220" w:type="dxa"/>
            <w:vAlign w:val="bottom"/>
            <w:shd w:val="clear" w:color="auto" w:fill="CCEBF8"/>
          </w:tcPr>
          <w:p>
            <w:pPr>
              <w:spacing w:after="0"/>
              <w:rPr>
                <w:sz w:val="16"/>
                <w:szCs w:val="16"/>
                <w:color w:val="auto"/>
              </w:rPr>
            </w:pPr>
          </w:p>
        </w:tc>
        <w:tc>
          <w:tcPr>
            <w:tcW w:w="960" w:type="dxa"/>
            <w:vAlign w:val="bottom"/>
            <w:shd w:val="clear" w:color="auto" w:fill="CCEBF8"/>
          </w:tcPr>
          <w:p>
            <w:pPr>
              <w:spacing w:after="0"/>
              <w:rPr>
                <w:sz w:val="16"/>
                <w:szCs w:val="16"/>
                <w:color w:val="auto"/>
              </w:rPr>
            </w:pPr>
          </w:p>
        </w:tc>
        <w:tc>
          <w:tcPr>
            <w:tcW w:w="360" w:type="dxa"/>
            <w:vAlign w:val="bottom"/>
            <w:shd w:val="clear" w:color="auto" w:fill="CCEBF8"/>
          </w:tcPr>
          <w:p>
            <w:pPr>
              <w:spacing w:after="0"/>
              <w:rPr>
                <w:sz w:val="16"/>
                <w:szCs w:val="16"/>
                <w:color w:val="auto"/>
              </w:rPr>
            </w:pPr>
          </w:p>
        </w:tc>
        <w:tc>
          <w:tcPr>
            <w:tcW w:w="1100" w:type="dxa"/>
            <w:vAlign w:val="bottom"/>
            <w:shd w:val="clear" w:color="auto" w:fill="CCEBF8"/>
          </w:tcPr>
          <w:p>
            <w:pPr>
              <w:jc w:val="center"/>
              <w:ind w:right="60"/>
              <w:spacing w:after="0"/>
              <w:rPr>
                <w:sz w:val="20"/>
                <w:szCs w:val="20"/>
                <w:color w:val="auto"/>
              </w:rPr>
            </w:pPr>
            <w:r>
              <w:rPr>
                <w:rFonts w:ascii="Arial" w:cs="Arial" w:eastAsia="Arial" w:hAnsi="Arial"/>
                <w:sz w:val="16"/>
                <w:szCs w:val="16"/>
                <w:b w:val="1"/>
                <w:bCs w:val="1"/>
                <w:color w:val="009BDE"/>
                <w:w w:val="98"/>
              </w:rPr>
              <w:t>connection</w:t>
            </w:r>
          </w:p>
        </w:tc>
      </w:tr>
      <w:tr>
        <w:trPr>
          <w:trHeight w:val="187"/>
        </w:trPr>
        <w:tc>
          <w:tcPr>
            <w:tcW w:w="3400" w:type="dxa"/>
            <w:vAlign w:val="bottom"/>
            <w:shd w:val="clear" w:color="auto" w:fill="CCEBF8"/>
          </w:tcPr>
          <w:p>
            <w:pPr>
              <w:spacing w:after="0"/>
              <w:rPr>
                <w:sz w:val="16"/>
                <w:szCs w:val="16"/>
                <w:color w:val="auto"/>
              </w:rPr>
            </w:pPr>
          </w:p>
        </w:tc>
        <w:tc>
          <w:tcPr>
            <w:tcW w:w="460" w:type="dxa"/>
            <w:vAlign w:val="bottom"/>
            <w:shd w:val="clear" w:color="auto" w:fill="CCEBF8"/>
          </w:tcPr>
          <w:p>
            <w:pPr>
              <w:spacing w:after="0"/>
              <w:rPr>
                <w:sz w:val="16"/>
                <w:szCs w:val="16"/>
                <w:color w:val="auto"/>
              </w:rPr>
            </w:pPr>
          </w:p>
        </w:tc>
        <w:tc>
          <w:tcPr>
            <w:tcW w:w="100" w:type="dxa"/>
            <w:vAlign w:val="bottom"/>
            <w:shd w:val="clear" w:color="auto" w:fill="CCEBF8"/>
          </w:tcPr>
          <w:p>
            <w:pPr>
              <w:spacing w:after="0"/>
              <w:rPr>
                <w:sz w:val="16"/>
                <w:szCs w:val="16"/>
                <w:color w:val="auto"/>
              </w:rPr>
            </w:pPr>
          </w:p>
        </w:tc>
        <w:tc>
          <w:tcPr>
            <w:tcW w:w="1020" w:type="dxa"/>
            <w:vAlign w:val="bottom"/>
            <w:shd w:val="clear" w:color="auto" w:fill="CCEBF8"/>
          </w:tcPr>
          <w:p>
            <w:pPr>
              <w:jc w:val="right"/>
              <w:ind w:right="60"/>
              <w:spacing w:after="0"/>
              <w:rPr>
                <w:sz w:val="20"/>
                <w:szCs w:val="20"/>
                <w:color w:val="auto"/>
              </w:rPr>
            </w:pPr>
            <w:r>
              <w:rPr>
                <w:rFonts w:ascii="Arial" w:cs="Arial" w:eastAsia="Arial" w:hAnsi="Arial"/>
                <w:sz w:val="16"/>
                <w:szCs w:val="16"/>
                <w:b w:val="1"/>
                <w:bCs w:val="1"/>
                <w:color w:val="009BDE"/>
                <w:w w:val="99"/>
              </w:rPr>
              <w:t>Involuntary</w:t>
            </w:r>
          </w:p>
        </w:tc>
        <w:tc>
          <w:tcPr>
            <w:tcW w:w="600" w:type="dxa"/>
            <w:vAlign w:val="bottom"/>
            <w:shd w:val="clear" w:color="auto" w:fill="CCEBF8"/>
          </w:tcPr>
          <w:p>
            <w:pPr>
              <w:spacing w:after="0"/>
              <w:rPr>
                <w:sz w:val="16"/>
                <w:szCs w:val="16"/>
                <w:color w:val="auto"/>
              </w:rPr>
            </w:pPr>
          </w:p>
        </w:tc>
        <w:tc>
          <w:tcPr>
            <w:tcW w:w="1200" w:type="dxa"/>
            <w:vAlign w:val="bottom"/>
            <w:shd w:val="clear" w:color="auto" w:fill="CCEBF8"/>
          </w:tcPr>
          <w:p>
            <w:pPr>
              <w:jc w:val="right"/>
              <w:ind w:right="420"/>
              <w:spacing w:after="0"/>
              <w:rPr>
                <w:sz w:val="20"/>
                <w:szCs w:val="20"/>
                <w:color w:val="auto"/>
              </w:rPr>
            </w:pPr>
            <w:r>
              <w:rPr>
                <w:rFonts w:ascii="Arial" w:cs="Arial" w:eastAsia="Arial" w:hAnsi="Arial"/>
                <w:sz w:val="16"/>
                <w:szCs w:val="16"/>
                <w:b w:val="1"/>
                <w:bCs w:val="1"/>
                <w:color w:val="009BDE"/>
              </w:rPr>
              <w:t>Death or</w:t>
            </w:r>
          </w:p>
        </w:tc>
        <w:tc>
          <w:tcPr>
            <w:tcW w:w="520" w:type="dxa"/>
            <w:vAlign w:val="bottom"/>
            <w:shd w:val="clear" w:color="auto" w:fill="CCEBF8"/>
          </w:tcPr>
          <w:p>
            <w:pPr>
              <w:spacing w:after="0"/>
              <w:rPr>
                <w:sz w:val="16"/>
                <w:szCs w:val="16"/>
                <w:color w:val="auto"/>
              </w:rPr>
            </w:pPr>
          </w:p>
        </w:tc>
        <w:tc>
          <w:tcPr>
            <w:tcW w:w="520" w:type="dxa"/>
            <w:vAlign w:val="bottom"/>
            <w:shd w:val="clear" w:color="auto" w:fill="CCEBF8"/>
          </w:tcPr>
          <w:p>
            <w:pPr>
              <w:spacing w:after="0"/>
              <w:rPr>
                <w:sz w:val="16"/>
                <w:szCs w:val="16"/>
                <w:color w:val="auto"/>
              </w:rPr>
            </w:pPr>
          </w:p>
        </w:tc>
        <w:tc>
          <w:tcPr>
            <w:tcW w:w="460" w:type="dxa"/>
            <w:vAlign w:val="bottom"/>
            <w:shd w:val="clear" w:color="auto" w:fill="CCEBF8"/>
          </w:tcPr>
          <w:p>
            <w:pPr>
              <w:spacing w:after="0"/>
              <w:rPr>
                <w:sz w:val="16"/>
                <w:szCs w:val="16"/>
                <w:color w:val="auto"/>
              </w:rPr>
            </w:pPr>
          </w:p>
        </w:tc>
        <w:tc>
          <w:tcPr>
            <w:tcW w:w="220" w:type="dxa"/>
            <w:vAlign w:val="bottom"/>
            <w:shd w:val="clear" w:color="auto" w:fill="CCEBF8"/>
          </w:tcPr>
          <w:p>
            <w:pPr>
              <w:spacing w:after="0"/>
              <w:rPr>
                <w:sz w:val="16"/>
                <w:szCs w:val="16"/>
                <w:color w:val="auto"/>
              </w:rPr>
            </w:pPr>
          </w:p>
        </w:tc>
        <w:tc>
          <w:tcPr>
            <w:tcW w:w="960" w:type="dxa"/>
            <w:vAlign w:val="bottom"/>
            <w:shd w:val="clear" w:color="auto" w:fill="CCEBF8"/>
          </w:tcPr>
          <w:p>
            <w:pPr>
              <w:ind w:left="140"/>
              <w:spacing w:after="0"/>
              <w:rPr>
                <w:sz w:val="20"/>
                <w:szCs w:val="20"/>
                <w:color w:val="auto"/>
              </w:rPr>
            </w:pPr>
            <w:r>
              <w:rPr>
                <w:rFonts w:ascii="Arial" w:cs="Arial" w:eastAsia="Arial" w:hAnsi="Arial"/>
                <w:sz w:val="16"/>
                <w:szCs w:val="16"/>
                <w:b w:val="1"/>
                <w:bCs w:val="1"/>
                <w:color w:val="009BDE"/>
              </w:rPr>
              <w:t>No</w:t>
            </w:r>
          </w:p>
        </w:tc>
        <w:tc>
          <w:tcPr>
            <w:tcW w:w="1460" w:type="dxa"/>
            <w:vAlign w:val="bottom"/>
            <w:gridSpan w:val="2"/>
            <w:shd w:val="clear" w:color="auto" w:fill="CCEBF8"/>
          </w:tcPr>
          <w:p>
            <w:pPr>
              <w:jc w:val="center"/>
              <w:ind w:left="124"/>
              <w:spacing w:after="0"/>
              <w:rPr>
                <w:sz w:val="20"/>
                <w:szCs w:val="20"/>
                <w:color w:val="auto"/>
              </w:rPr>
            </w:pPr>
            <w:r>
              <w:rPr>
                <w:rFonts w:ascii="Arial" w:cs="Arial" w:eastAsia="Arial" w:hAnsi="Arial"/>
                <w:sz w:val="16"/>
                <w:szCs w:val="16"/>
                <w:b w:val="1"/>
                <w:bCs w:val="1"/>
                <w:color w:val="009BDE"/>
              </w:rPr>
              <w:t>with a change</w:t>
            </w:r>
          </w:p>
        </w:tc>
      </w:tr>
      <w:tr>
        <w:trPr>
          <w:trHeight w:val="235"/>
        </w:trPr>
        <w:tc>
          <w:tcPr>
            <w:tcW w:w="3400" w:type="dxa"/>
            <w:vAlign w:val="bottom"/>
            <w:shd w:val="clear" w:color="auto" w:fill="CCEBF8"/>
          </w:tcPr>
          <w:p>
            <w:pPr>
              <w:spacing w:after="0"/>
              <w:rPr>
                <w:sz w:val="20"/>
                <w:szCs w:val="20"/>
                <w:color w:val="auto"/>
              </w:rPr>
            </w:pPr>
            <w:r>
              <w:rPr>
                <w:rFonts w:ascii="Arial" w:cs="Arial" w:eastAsia="Arial" w:hAnsi="Arial"/>
                <w:sz w:val="16"/>
                <w:szCs w:val="16"/>
                <w:b w:val="1"/>
                <w:bCs w:val="1"/>
                <w:color w:val="009BDE"/>
              </w:rPr>
              <w:t>  Name</w:t>
            </w:r>
          </w:p>
        </w:tc>
        <w:tc>
          <w:tcPr>
            <w:tcW w:w="460" w:type="dxa"/>
            <w:vAlign w:val="bottom"/>
            <w:shd w:val="clear" w:color="auto" w:fill="CCEBF8"/>
          </w:tcPr>
          <w:p>
            <w:pPr>
              <w:spacing w:after="0"/>
              <w:rPr>
                <w:sz w:val="20"/>
                <w:szCs w:val="20"/>
                <w:color w:val="auto"/>
              </w:rPr>
            </w:pPr>
          </w:p>
        </w:tc>
        <w:tc>
          <w:tcPr>
            <w:tcW w:w="1120" w:type="dxa"/>
            <w:vAlign w:val="bottom"/>
            <w:gridSpan w:val="2"/>
            <w:shd w:val="clear" w:color="auto" w:fill="CCEBF8"/>
          </w:tcPr>
          <w:p>
            <w:pPr>
              <w:spacing w:after="0"/>
              <w:rPr>
                <w:sz w:val="20"/>
                <w:szCs w:val="20"/>
                <w:color w:val="auto"/>
              </w:rPr>
            </w:pPr>
            <w:r>
              <w:rPr>
                <w:rFonts w:ascii="Arial" w:cs="Arial" w:eastAsia="Arial" w:hAnsi="Arial"/>
                <w:sz w:val="16"/>
                <w:szCs w:val="16"/>
                <w:b w:val="1"/>
                <w:bCs w:val="1"/>
                <w:color w:val="009BDE"/>
                <w:w w:val="98"/>
              </w:rPr>
              <w:t>Termination(a)</w:t>
            </w:r>
          </w:p>
        </w:tc>
        <w:tc>
          <w:tcPr>
            <w:tcW w:w="600" w:type="dxa"/>
            <w:vAlign w:val="bottom"/>
            <w:shd w:val="clear" w:color="auto" w:fill="CCEBF8"/>
          </w:tcPr>
          <w:p>
            <w:pPr>
              <w:spacing w:after="0"/>
              <w:rPr>
                <w:sz w:val="20"/>
                <w:szCs w:val="20"/>
                <w:color w:val="auto"/>
              </w:rPr>
            </w:pPr>
          </w:p>
        </w:tc>
        <w:tc>
          <w:tcPr>
            <w:tcW w:w="1200" w:type="dxa"/>
            <w:vAlign w:val="bottom"/>
            <w:shd w:val="clear" w:color="auto" w:fill="CCEBF8"/>
          </w:tcPr>
          <w:p>
            <w:pPr>
              <w:jc w:val="right"/>
              <w:ind w:right="400"/>
              <w:spacing w:after="0"/>
              <w:rPr>
                <w:sz w:val="20"/>
                <w:szCs w:val="20"/>
                <w:color w:val="auto"/>
              </w:rPr>
            </w:pPr>
            <w:r>
              <w:rPr>
                <w:rFonts w:ascii="Arial" w:cs="Arial" w:eastAsia="Arial" w:hAnsi="Arial"/>
                <w:sz w:val="16"/>
                <w:szCs w:val="16"/>
                <w:b w:val="1"/>
                <w:bCs w:val="1"/>
                <w:color w:val="009BDE"/>
                <w:w w:val="98"/>
              </w:rPr>
              <w:t>Disability</w:t>
            </w:r>
          </w:p>
        </w:tc>
        <w:tc>
          <w:tcPr>
            <w:tcW w:w="1040" w:type="dxa"/>
            <w:vAlign w:val="bottom"/>
            <w:gridSpan w:val="2"/>
            <w:shd w:val="clear" w:color="auto" w:fill="CCEBF8"/>
          </w:tcPr>
          <w:p>
            <w:pPr>
              <w:ind w:left="140"/>
              <w:spacing w:after="0"/>
              <w:rPr>
                <w:sz w:val="20"/>
                <w:szCs w:val="20"/>
                <w:color w:val="auto"/>
              </w:rPr>
            </w:pPr>
            <w:r>
              <w:rPr>
                <w:rFonts w:ascii="Arial" w:cs="Arial" w:eastAsia="Arial" w:hAnsi="Arial"/>
                <w:sz w:val="16"/>
                <w:szCs w:val="16"/>
                <w:b w:val="1"/>
                <w:bCs w:val="1"/>
                <w:color w:val="009BDE"/>
              </w:rPr>
              <w:t>Retirement</w:t>
            </w:r>
          </w:p>
        </w:tc>
        <w:tc>
          <w:tcPr>
            <w:tcW w:w="460" w:type="dxa"/>
            <w:vAlign w:val="bottom"/>
            <w:shd w:val="clear" w:color="auto" w:fill="CCEBF8"/>
          </w:tcPr>
          <w:p>
            <w:pPr>
              <w:spacing w:after="0"/>
              <w:rPr>
                <w:sz w:val="20"/>
                <w:szCs w:val="20"/>
                <w:color w:val="auto"/>
              </w:rPr>
            </w:pPr>
          </w:p>
        </w:tc>
        <w:tc>
          <w:tcPr>
            <w:tcW w:w="1180" w:type="dxa"/>
            <w:vAlign w:val="bottom"/>
            <w:gridSpan w:val="2"/>
            <w:shd w:val="clear" w:color="auto" w:fill="CCEBF8"/>
          </w:tcPr>
          <w:p>
            <w:pPr>
              <w:spacing w:after="0"/>
              <w:rPr>
                <w:sz w:val="20"/>
                <w:szCs w:val="20"/>
                <w:color w:val="auto"/>
              </w:rPr>
            </w:pPr>
            <w:r>
              <w:rPr>
                <w:rFonts w:ascii="Arial" w:cs="Arial" w:eastAsia="Arial" w:hAnsi="Arial"/>
                <w:sz w:val="16"/>
                <w:szCs w:val="16"/>
                <w:b w:val="1"/>
                <w:bCs w:val="1"/>
                <w:color w:val="009BDE"/>
              </w:rPr>
              <w:t>Termination</w:t>
            </w:r>
          </w:p>
        </w:tc>
        <w:tc>
          <w:tcPr>
            <w:tcW w:w="360" w:type="dxa"/>
            <w:vAlign w:val="bottom"/>
            <w:shd w:val="clear" w:color="auto" w:fill="CCEBF8"/>
          </w:tcPr>
          <w:p>
            <w:pPr>
              <w:spacing w:after="0"/>
              <w:rPr>
                <w:sz w:val="20"/>
                <w:szCs w:val="20"/>
                <w:color w:val="auto"/>
              </w:rPr>
            </w:pPr>
          </w:p>
        </w:tc>
        <w:tc>
          <w:tcPr>
            <w:tcW w:w="1100" w:type="dxa"/>
            <w:vAlign w:val="bottom"/>
            <w:shd w:val="clear" w:color="auto" w:fill="CCEBF8"/>
          </w:tcPr>
          <w:p>
            <w:pPr>
              <w:jc w:val="center"/>
              <w:ind w:right="60"/>
              <w:spacing w:after="0"/>
              <w:rPr>
                <w:sz w:val="20"/>
                <w:szCs w:val="20"/>
                <w:color w:val="auto"/>
              </w:rPr>
            </w:pPr>
            <w:r>
              <w:rPr>
                <w:rFonts w:ascii="Arial" w:cs="Arial" w:eastAsia="Arial" w:hAnsi="Arial"/>
                <w:sz w:val="16"/>
                <w:szCs w:val="16"/>
                <w:b w:val="1"/>
                <w:bCs w:val="1"/>
                <w:color w:val="009BDE"/>
                <w:w w:val="98"/>
              </w:rPr>
              <w:t>in control(b)</w:t>
            </w:r>
          </w:p>
        </w:tc>
      </w:tr>
      <w:tr>
        <w:trPr>
          <w:trHeight w:val="114"/>
        </w:trPr>
        <w:tc>
          <w:tcPr>
            <w:tcW w:w="3400" w:type="dxa"/>
            <w:vAlign w:val="bottom"/>
            <w:tcBorders>
              <w:bottom w:val="single" w:sz="8" w:color="009BDE"/>
            </w:tcBorders>
            <w:shd w:val="clear" w:color="auto" w:fill="CCEBF8"/>
          </w:tcPr>
          <w:p>
            <w:pPr>
              <w:spacing w:after="0"/>
              <w:rPr>
                <w:sz w:val="9"/>
                <w:szCs w:val="9"/>
                <w:color w:val="auto"/>
              </w:rPr>
            </w:pPr>
          </w:p>
        </w:tc>
        <w:tc>
          <w:tcPr>
            <w:tcW w:w="460" w:type="dxa"/>
            <w:vAlign w:val="bottom"/>
            <w:tcBorders>
              <w:bottom w:val="single" w:sz="8" w:color="009BDE"/>
            </w:tcBorders>
            <w:shd w:val="clear" w:color="auto" w:fill="CCEBF8"/>
          </w:tcPr>
          <w:p>
            <w:pPr>
              <w:spacing w:after="0"/>
              <w:rPr>
                <w:sz w:val="9"/>
                <w:szCs w:val="9"/>
                <w:color w:val="auto"/>
              </w:rPr>
            </w:pPr>
          </w:p>
        </w:tc>
        <w:tc>
          <w:tcPr>
            <w:tcW w:w="100" w:type="dxa"/>
            <w:vAlign w:val="bottom"/>
            <w:tcBorders>
              <w:bottom w:val="single" w:sz="8" w:color="009BDE"/>
            </w:tcBorders>
            <w:shd w:val="clear" w:color="auto" w:fill="CCEBF8"/>
          </w:tcPr>
          <w:p>
            <w:pPr>
              <w:spacing w:after="0"/>
              <w:rPr>
                <w:sz w:val="9"/>
                <w:szCs w:val="9"/>
                <w:color w:val="auto"/>
              </w:rPr>
            </w:pPr>
          </w:p>
        </w:tc>
        <w:tc>
          <w:tcPr>
            <w:tcW w:w="1020" w:type="dxa"/>
            <w:vAlign w:val="bottom"/>
            <w:tcBorders>
              <w:bottom w:val="single" w:sz="8" w:color="009BDE"/>
            </w:tcBorders>
            <w:shd w:val="clear" w:color="auto" w:fill="CCEBF8"/>
          </w:tcPr>
          <w:p>
            <w:pPr>
              <w:spacing w:after="0"/>
              <w:rPr>
                <w:sz w:val="9"/>
                <w:szCs w:val="9"/>
                <w:color w:val="auto"/>
              </w:rPr>
            </w:pPr>
          </w:p>
        </w:tc>
        <w:tc>
          <w:tcPr>
            <w:tcW w:w="600" w:type="dxa"/>
            <w:vAlign w:val="bottom"/>
            <w:tcBorders>
              <w:bottom w:val="single" w:sz="8" w:color="009BDE"/>
            </w:tcBorders>
            <w:shd w:val="clear" w:color="auto" w:fill="CCEBF8"/>
          </w:tcPr>
          <w:p>
            <w:pPr>
              <w:spacing w:after="0"/>
              <w:rPr>
                <w:sz w:val="9"/>
                <w:szCs w:val="9"/>
                <w:color w:val="auto"/>
              </w:rPr>
            </w:pPr>
          </w:p>
        </w:tc>
        <w:tc>
          <w:tcPr>
            <w:tcW w:w="1200" w:type="dxa"/>
            <w:vAlign w:val="bottom"/>
            <w:tcBorders>
              <w:bottom w:val="single" w:sz="8" w:color="009BDE"/>
            </w:tcBorders>
            <w:shd w:val="clear" w:color="auto" w:fill="CCEBF8"/>
          </w:tcPr>
          <w:p>
            <w:pPr>
              <w:spacing w:after="0"/>
              <w:rPr>
                <w:sz w:val="9"/>
                <w:szCs w:val="9"/>
                <w:color w:val="auto"/>
              </w:rPr>
            </w:pPr>
          </w:p>
        </w:tc>
        <w:tc>
          <w:tcPr>
            <w:tcW w:w="520" w:type="dxa"/>
            <w:vAlign w:val="bottom"/>
            <w:tcBorders>
              <w:bottom w:val="single" w:sz="8" w:color="009BDE"/>
            </w:tcBorders>
            <w:shd w:val="clear" w:color="auto" w:fill="CCEBF8"/>
          </w:tcPr>
          <w:p>
            <w:pPr>
              <w:spacing w:after="0"/>
              <w:rPr>
                <w:sz w:val="9"/>
                <w:szCs w:val="9"/>
                <w:color w:val="auto"/>
              </w:rPr>
            </w:pPr>
          </w:p>
        </w:tc>
        <w:tc>
          <w:tcPr>
            <w:tcW w:w="520" w:type="dxa"/>
            <w:vAlign w:val="bottom"/>
            <w:tcBorders>
              <w:bottom w:val="single" w:sz="8" w:color="009BDE"/>
            </w:tcBorders>
            <w:shd w:val="clear" w:color="auto" w:fill="CCEBF8"/>
          </w:tcPr>
          <w:p>
            <w:pPr>
              <w:spacing w:after="0"/>
              <w:rPr>
                <w:sz w:val="9"/>
                <w:szCs w:val="9"/>
                <w:color w:val="auto"/>
              </w:rPr>
            </w:pPr>
          </w:p>
        </w:tc>
        <w:tc>
          <w:tcPr>
            <w:tcW w:w="460" w:type="dxa"/>
            <w:vAlign w:val="bottom"/>
            <w:tcBorders>
              <w:bottom w:val="single" w:sz="8" w:color="009BDE"/>
            </w:tcBorders>
            <w:shd w:val="clear" w:color="auto" w:fill="CCEBF8"/>
          </w:tcPr>
          <w:p>
            <w:pPr>
              <w:spacing w:after="0"/>
              <w:rPr>
                <w:sz w:val="9"/>
                <w:szCs w:val="9"/>
                <w:color w:val="auto"/>
              </w:rPr>
            </w:pPr>
          </w:p>
        </w:tc>
        <w:tc>
          <w:tcPr>
            <w:tcW w:w="220" w:type="dxa"/>
            <w:vAlign w:val="bottom"/>
            <w:tcBorders>
              <w:bottom w:val="single" w:sz="8" w:color="009BDE"/>
            </w:tcBorders>
            <w:shd w:val="clear" w:color="auto" w:fill="CCEBF8"/>
          </w:tcPr>
          <w:p>
            <w:pPr>
              <w:spacing w:after="0"/>
              <w:rPr>
                <w:sz w:val="9"/>
                <w:szCs w:val="9"/>
                <w:color w:val="auto"/>
              </w:rPr>
            </w:pPr>
          </w:p>
        </w:tc>
        <w:tc>
          <w:tcPr>
            <w:tcW w:w="960" w:type="dxa"/>
            <w:vAlign w:val="bottom"/>
            <w:tcBorders>
              <w:bottom w:val="single" w:sz="8" w:color="009BDE"/>
            </w:tcBorders>
            <w:shd w:val="clear" w:color="auto" w:fill="CCEBF8"/>
          </w:tcPr>
          <w:p>
            <w:pPr>
              <w:spacing w:after="0"/>
              <w:rPr>
                <w:sz w:val="9"/>
                <w:szCs w:val="9"/>
                <w:color w:val="auto"/>
              </w:rPr>
            </w:pPr>
          </w:p>
        </w:tc>
        <w:tc>
          <w:tcPr>
            <w:tcW w:w="360" w:type="dxa"/>
            <w:vAlign w:val="bottom"/>
            <w:tcBorders>
              <w:bottom w:val="single" w:sz="8" w:color="009BDE"/>
            </w:tcBorders>
            <w:shd w:val="clear" w:color="auto" w:fill="CCEBF8"/>
          </w:tcPr>
          <w:p>
            <w:pPr>
              <w:spacing w:after="0"/>
              <w:rPr>
                <w:sz w:val="9"/>
                <w:szCs w:val="9"/>
                <w:color w:val="auto"/>
              </w:rPr>
            </w:pPr>
          </w:p>
        </w:tc>
        <w:tc>
          <w:tcPr>
            <w:tcW w:w="1100" w:type="dxa"/>
            <w:vAlign w:val="bottom"/>
            <w:tcBorders>
              <w:bottom w:val="single" w:sz="8" w:color="009BDE"/>
            </w:tcBorders>
            <w:shd w:val="clear" w:color="auto" w:fill="CCEBF8"/>
          </w:tcPr>
          <w:p>
            <w:pPr>
              <w:spacing w:after="0"/>
              <w:rPr>
                <w:sz w:val="9"/>
                <w:szCs w:val="9"/>
                <w:color w:val="auto"/>
              </w:rPr>
            </w:pPr>
          </w:p>
        </w:tc>
      </w:tr>
      <w:tr>
        <w:trPr>
          <w:trHeight w:val="294"/>
        </w:trPr>
        <w:tc>
          <w:tcPr>
            <w:tcW w:w="3400" w:type="dxa"/>
            <w:vAlign w:val="bottom"/>
          </w:tcPr>
          <w:p>
            <w:pPr>
              <w:ind w:left="80"/>
              <w:spacing w:after="0"/>
              <w:rPr>
                <w:sz w:val="20"/>
                <w:szCs w:val="20"/>
                <w:color w:val="auto"/>
              </w:rPr>
            </w:pPr>
            <w:r>
              <w:rPr>
                <w:rFonts w:ascii="Arial" w:cs="Arial" w:eastAsia="Arial" w:hAnsi="Arial"/>
                <w:sz w:val="16"/>
                <w:szCs w:val="16"/>
                <w:b w:val="1"/>
                <w:bCs w:val="1"/>
                <w:color w:val="auto"/>
              </w:rPr>
              <w:t>Chris Cocks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7"/>
        </w:trPr>
        <w:tc>
          <w:tcPr>
            <w:tcW w:w="340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100" w:type="dxa"/>
            <w:vAlign w:val="bottom"/>
            <w:tcBorders>
              <w:bottom w:val="single" w:sz="8" w:color="009BDE"/>
            </w:tcBorders>
          </w:tcPr>
          <w:p>
            <w:pPr>
              <w:spacing w:after="0"/>
              <w:rPr>
                <w:sz w:val="7"/>
                <w:szCs w:val="7"/>
                <w:color w:val="auto"/>
              </w:rPr>
            </w:pPr>
          </w:p>
        </w:tc>
        <w:tc>
          <w:tcPr>
            <w:tcW w:w="1020" w:type="dxa"/>
            <w:vAlign w:val="bottom"/>
            <w:tcBorders>
              <w:bottom w:val="single" w:sz="8" w:color="009BDE"/>
            </w:tcBorders>
          </w:tcPr>
          <w:p>
            <w:pPr>
              <w:spacing w:after="0"/>
              <w:rPr>
                <w:sz w:val="7"/>
                <w:szCs w:val="7"/>
                <w:color w:val="auto"/>
              </w:rPr>
            </w:pPr>
          </w:p>
        </w:tc>
        <w:tc>
          <w:tcPr>
            <w:tcW w:w="600" w:type="dxa"/>
            <w:vAlign w:val="bottom"/>
            <w:tcBorders>
              <w:bottom w:val="single" w:sz="8" w:color="009BDE"/>
            </w:tcBorders>
          </w:tcPr>
          <w:p>
            <w:pPr>
              <w:spacing w:after="0"/>
              <w:rPr>
                <w:sz w:val="7"/>
                <w:szCs w:val="7"/>
                <w:color w:val="auto"/>
              </w:rPr>
            </w:pPr>
          </w:p>
        </w:tc>
        <w:tc>
          <w:tcPr>
            <w:tcW w:w="120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c>
          <w:tcPr>
            <w:tcW w:w="360" w:type="dxa"/>
            <w:vAlign w:val="bottom"/>
            <w:tcBorders>
              <w:bottom w:val="single" w:sz="8" w:color="009BDE"/>
            </w:tcBorders>
          </w:tcPr>
          <w:p>
            <w:pPr>
              <w:spacing w:after="0"/>
              <w:rPr>
                <w:sz w:val="7"/>
                <w:szCs w:val="7"/>
                <w:color w:val="auto"/>
              </w:rPr>
            </w:pPr>
          </w:p>
        </w:tc>
        <w:tc>
          <w:tcPr>
            <w:tcW w:w="1100" w:type="dxa"/>
            <w:vAlign w:val="bottom"/>
            <w:tcBorders>
              <w:bottom w:val="single" w:sz="8" w:color="009BDE"/>
            </w:tcBorders>
          </w:tcPr>
          <w:p>
            <w:pPr>
              <w:spacing w:after="0"/>
              <w:rPr>
                <w:sz w:val="7"/>
                <w:szCs w:val="7"/>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Cash Severance</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9,000,000</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13,500,001</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FY 2025 Bonus</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6,000,000</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6,000,000</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6,000,000</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Pension</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Other Benefits(c)</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68,854</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68,854</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Accelerated Equity(d)</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33,610,367</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w w:val="99"/>
              </w:rPr>
              <w:t>33,610,367</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41,604,597</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94"/>
        </w:trPr>
        <w:tc>
          <w:tcPr>
            <w:tcW w:w="3400" w:type="dxa"/>
            <w:vAlign w:val="bottom"/>
          </w:tcPr>
          <w:p>
            <w:pPr>
              <w:ind w:left="160"/>
              <w:spacing w:after="0"/>
              <w:rPr>
                <w:sz w:val="20"/>
                <w:szCs w:val="20"/>
                <w:color w:val="auto"/>
              </w:rPr>
            </w:pPr>
            <w:r>
              <w:rPr>
                <w:rFonts w:ascii="Arial" w:cs="Arial" w:eastAsia="Arial" w:hAnsi="Arial"/>
                <w:sz w:val="16"/>
                <w:szCs w:val="16"/>
                <w:b w:val="1"/>
                <w:bCs w:val="1"/>
                <w:color w:val="auto"/>
              </w:rPr>
              <w:t>Total Incremental Benefits</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48,679,221</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w w:val="99"/>
              </w:rPr>
              <w:t>39,610,367</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61,173,452</w:t>
            </w:r>
          </w:p>
        </w:tc>
      </w:tr>
      <w:tr>
        <w:trPr>
          <w:trHeight w:val="87"/>
        </w:trPr>
        <w:tc>
          <w:tcPr>
            <w:tcW w:w="340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100" w:type="dxa"/>
            <w:vAlign w:val="bottom"/>
            <w:tcBorders>
              <w:bottom w:val="single" w:sz="8" w:color="009BDE"/>
            </w:tcBorders>
          </w:tcPr>
          <w:p>
            <w:pPr>
              <w:spacing w:after="0"/>
              <w:rPr>
                <w:sz w:val="7"/>
                <w:szCs w:val="7"/>
                <w:color w:val="auto"/>
              </w:rPr>
            </w:pPr>
          </w:p>
        </w:tc>
        <w:tc>
          <w:tcPr>
            <w:tcW w:w="1020" w:type="dxa"/>
            <w:vAlign w:val="bottom"/>
            <w:tcBorders>
              <w:bottom w:val="single" w:sz="8" w:color="009BDE"/>
            </w:tcBorders>
          </w:tcPr>
          <w:p>
            <w:pPr>
              <w:spacing w:after="0"/>
              <w:rPr>
                <w:sz w:val="7"/>
                <w:szCs w:val="7"/>
                <w:color w:val="auto"/>
              </w:rPr>
            </w:pPr>
          </w:p>
        </w:tc>
        <w:tc>
          <w:tcPr>
            <w:tcW w:w="600" w:type="dxa"/>
            <w:vAlign w:val="bottom"/>
            <w:tcBorders>
              <w:bottom w:val="single" w:sz="8" w:color="009BDE"/>
            </w:tcBorders>
          </w:tcPr>
          <w:p>
            <w:pPr>
              <w:spacing w:after="0"/>
              <w:rPr>
                <w:sz w:val="7"/>
                <w:szCs w:val="7"/>
                <w:color w:val="auto"/>
              </w:rPr>
            </w:pPr>
          </w:p>
        </w:tc>
        <w:tc>
          <w:tcPr>
            <w:tcW w:w="120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c>
          <w:tcPr>
            <w:tcW w:w="360" w:type="dxa"/>
            <w:vAlign w:val="bottom"/>
            <w:tcBorders>
              <w:bottom w:val="single" w:sz="8" w:color="009BDE"/>
            </w:tcBorders>
          </w:tcPr>
          <w:p>
            <w:pPr>
              <w:spacing w:after="0"/>
              <w:rPr>
                <w:sz w:val="7"/>
                <w:szCs w:val="7"/>
                <w:color w:val="auto"/>
              </w:rPr>
            </w:pPr>
          </w:p>
        </w:tc>
        <w:tc>
          <w:tcPr>
            <w:tcW w:w="1100" w:type="dxa"/>
            <w:vAlign w:val="bottom"/>
            <w:tcBorders>
              <w:bottom w:val="single" w:sz="8" w:color="009BDE"/>
            </w:tcBorders>
          </w:tcPr>
          <w:p>
            <w:pPr>
              <w:spacing w:after="0"/>
              <w:rPr>
                <w:sz w:val="7"/>
                <w:szCs w:val="7"/>
                <w:color w:val="auto"/>
              </w:rPr>
            </w:pPr>
          </w:p>
        </w:tc>
      </w:tr>
      <w:tr>
        <w:trPr>
          <w:trHeight w:val="294"/>
        </w:trPr>
        <w:tc>
          <w:tcPr>
            <w:tcW w:w="3400" w:type="dxa"/>
            <w:vAlign w:val="bottom"/>
          </w:tcPr>
          <w:p>
            <w:pPr>
              <w:ind w:left="80"/>
              <w:spacing w:after="0"/>
              <w:rPr>
                <w:sz w:val="20"/>
                <w:szCs w:val="20"/>
                <w:color w:val="auto"/>
              </w:rPr>
            </w:pPr>
            <w:r>
              <w:rPr>
                <w:rFonts w:ascii="Arial" w:cs="Arial" w:eastAsia="Arial" w:hAnsi="Arial"/>
                <w:sz w:val="16"/>
                <w:szCs w:val="16"/>
                <w:b w:val="1"/>
                <w:bCs w:val="1"/>
                <w:color w:val="auto"/>
              </w:rPr>
              <w:t>Gina Goetter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7"/>
        </w:trPr>
        <w:tc>
          <w:tcPr>
            <w:tcW w:w="340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100" w:type="dxa"/>
            <w:vAlign w:val="bottom"/>
            <w:tcBorders>
              <w:bottom w:val="single" w:sz="8" w:color="009BDE"/>
            </w:tcBorders>
          </w:tcPr>
          <w:p>
            <w:pPr>
              <w:spacing w:after="0"/>
              <w:rPr>
                <w:sz w:val="7"/>
                <w:szCs w:val="7"/>
                <w:color w:val="auto"/>
              </w:rPr>
            </w:pPr>
          </w:p>
        </w:tc>
        <w:tc>
          <w:tcPr>
            <w:tcW w:w="1020" w:type="dxa"/>
            <w:vAlign w:val="bottom"/>
            <w:tcBorders>
              <w:bottom w:val="single" w:sz="8" w:color="009BDE"/>
            </w:tcBorders>
          </w:tcPr>
          <w:p>
            <w:pPr>
              <w:spacing w:after="0"/>
              <w:rPr>
                <w:sz w:val="7"/>
                <w:szCs w:val="7"/>
                <w:color w:val="auto"/>
              </w:rPr>
            </w:pPr>
          </w:p>
        </w:tc>
        <w:tc>
          <w:tcPr>
            <w:tcW w:w="600" w:type="dxa"/>
            <w:vAlign w:val="bottom"/>
            <w:tcBorders>
              <w:bottom w:val="single" w:sz="8" w:color="009BDE"/>
            </w:tcBorders>
          </w:tcPr>
          <w:p>
            <w:pPr>
              <w:spacing w:after="0"/>
              <w:rPr>
                <w:sz w:val="7"/>
                <w:szCs w:val="7"/>
                <w:color w:val="auto"/>
              </w:rPr>
            </w:pPr>
          </w:p>
        </w:tc>
        <w:tc>
          <w:tcPr>
            <w:tcW w:w="120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c>
          <w:tcPr>
            <w:tcW w:w="360" w:type="dxa"/>
            <w:vAlign w:val="bottom"/>
            <w:tcBorders>
              <w:bottom w:val="single" w:sz="8" w:color="009BDE"/>
            </w:tcBorders>
          </w:tcPr>
          <w:p>
            <w:pPr>
              <w:spacing w:after="0"/>
              <w:rPr>
                <w:sz w:val="7"/>
                <w:szCs w:val="7"/>
                <w:color w:val="auto"/>
              </w:rPr>
            </w:pPr>
          </w:p>
        </w:tc>
        <w:tc>
          <w:tcPr>
            <w:tcW w:w="1100" w:type="dxa"/>
            <w:vAlign w:val="bottom"/>
            <w:tcBorders>
              <w:bottom w:val="single" w:sz="8" w:color="009BDE"/>
            </w:tcBorders>
          </w:tcPr>
          <w:p>
            <w:pPr>
              <w:spacing w:after="0"/>
              <w:rPr>
                <w:sz w:val="7"/>
                <w:szCs w:val="7"/>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Cash Severance</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1,000,000</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4,000,000</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FY 2025 Bonus</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Pension</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Other Benefits(c)</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47,350</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58,524</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Accelerated Equity(d)</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6,119,385</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12,699,544</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94"/>
        </w:trPr>
        <w:tc>
          <w:tcPr>
            <w:tcW w:w="3400" w:type="dxa"/>
            <w:vAlign w:val="bottom"/>
          </w:tcPr>
          <w:p>
            <w:pPr>
              <w:ind w:left="160"/>
              <w:spacing w:after="0"/>
              <w:rPr>
                <w:sz w:val="20"/>
                <w:szCs w:val="20"/>
                <w:color w:val="auto"/>
              </w:rPr>
            </w:pPr>
            <w:r>
              <w:rPr>
                <w:rFonts w:ascii="Arial" w:cs="Arial" w:eastAsia="Arial" w:hAnsi="Arial"/>
                <w:sz w:val="16"/>
                <w:szCs w:val="16"/>
                <w:b w:val="1"/>
                <w:bCs w:val="1"/>
                <w:color w:val="auto"/>
              </w:rPr>
              <w:t>Total Incremental Benefits</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1,047,350</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6,119,385</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16,758,069</w:t>
            </w:r>
          </w:p>
        </w:tc>
      </w:tr>
      <w:tr>
        <w:trPr>
          <w:trHeight w:val="87"/>
        </w:trPr>
        <w:tc>
          <w:tcPr>
            <w:tcW w:w="340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100" w:type="dxa"/>
            <w:vAlign w:val="bottom"/>
            <w:tcBorders>
              <w:bottom w:val="single" w:sz="8" w:color="009BDE"/>
            </w:tcBorders>
          </w:tcPr>
          <w:p>
            <w:pPr>
              <w:spacing w:after="0"/>
              <w:rPr>
                <w:sz w:val="7"/>
                <w:szCs w:val="7"/>
                <w:color w:val="auto"/>
              </w:rPr>
            </w:pPr>
          </w:p>
        </w:tc>
        <w:tc>
          <w:tcPr>
            <w:tcW w:w="1020" w:type="dxa"/>
            <w:vAlign w:val="bottom"/>
            <w:tcBorders>
              <w:bottom w:val="single" w:sz="8" w:color="009BDE"/>
            </w:tcBorders>
          </w:tcPr>
          <w:p>
            <w:pPr>
              <w:spacing w:after="0"/>
              <w:rPr>
                <w:sz w:val="7"/>
                <w:szCs w:val="7"/>
                <w:color w:val="auto"/>
              </w:rPr>
            </w:pPr>
          </w:p>
        </w:tc>
        <w:tc>
          <w:tcPr>
            <w:tcW w:w="600" w:type="dxa"/>
            <w:vAlign w:val="bottom"/>
            <w:tcBorders>
              <w:bottom w:val="single" w:sz="8" w:color="009BDE"/>
            </w:tcBorders>
          </w:tcPr>
          <w:p>
            <w:pPr>
              <w:spacing w:after="0"/>
              <w:rPr>
                <w:sz w:val="7"/>
                <w:szCs w:val="7"/>
                <w:color w:val="auto"/>
              </w:rPr>
            </w:pPr>
          </w:p>
        </w:tc>
        <w:tc>
          <w:tcPr>
            <w:tcW w:w="120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c>
          <w:tcPr>
            <w:tcW w:w="360" w:type="dxa"/>
            <w:vAlign w:val="bottom"/>
            <w:tcBorders>
              <w:bottom w:val="single" w:sz="8" w:color="009BDE"/>
            </w:tcBorders>
          </w:tcPr>
          <w:p>
            <w:pPr>
              <w:spacing w:after="0"/>
              <w:rPr>
                <w:sz w:val="7"/>
                <w:szCs w:val="7"/>
                <w:color w:val="auto"/>
              </w:rPr>
            </w:pPr>
          </w:p>
        </w:tc>
        <w:tc>
          <w:tcPr>
            <w:tcW w:w="1100" w:type="dxa"/>
            <w:vAlign w:val="bottom"/>
            <w:tcBorders>
              <w:bottom w:val="single" w:sz="8" w:color="009BDE"/>
            </w:tcBorders>
          </w:tcPr>
          <w:p>
            <w:pPr>
              <w:spacing w:after="0"/>
              <w:rPr>
                <w:sz w:val="7"/>
                <w:szCs w:val="7"/>
                <w:color w:val="auto"/>
              </w:rPr>
            </w:pPr>
          </w:p>
        </w:tc>
      </w:tr>
      <w:tr>
        <w:trPr>
          <w:trHeight w:val="294"/>
        </w:trPr>
        <w:tc>
          <w:tcPr>
            <w:tcW w:w="3400" w:type="dxa"/>
            <w:vAlign w:val="bottom"/>
          </w:tcPr>
          <w:p>
            <w:pPr>
              <w:ind w:left="80"/>
              <w:spacing w:after="0"/>
              <w:rPr>
                <w:sz w:val="20"/>
                <w:szCs w:val="20"/>
                <w:color w:val="auto"/>
              </w:rPr>
            </w:pPr>
            <w:r>
              <w:rPr>
                <w:rFonts w:ascii="Arial" w:cs="Arial" w:eastAsia="Arial" w:hAnsi="Arial"/>
                <w:sz w:val="16"/>
                <w:szCs w:val="16"/>
                <w:b w:val="1"/>
                <w:bCs w:val="1"/>
                <w:color w:val="auto"/>
              </w:rPr>
              <w:t>John Hight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7"/>
        </w:trPr>
        <w:tc>
          <w:tcPr>
            <w:tcW w:w="340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100" w:type="dxa"/>
            <w:vAlign w:val="bottom"/>
            <w:tcBorders>
              <w:bottom w:val="single" w:sz="8" w:color="009BDE"/>
            </w:tcBorders>
          </w:tcPr>
          <w:p>
            <w:pPr>
              <w:spacing w:after="0"/>
              <w:rPr>
                <w:sz w:val="7"/>
                <w:szCs w:val="7"/>
                <w:color w:val="auto"/>
              </w:rPr>
            </w:pPr>
          </w:p>
        </w:tc>
        <w:tc>
          <w:tcPr>
            <w:tcW w:w="1020" w:type="dxa"/>
            <w:vAlign w:val="bottom"/>
            <w:tcBorders>
              <w:bottom w:val="single" w:sz="8" w:color="009BDE"/>
            </w:tcBorders>
          </w:tcPr>
          <w:p>
            <w:pPr>
              <w:spacing w:after="0"/>
              <w:rPr>
                <w:sz w:val="7"/>
                <w:szCs w:val="7"/>
                <w:color w:val="auto"/>
              </w:rPr>
            </w:pPr>
          </w:p>
        </w:tc>
        <w:tc>
          <w:tcPr>
            <w:tcW w:w="600" w:type="dxa"/>
            <w:vAlign w:val="bottom"/>
            <w:tcBorders>
              <w:bottom w:val="single" w:sz="8" w:color="009BDE"/>
            </w:tcBorders>
          </w:tcPr>
          <w:p>
            <w:pPr>
              <w:spacing w:after="0"/>
              <w:rPr>
                <w:sz w:val="7"/>
                <w:szCs w:val="7"/>
                <w:color w:val="auto"/>
              </w:rPr>
            </w:pPr>
          </w:p>
        </w:tc>
        <w:tc>
          <w:tcPr>
            <w:tcW w:w="120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c>
          <w:tcPr>
            <w:tcW w:w="360" w:type="dxa"/>
            <w:vAlign w:val="bottom"/>
            <w:tcBorders>
              <w:bottom w:val="single" w:sz="8" w:color="009BDE"/>
            </w:tcBorders>
          </w:tcPr>
          <w:p>
            <w:pPr>
              <w:spacing w:after="0"/>
              <w:rPr>
                <w:sz w:val="7"/>
                <w:szCs w:val="7"/>
                <w:color w:val="auto"/>
              </w:rPr>
            </w:pPr>
          </w:p>
        </w:tc>
        <w:tc>
          <w:tcPr>
            <w:tcW w:w="1100" w:type="dxa"/>
            <w:vAlign w:val="bottom"/>
            <w:tcBorders>
              <w:bottom w:val="single" w:sz="8" w:color="009BDE"/>
            </w:tcBorders>
          </w:tcPr>
          <w:p>
            <w:pPr>
              <w:spacing w:after="0"/>
              <w:rPr>
                <w:sz w:val="7"/>
                <w:szCs w:val="7"/>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Cash Severance</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725,000</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2,900,000</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FY 2025 Bonus</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Pension</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Other Benefits(c)</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38,820</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45,730</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Accelerated Equity(d)</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1,343,957</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5,687,146</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94"/>
        </w:trPr>
        <w:tc>
          <w:tcPr>
            <w:tcW w:w="3400" w:type="dxa"/>
            <w:vAlign w:val="bottom"/>
          </w:tcPr>
          <w:p>
            <w:pPr>
              <w:ind w:left="160"/>
              <w:spacing w:after="0"/>
              <w:rPr>
                <w:sz w:val="20"/>
                <w:szCs w:val="20"/>
                <w:color w:val="auto"/>
              </w:rPr>
            </w:pPr>
            <w:r>
              <w:rPr>
                <w:rFonts w:ascii="Arial" w:cs="Arial" w:eastAsia="Arial" w:hAnsi="Arial"/>
                <w:sz w:val="16"/>
                <w:szCs w:val="16"/>
                <w:b w:val="1"/>
                <w:bCs w:val="1"/>
                <w:color w:val="auto"/>
              </w:rPr>
              <w:t>Total Incremental Benefits</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763,820</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1,343,957</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8,632,876</w:t>
            </w:r>
          </w:p>
        </w:tc>
      </w:tr>
      <w:tr>
        <w:trPr>
          <w:trHeight w:val="87"/>
        </w:trPr>
        <w:tc>
          <w:tcPr>
            <w:tcW w:w="340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100" w:type="dxa"/>
            <w:vAlign w:val="bottom"/>
            <w:tcBorders>
              <w:bottom w:val="single" w:sz="8" w:color="009BDE"/>
            </w:tcBorders>
          </w:tcPr>
          <w:p>
            <w:pPr>
              <w:spacing w:after="0"/>
              <w:rPr>
                <w:sz w:val="7"/>
                <w:szCs w:val="7"/>
                <w:color w:val="auto"/>
              </w:rPr>
            </w:pPr>
          </w:p>
        </w:tc>
        <w:tc>
          <w:tcPr>
            <w:tcW w:w="1020" w:type="dxa"/>
            <w:vAlign w:val="bottom"/>
            <w:tcBorders>
              <w:bottom w:val="single" w:sz="8" w:color="009BDE"/>
            </w:tcBorders>
          </w:tcPr>
          <w:p>
            <w:pPr>
              <w:spacing w:after="0"/>
              <w:rPr>
                <w:sz w:val="7"/>
                <w:szCs w:val="7"/>
                <w:color w:val="auto"/>
              </w:rPr>
            </w:pPr>
          </w:p>
        </w:tc>
        <w:tc>
          <w:tcPr>
            <w:tcW w:w="600" w:type="dxa"/>
            <w:vAlign w:val="bottom"/>
            <w:tcBorders>
              <w:bottom w:val="single" w:sz="8" w:color="009BDE"/>
            </w:tcBorders>
          </w:tcPr>
          <w:p>
            <w:pPr>
              <w:spacing w:after="0"/>
              <w:rPr>
                <w:sz w:val="7"/>
                <w:szCs w:val="7"/>
                <w:color w:val="auto"/>
              </w:rPr>
            </w:pPr>
          </w:p>
        </w:tc>
        <w:tc>
          <w:tcPr>
            <w:tcW w:w="120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c>
          <w:tcPr>
            <w:tcW w:w="360" w:type="dxa"/>
            <w:vAlign w:val="bottom"/>
            <w:tcBorders>
              <w:bottom w:val="single" w:sz="8" w:color="009BDE"/>
            </w:tcBorders>
          </w:tcPr>
          <w:p>
            <w:pPr>
              <w:spacing w:after="0"/>
              <w:rPr>
                <w:sz w:val="7"/>
                <w:szCs w:val="7"/>
                <w:color w:val="auto"/>
              </w:rPr>
            </w:pPr>
          </w:p>
        </w:tc>
        <w:tc>
          <w:tcPr>
            <w:tcW w:w="1100" w:type="dxa"/>
            <w:vAlign w:val="bottom"/>
            <w:tcBorders>
              <w:bottom w:val="single" w:sz="8" w:color="009BDE"/>
            </w:tcBorders>
          </w:tcPr>
          <w:p>
            <w:pPr>
              <w:spacing w:after="0"/>
              <w:rPr>
                <w:sz w:val="7"/>
                <w:szCs w:val="7"/>
                <w:color w:val="auto"/>
              </w:rPr>
            </w:pPr>
          </w:p>
        </w:tc>
      </w:tr>
      <w:tr>
        <w:trPr>
          <w:trHeight w:val="294"/>
        </w:trPr>
        <w:tc>
          <w:tcPr>
            <w:tcW w:w="3400" w:type="dxa"/>
            <w:vAlign w:val="bottom"/>
          </w:tcPr>
          <w:p>
            <w:pPr>
              <w:ind w:left="80"/>
              <w:spacing w:after="0"/>
              <w:rPr>
                <w:sz w:val="20"/>
                <w:szCs w:val="20"/>
                <w:color w:val="auto"/>
              </w:rPr>
            </w:pPr>
            <w:r>
              <w:rPr>
                <w:rFonts w:ascii="Arial" w:cs="Arial" w:eastAsia="Arial" w:hAnsi="Arial"/>
                <w:sz w:val="16"/>
                <w:szCs w:val="16"/>
                <w:b w:val="1"/>
                <w:bCs w:val="1"/>
                <w:color w:val="auto"/>
              </w:rPr>
              <w:t>Tim Kilpin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7"/>
        </w:trPr>
        <w:tc>
          <w:tcPr>
            <w:tcW w:w="340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100" w:type="dxa"/>
            <w:vAlign w:val="bottom"/>
            <w:tcBorders>
              <w:bottom w:val="single" w:sz="8" w:color="009BDE"/>
            </w:tcBorders>
          </w:tcPr>
          <w:p>
            <w:pPr>
              <w:spacing w:after="0"/>
              <w:rPr>
                <w:sz w:val="7"/>
                <w:szCs w:val="7"/>
                <w:color w:val="auto"/>
              </w:rPr>
            </w:pPr>
          </w:p>
        </w:tc>
        <w:tc>
          <w:tcPr>
            <w:tcW w:w="1020" w:type="dxa"/>
            <w:vAlign w:val="bottom"/>
            <w:tcBorders>
              <w:bottom w:val="single" w:sz="8" w:color="009BDE"/>
            </w:tcBorders>
          </w:tcPr>
          <w:p>
            <w:pPr>
              <w:spacing w:after="0"/>
              <w:rPr>
                <w:sz w:val="7"/>
                <w:szCs w:val="7"/>
                <w:color w:val="auto"/>
              </w:rPr>
            </w:pPr>
          </w:p>
        </w:tc>
        <w:tc>
          <w:tcPr>
            <w:tcW w:w="600" w:type="dxa"/>
            <w:vAlign w:val="bottom"/>
            <w:tcBorders>
              <w:bottom w:val="single" w:sz="8" w:color="009BDE"/>
            </w:tcBorders>
          </w:tcPr>
          <w:p>
            <w:pPr>
              <w:spacing w:after="0"/>
              <w:rPr>
                <w:sz w:val="7"/>
                <w:szCs w:val="7"/>
                <w:color w:val="auto"/>
              </w:rPr>
            </w:pPr>
          </w:p>
        </w:tc>
        <w:tc>
          <w:tcPr>
            <w:tcW w:w="120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c>
          <w:tcPr>
            <w:tcW w:w="360" w:type="dxa"/>
            <w:vAlign w:val="bottom"/>
            <w:tcBorders>
              <w:bottom w:val="single" w:sz="8" w:color="009BDE"/>
            </w:tcBorders>
          </w:tcPr>
          <w:p>
            <w:pPr>
              <w:spacing w:after="0"/>
              <w:rPr>
                <w:sz w:val="7"/>
                <w:szCs w:val="7"/>
                <w:color w:val="auto"/>
              </w:rPr>
            </w:pPr>
          </w:p>
        </w:tc>
        <w:tc>
          <w:tcPr>
            <w:tcW w:w="1100" w:type="dxa"/>
            <w:vAlign w:val="bottom"/>
            <w:tcBorders>
              <w:bottom w:val="single" w:sz="8" w:color="009BDE"/>
            </w:tcBorders>
          </w:tcPr>
          <w:p>
            <w:pPr>
              <w:spacing w:after="0"/>
              <w:rPr>
                <w:sz w:val="7"/>
                <w:szCs w:val="7"/>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Cash Severance</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850,000</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3,400,000</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FY 2025 Bonus</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Pension</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Other Benefits(c)</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40,986</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48,979</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400" w:type="dxa"/>
            <w:vAlign w:val="bottom"/>
          </w:tcPr>
          <w:p>
            <w:pPr>
              <w:ind w:left="160"/>
              <w:spacing w:after="0"/>
              <w:rPr>
                <w:sz w:val="20"/>
                <w:szCs w:val="20"/>
                <w:color w:val="auto"/>
              </w:rPr>
            </w:pPr>
            <w:r>
              <w:rPr>
                <w:rFonts w:ascii="Arial" w:cs="Arial" w:eastAsia="Arial" w:hAnsi="Arial"/>
                <w:sz w:val="16"/>
                <w:szCs w:val="16"/>
                <w:color w:val="auto"/>
              </w:rPr>
              <w:t>Accelerated Equity(d)</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5,445,760</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9,895,348</w:t>
            </w:r>
          </w:p>
        </w:tc>
      </w:tr>
      <w:tr>
        <w:trPr>
          <w:trHeight w:val="97"/>
        </w:trPr>
        <w:tc>
          <w:tcPr>
            <w:tcW w:w="340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94"/>
        </w:trPr>
        <w:tc>
          <w:tcPr>
            <w:tcW w:w="3400" w:type="dxa"/>
            <w:vAlign w:val="bottom"/>
          </w:tcPr>
          <w:p>
            <w:pPr>
              <w:ind w:left="160"/>
              <w:spacing w:after="0"/>
              <w:rPr>
                <w:sz w:val="20"/>
                <w:szCs w:val="20"/>
                <w:color w:val="auto"/>
              </w:rPr>
            </w:pPr>
            <w:r>
              <w:rPr>
                <w:rFonts w:ascii="Arial" w:cs="Arial" w:eastAsia="Arial" w:hAnsi="Arial"/>
                <w:sz w:val="16"/>
                <w:szCs w:val="16"/>
                <w:b w:val="1"/>
                <w:bCs w:val="1"/>
                <w:color w:val="auto"/>
              </w:rPr>
              <w:t>Total Incremental Benefits</w:t>
            </w:r>
          </w:p>
        </w:tc>
        <w:tc>
          <w:tcPr>
            <w:tcW w:w="560" w:type="dxa"/>
            <w:vAlign w:val="bottom"/>
            <w:gridSpan w:val="2"/>
          </w:tcPr>
          <w:p>
            <w:pPr>
              <w:ind w:left="4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890,986</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5,445,760</w:t>
            </w:r>
          </w:p>
        </w:tc>
        <w:tc>
          <w:tcPr>
            <w:tcW w:w="520" w:type="dxa"/>
            <w:vAlign w:val="bottom"/>
          </w:tcPr>
          <w:p>
            <w:pPr>
              <w:ind w:left="140"/>
              <w:spacing w:after="0"/>
              <w:rPr>
                <w:sz w:val="20"/>
                <w:szCs w:val="20"/>
                <w:color w:val="auto"/>
              </w:rPr>
            </w:pPr>
            <w:r>
              <w:rPr>
                <w:rFonts w:ascii="Arial" w:cs="Arial" w:eastAsia="Arial" w:hAnsi="Arial"/>
                <w:sz w:val="16"/>
                <w:szCs w:val="16"/>
                <w:color w:val="auto"/>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13,344,327</w:t>
            </w:r>
          </w:p>
        </w:tc>
      </w:tr>
      <w:tr>
        <w:trPr>
          <w:trHeight w:val="87"/>
        </w:trPr>
        <w:tc>
          <w:tcPr>
            <w:tcW w:w="340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100" w:type="dxa"/>
            <w:vAlign w:val="bottom"/>
            <w:tcBorders>
              <w:bottom w:val="single" w:sz="8" w:color="009BDE"/>
            </w:tcBorders>
          </w:tcPr>
          <w:p>
            <w:pPr>
              <w:spacing w:after="0"/>
              <w:rPr>
                <w:sz w:val="7"/>
                <w:szCs w:val="7"/>
                <w:color w:val="auto"/>
              </w:rPr>
            </w:pPr>
          </w:p>
        </w:tc>
        <w:tc>
          <w:tcPr>
            <w:tcW w:w="1020" w:type="dxa"/>
            <w:vAlign w:val="bottom"/>
            <w:tcBorders>
              <w:bottom w:val="single" w:sz="8" w:color="009BDE"/>
            </w:tcBorders>
          </w:tcPr>
          <w:p>
            <w:pPr>
              <w:spacing w:after="0"/>
              <w:rPr>
                <w:sz w:val="7"/>
                <w:szCs w:val="7"/>
                <w:color w:val="auto"/>
              </w:rPr>
            </w:pPr>
          </w:p>
        </w:tc>
        <w:tc>
          <w:tcPr>
            <w:tcW w:w="600" w:type="dxa"/>
            <w:vAlign w:val="bottom"/>
            <w:tcBorders>
              <w:bottom w:val="single" w:sz="8" w:color="009BDE"/>
            </w:tcBorders>
          </w:tcPr>
          <w:p>
            <w:pPr>
              <w:spacing w:after="0"/>
              <w:rPr>
                <w:sz w:val="7"/>
                <w:szCs w:val="7"/>
                <w:color w:val="auto"/>
              </w:rPr>
            </w:pPr>
          </w:p>
        </w:tc>
        <w:tc>
          <w:tcPr>
            <w:tcW w:w="120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520" w:type="dxa"/>
            <w:vAlign w:val="bottom"/>
            <w:tcBorders>
              <w:bottom w:val="single" w:sz="8" w:color="009BDE"/>
            </w:tcBorders>
          </w:tcPr>
          <w:p>
            <w:pPr>
              <w:spacing w:after="0"/>
              <w:rPr>
                <w:sz w:val="7"/>
                <w:szCs w:val="7"/>
                <w:color w:val="auto"/>
              </w:rPr>
            </w:pPr>
          </w:p>
        </w:tc>
        <w:tc>
          <w:tcPr>
            <w:tcW w:w="46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c>
          <w:tcPr>
            <w:tcW w:w="360" w:type="dxa"/>
            <w:vAlign w:val="bottom"/>
            <w:tcBorders>
              <w:bottom w:val="single" w:sz="8" w:color="009BDE"/>
            </w:tcBorders>
          </w:tcPr>
          <w:p>
            <w:pPr>
              <w:spacing w:after="0"/>
              <w:rPr>
                <w:sz w:val="7"/>
                <w:szCs w:val="7"/>
                <w:color w:val="auto"/>
              </w:rPr>
            </w:pPr>
          </w:p>
        </w:tc>
        <w:tc>
          <w:tcPr>
            <w:tcW w:w="1100" w:type="dxa"/>
            <w:vAlign w:val="bottom"/>
            <w:tcBorders>
              <w:bottom w:val="single" w:sz="8" w:color="009BD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246380</wp:posOffset>
            </wp:positionV>
            <wp:extent cx="6964045" cy="39052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FCFCFC"/>
        </w:rPr>
        <w:t>    49</w:t>
      </w:r>
    </w:p>
    <w:p>
      <w:pPr>
        <w:sectPr>
          <w:pgSz w:w="11900" w:h="16838" w:orient="portrait"/>
          <w:cols w:equalWidth="0" w:num="1">
            <w:col w:w="11080"/>
          </w:cols>
          <w:pgMar w:left="320" w:top="478" w:right="4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37"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3960" w:type="dxa"/>
            <w:vAlign w:val="bottom"/>
            <w:tcBorders>
              <w:bottom w:val="single" w:sz="8" w:color="CCEBF8"/>
            </w:tcBorders>
            <w:shd w:val="clear" w:color="auto" w:fill="CCEBF8"/>
          </w:tcPr>
          <w:p>
            <w:pPr>
              <w:spacing w:after="0"/>
              <w:rPr>
                <w:sz w:val="18"/>
                <w:szCs w:val="18"/>
                <w:color w:val="auto"/>
              </w:rPr>
            </w:pPr>
          </w:p>
        </w:tc>
        <w:tc>
          <w:tcPr>
            <w:tcW w:w="380" w:type="dxa"/>
            <w:vAlign w:val="bottom"/>
            <w:tcBorders>
              <w:bottom w:val="single" w:sz="8" w:color="CCEBF8"/>
            </w:tcBorders>
            <w:shd w:val="clear" w:color="auto" w:fill="CCEBF8"/>
          </w:tcPr>
          <w:p>
            <w:pPr>
              <w:spacing w:after="0"/>
              <w:rPr>
                <w:sz w:val="18"/>
                <w:szCs w:val="18"/>
                <w:color w:val="auto"/>
              </w:rPr>
            </w:pPr>
          </w:p>
        </w:tc>
        <w:tc>
          <w:tcPr>
            <w:tcW w:w="100" w:type="dxa"/>
            <w:vAlign w:val="bottom"/>
            <w:tcBorders>
              <w:bottom w:val="single" w:sz="8" w:color="009BDE"/>
            </w:tcBorders>
            <w:shd w:val="clear" w:color="auto" w:fill="CCEBF8"/>
          </w:tcPr>
          <w:p>
            <w:pPr>
              <w:spacing w:after="0"/>
              <w:rPr>
                <w:sz w:val="18"/>
                <w:szCs w:val="18"/>
                <w:color w:val="auto"/>
              </w:rPr>
            </w:pPr>
          </w:p>
        </w:tc>
        <w:tc>
          <w:tcPr>
            <w:tcW w:w="2620" w:type="dxa"/>
            <w:vAlign w:val="bottom"/>
            <w:tcBorders>
              <w:bottom w:val="single" w:sz="8" w:color="009BDE"/>
            </w:tcBorders>
            <w:gridSpan w:val="3"/>
            <w:shd w:val="clear" w:color="auto" w:fill="CCEBF8"/>
          </w:tcPr>
          <w:p>
            <w:pPr>
              <w:jc w:val="right"/>
              <w:spacing w:after="0"/>
              <w:rPr>
                <w:sz w:val="20"/>
                <w:szCs w:val="20"/>
                <w:color w:val="auto"/>
              </w:rPr>
            </w:pPr>
            <w:r>
              <w:rPr>
                <w:rFonts w:ascii="Arial" w:cs="Arial" w:eastAsia="Arial" w:hAnsi="Arial"/>
                <w:sz w:val="16"/>
                <w:szCs w:val="16"/>
                <w:b w:val="1"/>
                <w:bCs w:val="1"/>
                <w:color w:val="009BDE"/>
              </w:rPr>
              <w:t>No Change in Control</w:t>
            </w:r>
          </w:p>
        </w:tc>
        <w:tc>
          <w:tcPr>
            <w:tcW w:w="180" w:type="dxa"/>
            <w:vAlign w:val="bottom"/>
            <w:tcBorders>
              <w:bottom w:val="single" w:sz="8" w:color="009BDE"/>
            </w:tcBorders>
            <w:shd w:val="clear" w:color="auto" w:fill="CCEBF8"/>
          </w:tcPr>
          <w:p>
            <w:pPr>
              <w:spacing w:after="0"/>
              <w:rPr>
                <w:sz w:val="18"/>
                <w:szCs w:val="18"/>
                <w:color w:val="auto"/>
              </w:rPr>
            </w:pPr>
          </w:p>
        </w:tc>
        <w:tc>
          <w:tcPr>
            <w:tcW w:w="780" w:type="dxa"/>
            <w:vAlign w:val="bottom"/>
            <w:tcBorders>
              <w:bottom w:val="single" w:sz="8" w:color="009BDE"/>
            </w:tcBorders>
            <w:shd w:val="clear" w:color="auto" w:fill="CCEBF8"/>
          </w:tcPr>
          <w:p>
            <w:pPr>
              <w:spacing w:after="0"/>
              <w:rPr>
                <w:sz w:val="18"/>
                <w:szCs w:val="18"/>
                <w:color w:val="auto"/>
              </w:rPr>
            </w:pPr>
          </w:p>
        </w:tc>
        <w:tc>
          <w:tcPr>
            <w:tcW w:w="380" w:type="dxa"/>
            <w:vAlign w:val="bottom"/>
            <w:tcBorders>
              <w:bottom w:val="single" w:sz="8" w:color="CCEBF8"/>
            </w:tcBorders>
            <w:shd w:val="clear" w:color="auto" w:fill="CCEBF8"/>
          </w:tcPr>
          <w:p>
            <w:pPr>
              <w:spacing w:after="0"/>
              <w:rPr>
                <w:sz w:val="18"/>
                <w:szCs w:val="18"/>
                <w:color w:val="auto"/>
              </w:rPr>
            </w:pPr>
          </w:p>
        </w:tc>
        <w:tc>
          <w:tcPr>
            <w:tcW w:w="220" w:type="dxa"/>
            <w:vAlign w:val="bottom"/>
            <w:tcBorders>
              <w:bottom w:val="single" w:sz="8" w:color="009BDE"/>
            </w:tcBorders>
            <w:shd w:val="clear" w:color="auto" w:fill="CCEBF8"/>
          </w:tcPr>
          <w:p>
            <w:pPr>
              <w:spacing w:after="0"/>
              <w:rPr>
                <w:sz w:val="18"/>
                <w:szCs w:val="18"/>
                <w:color w:val="auto"/>
              </w:rPr>
            </w:pPr>
          </w:p>
        </w:tc>
        <w:tc>
          <w:tcPr>
            <w:tcW w:w="2300" w:type="dxa"/>
            <w:vAlign w:val="bottom"/>
            <w:tcBorders>
              <w:bottom w:val="single" w:sz="8" w:color="009BDE"/>
            </w:tcBorders>
            <w:gridSpan w:val="3"/>
            <w:shd w:val="clear" w:color="auto" w:fill="CCEBF8"/>
          </w:tcPr>
          <w:p>
            <w:pPr>
              <w:ind w:left="320"/>
              <w:spacing w:after="0"/>
              <w:rPr>
                <w:sz w:val="20"/>
                <w:szCs w:val="20"/>
                <w:color w:val="auto"/>
              </w:rPr>
            </w:pPr>
            <w:r>
              <w:rPr>
                <w:rFonts w:ascii="Arial" w:cs="Arial" w:eastAsia="Arial" w:hAnsi="Arial"/>
                <w:sz w:val="16"/>
                <w:szCs w:val="16"/>
                <w:b w:val="1"/>
                <w:bCs w:val="1"/>
                <w:color w:val="009BDE"/>
              </w:rPr>
              <w:t>Change in Control</w:t>
            </w:r>
          </w:p>
        </w:tc>
      </w:tr>
      <w:tr>
        <w:trPr>
          <w:trHeight w:val="180"/>
        </w:trPr>
        <w:tc>
          <w:tcPr>
            <w:tcW w:w="3960" w:type="dxa"/>
            <w:vAlign w:val="bottom"/>
            <w:shd w:val="clear" w:color="auto" w:fill="CCEBF8"/>
          </w:tcPr>
          <w:p>
            <w:pPr>
              <w:spacing w:after="0"/>
              <w:rPr>
                <w:sz w:val="15"/>
                <w:szCs w:val="15"/>
                <w:color w:val="auto"/>
              </w:rPr>
            </w:pPr>
          </w:p>
        </w:tc>
        <w:tc>
          <w:tcPr>
            <w:tcW w:w="380" w:type="dxa"/>
            <w:vAlign w:val="bottom"/>
            <w:shd w:val="clear" w:color="auto" w:fill="CCEBF8"/>
          </w:tcPr>
          <w:p>
            <w:pPr>
              <w:spacing w:after="0"/>
              <w:rPr>
                <w:sz w:val="15"/>
                <w:szCs w:val="15"/>
                <w:color w:val="auto"/>
              </w:rPr>
            </w:pPr>
          </w:p>
        </w:tc>
        <w:tc>
          <w:tcPr>
            <w:tcW w:w="100" w:type="dxa"/>
            <w:vAlign w:val="bottom"/>
            <w:shd w:val="clear" w:color="auto" w:fill="CCEBF8"/>
          </w:tcPr>
          <w:p>
            <w:pPr>
              <w:spacing w:after="0"/>
              <w:rPr>
                <w:sz w:val="15"/>
                <w:szCs w:val="15"/>
                <w:color w:val="auto"/>
              </w:rPr>
            </w:pPr>
          </w:p>
        </w:tc>
        <w:tc>
          <w:tcPr>
            <w:tcW w:w="1220" w:type="dxa"/>
            <w:vAlign w:val="bottom"/>
            <w:shd w:val="clear" w:color="auto" w:fill="CCEBF8"/>
          </w:tcPr>
          <w:p>
            <w:pPr>
              <w:spacing w:after="0"/>
              <w:rPr>
                <w:sz w:val="15"/>
                <w:szCs w:val="15"/>
                <w:color w:val="auto"/>
              </w:rPr>
            </w:pPr>
          </w:p>
        </w:tc>
        <w:tc>
          <w:tcPr>
            <w:tcW w:w="320" w:type="dxa"/>
            <w:vAlign w:val="bottom"/>
            <w:shd w:val="clear" w:color="auto" w:fill="CCEBF8"/>
          </w:tcPr>
          <w:p>
            <w:pPr>
              <w:spacing w:after="0"/>
              <w:rPr>
                <w:sz w:val="15"/>
                <w:szCs w:val="15"/>
                <w:color w:val="auto"/>
              </w:rPr>
            </w:pPr>
          </w:p>
        </w:tc>
        <w:tc>
          <w:tcPr>
            <w:tcW w:w="1080" w:type="dxa"/>
            <w:vAlign w:val="bottom"/>
            <w:shd w:val="clear" w:color="auto" w:fill="CCEBF8"/>
          </w:tcPr>
          <w:p>
            <w:pPr>
              <w:spacing w:after="0"/>
              <w:rPr>
                <w:sz w:val="15"/>
                <w:szCs w:val="15"/>
                <w:color w:val="auto"/>
              </w:rPr>
            </w:pPr>
          </w:p>
        </w:tc>
        <w:tc>
          <w:tcPr>
            <w:tcW w:w="180" w:type="dxa"/>
            <w:vAlign w:val="bottom"/>
            <w:shd w:val="clear" w:color="auto" w:fill="CCEBF8"/>
          </w:tcPr>
          <w:p>
            <w:pPr>
              <w:spacing w:after="0"/>
              <w:rPr>
                <w:sz w:val="15"/>
                <w:szCs w:val="15"/>
                <w:color w:val="auto"/>
              </w:rPr>
            </w:pPr>
          </w:p>
        </w:tc>
        <w:tc>
          <w:tcPr>
            <w:tcW w:w="780" w:type="dxa"/>
            <w:vAlign w:val="bottom"/>
            <w:shd w:val="clear" w:color="auto" w:fill="CCEBF8"/>
          </w:tcPr>
          <w:p>
            <w:pPr>
              <w:spacing w:after="0"/>
              <w:rPr>
                <w:sz w:val="15"/>
                <w:szCs w:val="15"/>
                <w:color w:val="auto"/>
              </w:rPr>
            </w:pPr>
          </w:p>
        </w:tc>
        <w:tc>
          <w:tcPr>
            <w:tcW w:w="380" w:type="dxa"/>
            <w:vAlign w:val="bottom"/>
            <w:shd w:val="clear" w:color="auto" w:fill="CCEBF8"/>
          </w:tcPr>
          <w:p>
            <w:pPr>
              <w:spacing w:after="0"/>
              <w:rPr>
                <w:sz w:val="15"/>
                <w:szCs w:val="15"/>
                <w:color w:val="auto"/>
              </w:rPr>
            </w:pPr>
          </w:p>
        </w:tc>
        <w:tc>
          <w:tcPr>
            <w:tcW w:w="220" w:type="dxa"/>
            <w:vAlign w:val="bottom"/>
            <w:shd w:val="clear" w:color="auto" w:fill="CCEBF8"/>
          </w:tcPr>
          <w:p>
            <w:pPr>
              <w:spacing w:after="0"/>
              <w:rPr>
                <w:sz w:val="15"/>
                <w:szCs w:val="15"/>
                <w:color w:val="auto"/>
              </w:rPr>
            </w:pPr>
          </w:p>
        </w:tc>
        <w:tc>
          <w:tcPr>
            <w:tcW w:w="900" w:type="dxa"/>
            <w:vAlign w:val="bottom"/>
            <w:shd w:val="clear" w:color="auto" w:fill="CCEBF8"/>
          </w:tcPr>
          <w:p>
            <w:pPr>
              <w:spacing w:after="0"/>
              <w:rPr>
                <w:sz w:val="15"/>
                <w:szCs w:val="15"/>
                <w:color w:val="auto"/>
              </w:rPr>
            </w:pPr>
          </w:p>
        </w:tc>
        <w:tc>
          <w:tcPr>
            <w:tcW w:w="300" w:type="dxa"/>
            <w:vAlign w:val="bottom"/>
            <w:shd w:val="clear" w:color="auto" w:fill="CCEBF8"/>
          </w:tcPr>
          <w:p>
            <w:pPr>
              <w:spacing w:after="0"/>
              <w:rPr>
                <w:sz w:val="15"/>
                <w:szCs w:val="15"/>
                <w:color w:val="auto"/>
              </w:rPr>
            </w:pPr>
          </w:p>
        </w:tc>
        <w:tc>
          <w:tcPr>
            <w:tcW w:w="1100" w:type="dxa"/>
            <w:vAlign w:val="bottom"/>
            <w:shd w:val="clear" w:color="auto" w:fill="CCEBF8"/>
          </w:tcPr>
          <w:p>
            <w:pPr>
              <w:jc w:val="center"/>
              <w:ind w:right="60"/>
              <w:spacing w:after="0" w:line="180" w:lineRule="exact"/>
              <w:rPr>
                <w:sz w:val="20"/>
                <w:szCs w:val="20"/>
                <w:color w:val="auto"/>
              </w:rPr>
            </w:pPr>
            <w:r>
              <w:rPr>
                <w:rFonts w:ascii="Arial" w:cs="Arial" w:eastAsia="Arial" w:hAnsi="Arial"/>
                <w:sz w:val="16"/>
                <w:szCs w:val="16"/>
                <w:b w:val="1"/>
                <w:bCs w:val="1"/>
                <w:color w:val="009BDE"/>
              </w:rPr>
              <w:t>Involuntary</w:t>
            </w:r>
          </w:p>
        </w:tc>
      </w:tr>
      <w:tr>
        <w:trPr>
          <w:trHeight w:val="187"/>
        </w:trPr>
        <w:tc>
          <w:tcPr>
            <w:tcW w:w="3960" w:type="dxa"/>
            <w:vAlign w:val="bottom"/>
            <w:shd w:val="clear" w:color="auto" w:fill="CCEBF8"/>
          </w:tcPr>
          <w:p>
            <w:pPr>
              <w:spacing w:after="0"/>
              <w:rPr>
                <w:sz w:val="16"/>
                <w:szCs w:val="16"/>
                <w:color w:val="auto"/>
              </w:rPr>
            </w:pPr>
          </w:p>
        </w:tc>
        <w:tc>
          <w:tcPr>
            <w:tcW w:w="380" w:type="dxa"/>
            <w:vAlign w:val="bottom"/>
            <w:shd w:val="clear" w:color="auto" w:fill="CCEBF8"/>
          </w:tcPr>
          <w:p>
            <w:pPr>
              <w:spacing w:after="0"/>
              <w:rPr>
                <w:sz w:val="16"/>
                <w:szCs w:val="16"/>
                <w:color w:val="auto"/>
              </w:rPr>
            </w:pPr>
          </w:p>
        </w:tc>
        <w:tc>
          <w:tcPr>
            <w:tcW w:w="100" w:type="dxa"/>
            <w:vAlign w:val="bottom"/>
            <w:shd w:val="clear" w:color="auto" w:fill="CCEBF8"/>
          </w:tcPr>
          <w:p>
            <w:pPr>
              <w:spacing w:after="0"/>
              <w:rPr>
                <w:sz w:val="16"/>
                <w:szCs w:val="16"/>
                <w:color w:val="auto"/>
              </w:rPr>
            </w:pPr>
          </w:p>
        </w:tc>
        <w:tc>
          <w:tcPr>
            <w:tcW w:w="1220" w:type="dxa"/>
            <w:vAlign w:val="bottom"/>
            <w:shd w:val="clear" w:color="auto" w:fill="CCEBF8"/>
          </w:tcPr>
          <w:p>
            <w:pPr>
              <w:spacing w:after="0"/>
              <w:rPr>
                <w:sz w:val="16"/>
                <w:szCs w:val="16"/>
                <w:color w:val="auto"/>
              </w:rPr>
            </w:pPr>
          </w:p>
        </w:tc>
        <w:tc>
          <w:tcPr>
            <w:tcW w:w="320" w:type="dxa"/>
            <w:vAlign w:val="bottom"/>
            <w:shd w:val="clear" w:color="auto" w:fill="CCEBF8"/>
          </w:tcPr>
          <w:p>
            <w:pPr>
              <w:spacing w:after="0"/>
              <w:rPr>
                <w:sz w:val="16"/>
                <w:szCs w:val="16"/>
                <w:color w:val="auto"/>
              </w:rPr>
            </w:pPr>
          </w:p>
        </w:tc>
        <w:tc>
          <w:tcPr>
            <w:tcW w:w="1080" w:type="dxa"/>
            <w:vAlign w:val="bottom"/>
            <w:shd w:val="clear" w:color="auto" w:fill="CCEBF8"/>
          </w:tcPr>
          <w:p>
            <w:pPr>
              <w:spacing w:after="0"/>
              <w:rPr>
                <w:sz w:val="16"/>
                <w:szCs w:val="16"/>
                <w:color w:val="auto"/>
              </w:rPr>
            </w:pPr>
          </w:p>
        </w:tc>
        <w:tc>
          <w:tcPr>
            <w:tcW w:w="180" w:type="dxa"/>
            <w:vAlign w:val="bottom"/>
            <w:shd w:val="clear" w:color="auto" w:fill="CCEBF8"/>
          </w:tcPr>
          <w:p>
            <w:pPr>
              <w:spacing w:after="0"/>
              <w:rPr>
                <w:sz w:val="16"/>
                <w:szCs w:val="16"/>
                <w:color w:val="auto"/>
              </w:rPr>
            </w:pPr>
          </w:p>
        </w:tc>
        <w:tc>
          <w:tcPr>
            <w:tcW w:w="780" w:type="dxa"/>
            <w:vAlign w:val="bottom"/>
            <w:shd w:val="clear" w:color="auto" w:fill="CCEBF8"/>
          </w:tcPr>
          <w:p>
            <w:pPr>
              <w:spacing w:after="0"/>
              <w:rPr>
                <w:sz w:val="16"/>
                <w:szCs w:val="16"/>
                <w:color w:val="auto"/>
              </w:rPr>
            </w:pPr>
          </w:p>
        </w:tc>
        <w:tc>
          <w:tcPr>
            <w:tcW w:w="380" w:type="dxa"/>
            <w:vAlign w:val="bottom"/>
            <w:shd w:val="clear" w:color="auto" w:fill="CCEBF8"/>
          </w:tcPr>
          <w:p>
            <w:pPr>
              <w:spacing w:after="0"/>
              <w:rPr>
                <w:sz w:val="16"/>
                <w:szCs w:val="16"/>
                <w:color w:val="auto"/>
              </w:rPr>
            </w:pPr>
          </w:p>
        </w:tc>
        <w:tc>
          <w:tcPr>
            <w:tcW w:w="220" w:type="dxa"/>
            <w:vAlign w:val="bottom"/>
            <w:shd w:val="clear" w:color="auto" w:fill="CCEBF8"/>
          </w:tcPr>
          <w:p>
            <w:pPr>
              <w:spacing w:after="0"/>
              <w:rPr>
                <w:sz w:val="16"/>
                <w:szCs w:val="16"/>
                <w:color w:val="auto"/>
              </w:rPr>
            </w:pPr>
          </w:p>
        </w:tc>
        <w:tc>
          <w:tcPr>
            <w:tcW w:w="900" w:type="dxa"/>
            <w:vAlign w:val="bottom"/>
            <w:shd w:val="clear" w:color="auto" w:fill="CCEBF8"/>
          </w:tcPr>
          <w:p>
            <w:pPr>
              <w:spacing w:after="0"/>
              <w:rPr>
                <w:sz w:val="16"/>
                <w:szCs w:val="16"/>
                <w:color w:val="auto"/>
              </w:rPr>
            </w:pPr>
          </w:p>
        </w:tc>
        <w:tc>
          <w:tcPr>
            <w:tcW w:w="1400" w:type="dxa"/>
            <w:vAlign w:val="bottom"/>
            <w:gridSpan w:val="2"/>
            <w:shd w:val="clear" w:color="auto" w:fill="CCEBF8"/>
          </w:tcPr>
          <w:p>
            <w:pPr>
              <w:ind w:left="220"/>
              <w:spacing w:after="0"/>
              <w:rPr>
                <w:sz w:val="20"/>
                <w:szCs w:val="20"/>
                <w:color w:val="auto"/>
              </w:rPr>
            </w:pPr>
            <w:r>
              <w:rPr>
                <w:rFonts w:ascii="Arial" w:cs="Arial" w:eastAsia="Arial" w:hAnsi="Arial"/>
                <w:sz w:val="16"/>
                <w:szCs w:val="16"/>
                <w:b w:val="1"/>
                <w:bCs w:val="1"/>
                <w:color w:val="009BDE"/>
              </w:rPr>
              <w:t>Termination in</w:t>
            </w:r>
          </w:p>
        </w:tc>
      </w:tr>
      <w:tr>
        <w:trPr>
          <w:trHeight w:val="187"/>
        </w:trPr>
        <w:tc>
          <w:tcPr>
            <w:tcW w:w="3960" w:type="dxa"/>
            <w:vAlign w:val="bottom"/>
            <w:shd w:val="clear" w:color="auto" w:fill="CCEBF8"/>
          </w:tcPr>
          <w:p>
            <w:pPr>
              <w:spacing w:after="0"/>
              <w:rPr>
                <w:sz w:val="16"/>
                <w:szCs w:val="16"/>
                <w:color w:val="auto"/>
              </w:rPr>
            </w:pPr>
          </w:p>
        </w:tc>
        <w:tc>
          <w:tcPr>
            <w:tcW w:w="380" w:type="dxa"/>
            <w:vAlign w:val="bottom"/>
            <w:shd w:val="clear" w:color="auto" w:fill="CCEBF8"/>
          </w:tcPr>
          <w:p>
            <w:pPr>
              <w:spacing w:after="0"/>
              <w:rPr>
                <w:sz w:val="16"/>
                <w:szCs w:val="16"/>
                <w:color w:val="auto"/>
              </w:rPr>
            </w:pPr>
          </w:p>
        </w:tc>
        <w:tc>
          <w:tcPr>
            <w:tcW w:w="100" w:type="dxa"/>
            <w:vAlign w:val="bottom"/>
            <w:shd w:val="clear" w:color="auto" w:fill="CCEBF8"/>
          </w:tcPr>
          <w:p>
            <w:pPr>
              <w:spacing w:after="0"/>
              <w:rPr>
                <w:sz w:val="16"/>
                <w:szCs w:val="16"/>
                <w:color w:val="auto"/>
              </w:rPr>
            </w:pPr>
          </w:p>
        </w:tc>
        <w:tc>
          <w:tcPr>
            <w:tcW w:w="1220" w:type="dxa"/>
            <w:vAlign w:val="bottom"/>
            <w:shd w:val="clear" w:color="auto" w:fill="CCEBF8"/>
          </w:tcPr>
          <w:p>
            <w:pPr>
              <w:spacing w:after="0"/>
              <w:rPr>
                <w:sz w:val="16"/>
                <w:szCs w:val="16"/>
                <w:color w:val="auto"/>
              </w:rPr>
            </w:pPr>
          </w:p>
        </w:tc>
        <w:tc>
          <w:tcPr>
            <w:tcW w:w="320" w:type="dxa"/>
            <w:vAlign w:val="bottom"/>
            <w:shd w:val="clear" w:color="auto" w:fill="CCEBF8"/>
          </w:tcPr>
          <w:p>
            <w:pPr>
              <w:spacing w:after="0"/>
              <w:rPr>
                <w:sz w:val="16"/>
                <w:szCs w:val="16"/>
                <w:color w:val="auto"/>
              </w:rPr>
            </w:pPr>
          </w:p>
        </w:tc>
        <w:tc>
          <w:tcPr>
            <w:tcW w:w="1080" w:type="dxa"/>
            <w:vAlign w:val="bottom"/>
            <w:shd w:val="clear" w:color="auto" w:fill="CCEBF8"/>
          </w:tcPr>
          <w:p>
            <w:pPr>
              <w:spacing w:after="0"/>
              <w:rPr>
                <w:sz w:val="16"/>
                <w:szCs w:val="16"/>
                <w:color w:val="auto"/>
              </w:rPr>
            </w:pPr>
          </w:p>
        </w:tc>
        <w:tc>
          <w:tcPr>
            <w:tcW w:w="180" w:type="dxa"/>
            <w:vAlign w:val="bottom"/>
            <w:shd w:val="clear" w:color="auto" w:fill="CCEBF8"/>
          </w:tcPr>
          <w:p>
            <w:pPr>
              <w:spacing w:after="0"/>
              <w:rPr>
                <w:sz w:val="16"/>
                <w:szCs w:val="16"/>
                <w:color w:val="auto"/>
              </w:rPr>
            </w:pPr>
          </w:p>
        </w:tc>
        <w:tc>
          <w:tcPr>
            <w:tcW w:w="780" w:type="dxa"/>
            <w:vAlign w:val="bottom"/>
            <w:shd w:val="clear" w:color="auto" w:fill="CCEBF8"/>
          </w:tcPr>
          <w:p>
            <w:pPr>
              <w:spacing w:after="0"/>
              <w:rPr>
                <w:sz w:val="16"/>
                <w:szCs w:val="16"/>
                <w:color w:val="auto"/>
              </w:rPr>
            </w:pPr>
          </w:p>
        </w:tc>
        <w:tc>
          <w:tcPr>
            <w:tcW w:w="380" w:type="dxa"/>
            <w:vAlign w:val="bottom"/>
            <w:shd w:val="clear" w:color="auto" w:fill="CCEBF8"/>
          </w:tcPr>
          <w:p>
            <w:pPr>
              <w:spacing w:after="0"/>
              <w:rPr>
                <w:sz w:val="16"/>
                <w:szCs w:val="16"/>
                <w:color w:val="auto"/>
              </w:rPr>
            </w:pPr>
          </w:p>
        </w:tc>
        <w:tc>
          <w:tcPr>
            <w:tcW w:w="220" w:type="dxa"/>
            <w:vAlign w:val="bottom"/>
            <w:shd w:val="clear" w:color="auto" w:fill="CCEBF8"/>
          </w:tcPr>
          <w:p>
            <w:pPr>
              <w:spacing w:after="0"/>
              <w:rPr>
                <w:sz w:val="16"/>
                <w:szCs w:val="16"/>
                <w:color w:val="auto"/>
              </w:rPr>
            </w:pPr>
          </w:p>
        </w:tc>
        <w:tc>
          <w:tcPr>
            <w:tcW w:w="900" w:type="dxa"/>
            <w:vAlign w:val="bottom"/>
            <w:shd w:val="clear" w:color="auto" w:fill="CCEBF8"/>
          </w:tcPr>
          <w:p>
            <w:pPr>
              <w:spacing w:after="0"/>
              <w:rPr>
                <w:sz w:val="16"/>
                <w:szCs w:val="16"/>
                <w:color w:val="auto"/>
              </w:rPr>
            </w:pPr>
          </w:p>
        </w:tc>
        <w:tc>
          <w:tcPr>
            <w:tcW w:w="300" w:type="dxa"/>
            <w:vAlign w:val="bottom"/>
            <w:shd w:val="clear" w:color="auto" w:fill="CCEBF8"/>
          </w:tcPr>
          <w:p>
            <w:pPr>
              <w:spacing w:after="0"/>
              <w:rPr>
                <w:sz w:val="16"/>
                <w:szCs w:val="16"/>
                <w:color w:val="auto"/>
              </w:rPr>
            </w:pPr>
          </w:p>
        </w:tc>
        <w:tc>
          <w:tcPr>
            <w:tcW w:w="1100" w:type="dxa"/>
            <w:vAlign w:val="bottom"/>
            <w:shd w:val="clear" w:color="auto" w:fill="CCEBF8"/>
          </w:tcPr>
          <w:p>
            <w:pPr>
              <w:jc w:val="center"/>
              <w:ind w:right="60"/>
              <w:spacing w:after="0"/>
              <w:rPr>
                <w:sz w:val="20"/>
                <w:szCs w:val="20"/>
                <w:color w:val="auto"/>
              </w:rPr>
            </w:pPr>
            <w:r>
              <w:rPr>
                <w:rFonts w:ascii="Arial" w:cs="Arial" w:eastAsia="Arial" w:hAnsi="Arial"/>
                <w:sz w:val="16"/>
                <w:szCs w:val="16"/>
                <w:b w:val="1"/>
                <w:bCs w:val="1"/>
                <w:color w:val="009BDE"/>
                <w:w w:val="98"/>
              </w:rPr>
              <w:t>connection</w:t>
            </w:r>
          </w:p>
        </w:tc>
      </w:tr>
      <w:tr>
        <w:trPr>
          <w:trHeight w:val="187"/>
        </w:trPr>
        <w:tc>
          <w:tcPr>
            <w:tcW w:w="3960" w:type="dxa"/>
            <w:vAlign w:val="bottom"/>
            <w:shd w:val="clear" w:color="auto" w:fill="CCEBF8"/>
          </w:tcPr>
          <w:p>
            <w:pPr>
              <w:spacing w:after="0"/>
              <w:rPr>
                <w:sz w:val="16"/>
                <w:szCs w:val="16"/>
                <w:color w:val="auto"/>
              </w:rPr>
            </w:pPr>
          </w:p>
        </w:tc>
        <w:tc>
          <w:tcPr>
            <w:tcW w:w="380" w:type="dxa"/>
            <w:vAlign w:val="bottom"/>
            <w:shd w:val="clear" w:color="auto" w:fill="CCEBF8"/>
          </w:tcPr>
          <w:p>
            <w:pPr>
              <w:spacing w:after="0"/>
              <w:rPr>
                <w:sz w:val="16"/>
                <w:szCs w:val="16"/>
                <w:color w:val="auto"/>
              </w:rPr>
            </w:pPr>
          </w:p>
        </w:tc>
        <w:tc>
          <w:tcPr>
            <w:tcW w:w="100" w:type="dxa"/>
            <w:vAlign w:val="bottom"/>
            <w:shd w:val="clear" w:color="auto" w:fill="CCEBF8"/>
          </w:tcPr>
          <w:p>
            <w:pPr>
              <w:spacing w:after="0"/>
              <w:rPr>
                <w:sz w:val="16"/>
                <w:szCs w:val="16"/>
                <w:color w:val="auto"/>
              </w:rPr>
            </w:pPr>
          </w:p>
        </w:tc>
        <w:tc>
          <w:tcPr>
            <w:tcW w:w="1220" w:type="dxa"/>
            <w:vAlign w:val="bottom"/>
            <w:shd w:val="clear" w:color="auto" w:fill="CCEBF8"/>
          </w:tcPr>
          <w:p>
            <w:pPr>
              <w:jc w:val="right"/>
              <w:ind w:right="260"/>
              <w:spacing w:after="0"/>
              <w:rPr>
                <w:sz w:val="20"/>
                <w:szCs w:val="20"/>
                <w:color w:val="auto"/>
              </w:rPr>
            </w:pPr>
            <w:r>
              <w:rPr>
                <w:rFonts w:ascii="Arial" w:cs="Arial" w:eastAsia="Arial" w:hAnsi="Arial"/>
                <w:sz w:val="16"/>
                <w:szCs w:val="16"/>
                <w:b w:val="1"/>
                <w:bCs w:val="1"/>
                <w:color w:val="009BDE"/>
                <w:w w:val="99"/>
              </w:rPr>
              <w:t>Involuntary</w:t>
            </w:r>
          </w:p>
        </w:tc>
        <w:tc>
          <w:tcPr>
            <w:tcW w:w="1400" w:type="dxa"/>
            <w:vAlign w:val="bottom"/>
            <w:gridSpan w:val="2"/>
            <w:shd w:val="clear" w:color="auto" w:fill="CCEBF8"/>
          </w:tcPr>
          <w:p>
            <w:pPr>
              <w:jc w:val="right"/>
              <w:ind w:right="360"/>
              <w:spacing w:after="0"/>
              <w:rPr>
                <w:sz w:val="20"/>
                <w:szCs w:val="20"/>
                <w:color w:val="auto"/>
              </w:rPr>
            </w:pPr>
            <w:r>
              <w:rPr>
                <w:rFonts w:ascii="Arial" w:cs="Arial" w:eastAsia="Arial" w:hAnsi="Arial"/>
                <w:sz w:val="16"/>
                <w:szCs w:val="16"/>
                <w:b w:val="1"/>
                <w:bCs w:val="1"/>
                <w:color w:val="009BDE"/>
              </w:rPr>
              <w:t>Death or</w:t>
            </w:r>
          </w:p>
        </w:tc>
        <w:tc>
          <w:tcPr>
            <w:tcW w:w="180" w:type="dxa"/>
            <w:vAlign w:val="bottom"/>
            <w:shd w:val="clear" w:color="auto" w:fill="CCEBF8"/>
          </w:tcPr>
          <w:p>
            <w:pPr>
              <w:spacing w:after="0"/>
              <w:rPr>
                <w:sz w:val="16"/>
                <w:szCs w:val="16"/>
                <w:color w:val="auto"/>
              </w:rPr>
            </w:pPr>
          </w:p>
        </w:tc>
        <w:tc>
          <w:tcPr>
            <w:tcW w:w="780" w:type="dxa"/>
            <w:vAlign w:val="bottom"/>
            <w:shd w:val="clear" w:color="auto" w:fill="CCEBF8"/>
          </w:tcPr>
          <w:p>
            <w:pPr>
              <w:spacing w:after="0"/>
              <w:rPr>
                <w:sz w:val="16"/>
                <w:szCs w:val="16"/>
                <w:color w:val="auto"/>
              </w:rPr>
            </w:pPr>
          </w:p>
        </w:tc>
        <w:tc>
          <w:tcPr>
            <w:tcW w:w="380" w:type="dxa"/>
            <w:vAlign w:val="bottom"/>
            <w:shd w:val="clear" w:color="auto" w:fill="CCEBF8"/>
          </w:tcPr>
          <w:p>
            <w:pPr>
              <w:spacing w:after="0"/>
              <w:rPr>
                <w:sz w:val="16"/>
                <w:szCs w:val="16"/>
                <w:color w:val="auto"/>
              </w:rPr>
            </w:pPr>
          </w:p>
        </w:tc>
        <w:tc>
          <w:tcPr>
            <w:tcW w:w="220" w:type="dxa"/>
            <w:vAlign w:val="bottom"/>
            <w:shd w:val="clear" w:color="auto" w:fill="CCEBF8"/>
          </w:tcPr>
          <w:p>
            <w:pPr>
              <w:spacing w:after="0"/>
              <w:rPr>
                <w:sz w:val="16"/>
                <w:szCs w:val="16"/>
                <w:color w:val="auto"/>
              </w:rPr>
            </w:pPr>
          </w:p>
        </w:tc>
        <w:tc>
          <w:tcPr>
            <w:tcW w:w="900" w:type="dxa"/>
            <w:vAlign w:val="bottom"/>
            <w:shd w:val="clear" w:color="auto" w:fill="CCEBF8"/>
          </w:tcPr>
          <w:p>
            <w:pPr>
              <w:ind w:left="120"/>
              <w:spacing w:after="0"/>
              <w:rPr>
                <w:sz w:val="20"/>
                <w:szCs w:val="20"/>
                <w:color w:val="auto"/>
              </w:rPr>
            </w:pPr>
            <w:r>
              <w:rPr>
                <w:rFonts w:ascii="Arial" w:cs="Arial" w:eastAsia="Arial" w:hAnsi="Arial"/>
                <w:sz w:val="16"/>
                <w:szCs w:val="16"/>
                <w:b w:val="1"/>
                <w:bCs w:val="1"/>
                <w:color w:val="009BDE"/>
              </w:rPr>
              <w:t>No</w:t>
            </w:r>
          </w:p>
        </w:tc>
        <w:tc>
          <w:tcPr>
            <w:tcW w:w="1400" w:type="dxa"/>
            <w:vAlign w:val="bottom"/>
            <w:gridSpan w:val="2"/>
            <w:shd w:val="clear" w:color="auto" w:fill="CCEBF8"/>
          </w:tcPr>
          <w:p>
            <w:pPr>
              <w:jc w:val="center"/>
              <w:ind w:left="64"/>
              <w:spacing w:after="0"/>
              <w:rPr>
                <w:sz w:val="20"/>
                <w:szCs w:val="20"/>
                <w:color w:val="auto"/>
              </w:rPr>
            </w:pPr>
            <w:r>
              <w:rPr>
                <w:rFonts w:ascii="Arial" w:cs="Arial" w:eastAsia="Arial" w:hAnsi="Arial"/>
                <w:sz w:val="16"/>
                <w:szCs w:val="16"/>
                <w:b w:val="1"/>
                <w:bCs w:val="1"/>
                <w:color w:val="009BDE"/>
              </w:rPr>
              <w:t>with a change</w:t>
            </w:r>
          </w:p>
        </w:tc>
      </w:tr>
      <w:tr>
        <w:trPr>
          <w:trHeight w:val="235"/>
        </w:trPr>
        <w:tc>
          <w:tcPr>
            <w:tcW w:w="3960" w:type="dxa"/>
            <w:vAlign w:val="bottom"/>
            <w:shd w:val="clear" w:color="auto" w:fill="CCEBF8"/>
          </w:tcPr>
          <w:p>
            <w:pPr>
              <w:spacing w:after="0"/>
              <w:rPr>
                <w:sz w:val="20"/>
                <w:szCs w:val="20"/>
                <w:color w:val="auto"/>
              </w:rPr>
            </w:pPr>
            <w:r>
              <w:rPr>
                <w:rFonts w:ascii="Arial" w:cs="Arial" w:eastAsia="Arial" w:hAnsi="Arial"/>
                <w:sz w:val="16"/>
                <w:szCs w:val="16"/>
                <w:b w:val="1"/>
                <w:bCs w:val="1"/>
                <w:color w:val="009BDE"/>
              </w:rPr>
              <w:t>  Name</w:t>
            </w:r>
          </w:p>
        </w:tc>
        <w:tc>
          <w:tcPr>
            <w:tcW w:w="380" w:type="dxa"/>
            <w:vAlign w:val="bottom"/>
            <w:shd w:val="clear" w:color="auto" w:fill="CCEBF8"/>
          </w:tcPr>
          <w:p>
            <w:pPr>
              <w:spacing w:after="0"/>
              <w:rPr>
                <w:sz w:val="20"/>
                <w:szCs w:val="20"/>
                <w:color w:val="auto"/>
              </w:rPr>
            </w:pPr>
          </w:p>
        </w:tc>
        <w:tc>
          <w:tcPr>
            <w:tcW w:w="1320" w:type="dxa"/>
            <w:vAlign w:val="bottom"/>
            <w:gridSpan w:val="2"/>
            <w:shd w:val="clear" w:color="auto" w:fill="CCEBF8"/>
          </w:tcPr>
          <w:p>
            <w:pPr>
              <w:spacing w:after="0"/>
              <w:rPr>
                <w:sz w:val="20"/>
                <w:szCs w:val="20"/>
                <w:color w:val="auto"/>
              </w:rPr>
            </w:pPr>
            <w:r>
              <w:rPr>
                <w:rFonts w:ascii="Arial" w:cs="Arial" w:eastAsia="Arial" w:hAnsi="Arial"/>
                <w:sz w:val="16"/>
                <w:szCs w:val="16"/>
                <w:b w:val="1"/>
                <w:bCs w:val="1"/>
                <w:color w:val="009BDE"/>
              </w:rPr>
              <w:t>Termination(a)</w:t>
            </w:r>
          </w:p>
        </w:tc>
        <w:tc>
          <w:tcPr>
            <w:tcW w:w="1400" w:type="dxa"/>
            <w:vAlign w:val="bottom"/>
            <w:gridSpan w:val="2"/>
            <w:shd w:val="clear" w:color="auto" w:fill="CCEBF8"/>
          </w:tcPr>
          <w:p>
            <w:pPr>
              <w:jc w:val="right"/>
              <w:ind w:right="340"/>
              <w:spacing w:after="0"/>
              <w:rPr>
                <w:sz w:val="20"/>
                <w:szCs w:val="20"/>
                <w:color w:val="auto"/>
              </w:rPr>
            </w:pPr>
            <w:r>
              <w:rPr>
                <w:rFonts w:ascii="Arial" w:cs="Arial" w:eastAsia="Arial" w:hAnsi="Arial"/>
                <w:sz w:val="16"/>
                <w:szCs w:val="16"/>
                <w:b w:val="1"/>
                <w:bCs w:val="1"/>
                <w:color w:val="009BDE"/>
              </w:rPr>
              <w:t>Disability</w:t>
            </w:r>
          </w:p>
        </w:tc>
        <w:tc>
          <w:tcPr>
            <w:tcW w:w="960" w:type="dxa"/>
            <w:vAlign w:val="bottom"/>
            <w:gridSpan w:val="2"/>
            <w:shd w:val="clear" w:color="auto" w:fill="CCEBF8"/>
          </w:tcPr>
          <w:p>
            <w:pPr>
              <w:ind w:left="60"/>
              <w:spacing w:after="0"/>
              <w:rPr>
                <w:sz w:val="20"/>
                <w:szCs w:val="20"/>
                <w:color w:val="auto"/>
              </w:rPr>
            </w:pPr>
            <w:r>
              <w:rPr>
                <w:rFonts w:ascii="Arial" w:cs="Arial" w:eastAsia="Arial" w:hAnsi="Arial"/>
                <w:sz w:val="16"/>
                <w:szCs w:val="16"/>
                <w:b w:val="1"/>
                <w:bCs w:val="1"/>
                <w:color w:val="009BDE"/>
              </w:rPr>
              <w:t>Retirement</w:t>
            </w:r>
          </w:p>
        </w:tc>
        <w:tc>
          <w:tcPr>
            <w:tcW w:w="380" w:type="dxa"/>
            <w:vAlign w:val="bottom"/>
            <w:shd w:val="clear" w:color="auto" w:fill="CCEBF8"/>
          </w:tcPr>
          <w:p>
            <w:pPr>
              <w:spacing w:after="0"/>
              <w:rPr>
                <w:sz w:val="20"/>
                <w:szCs w:val="20"/>
                <w:color w:val="auto"/>
              </w:rPr>
            </w:pPr>
          </w:p>
        </w:tc>
        <w:tc>
          <w:tcPr>
            <w:tcW w:w="1120" w:type="dxa"/>
            <w:vAlign w:val="bottom"/>
            <w:gridSpan w:val="2"/>
            <w:shd w:val="clear" w:color="auto" w:fill="CCEBF8"/>
          </w:tcPr>
          <w:p>
            <w:pPr>
              <w:spacing w:after="0"/>
              <w:rPr>
                <w:sz w:val="20"/>
                <w:szCs w:val="20"/>
                <w:color w:val="auto"/>
              </w:rPr>
            </w:pPr>
            <w:r>
              <w:rPr>
                <w:rFonts w:ascii="Arial" w:cs="Arial" w:eastAsia="Arial" w:hAnsi="Arial"/>
                <w:sz w:val="16"/>
                <w:szCs w:val="16"/>
                <w:b w:val="1"/>
                <w:bCs w:val="1"/>
                <w:color w:val="009BDE"/>
              </w:rPr>
              <w:t>Termination</w:t>
            </w:r>
          </w:p>
        </w:tc>
        <w:tc>
          <w:tcPr>
            <w:tcW w:w="300" w:type="dxa"/>
            <w:vAlign w:val="bottom"/>
            <w:shd w:val="clear" w:color="auto" w:fill="CCEBF8"/>
          </w:tcPr>
          <w:p>
            <w:pPr>
              <w:spacing w:after="0"/>
              <w:rPr>
                <w:sz w:val="20"/>
                <w:szCs w:val="20"/>
                <w:color w:val="auto"/>
              </w:rPr>
            </w:pPr>
          </w:p>
        </w:tc>
        <w:tc>
          <w:tcPr>
            <w:tcW w:w="1100" w:type="dxa"/>
            <w:vAlign w:val="bottom"/>
            <w:shd w:val="clear" w:color="auto" w:fill="CCEBF8"/>
          </w:tcPr>
          <w:p>
            <w:pPr>
              <w:jc w:val="center"/>
              <w:ind w:right="60"/>
              <w:spacing w:after="0"/>
              <w:rPr>
                <w:sz w:val="20"/>
                <w:szCs w:val="20"/>
                <w:color w:val="auto"/>
              </w:rPr>
            </w:pPr>
            <w:r>
              <w:rPr>
                <w:rFonts w:ascii="Arial" w:cs="Arial" w:eastAsia="Arial" w:hAnsi="Arial"/>
                <w:sz w:val="16"/>
                <w:szCs w:val="16"/>
                <w:b w:val="1"/>
                <w:bCs w:val="1"/>
                <w:color w:val="009BDE"/>
                <w:w w:val="98"/>
              </w:rPr>
              <w:t>in control(b)</w:t>
            </w:r>
          </w:p>
        </w:tc>
      </w:tr>
      <w:tr>
        <w:trPr>
          <w:trHeight w:val="114"/>
        </w:trPr>
        <w:tc>
          <w:tcPr>
            <w:tcW w:w="3960" w:type="dxa"/>
            <w:vAlign w:val="bottom"/>
            <w:tcBorders>
              <w:bottom w:val="single" w:sz="8" w:color="009BDE"/>
            </w:tcBorders>
            <w:shd w:val="clear" w:color="auto" w:fill="CCEBF8"/>
          </w:tcPr>
          <w:p>
            <w:pPr>
              <w:spacing w:after="0"/>
              <w:rPr>
                <w:sz w:val="9"/>
                <w:szCs w:val="9"/>
                <w:color w:val="auto"/>
              </w:rPr>
            </w:pPr>
          </w:p>
        </w:tc>
        <w:tc>
          <w:tcPr>
            <w:tcW w:w="380" w:type="dxa"/>
            <w:vAlign w:val="bottom"/>
            <w:tcBorders>
              <w:bottom w:val="single" w:sz="8" w:color="009BDE"/>
            </w:tcBorders>
            <w:shd w:val="clear" w:color="auto" w:fill="CCEBF8"/>
          </w:tcPr>
          <w:p>
            <w:pPr>
              <w:spacing w:after="0"/>
              <w:rPr>
                <w:sz w:val="9"/>
                <w:szCs w:val="9"/>
                <w:color w:val="auto"/>
              </w:rPr>
            </w:pPr>
          </w:p>
        </w:tc>
        <w:tc>
          <w:tcPr>
            <w:tcW w:w="100" w:type="dxa"/>
            <w:vAlign w:val="bottom"/>
            <w:tcBorders>
              <w:bottom w:val="single" w:sz="8" w:color="009BDE"/>
            </w:tcBorders>
            <w:shd w:val="clear" w:color="auto" w:fill="CCEBF8"/>
          </w:tcPr>
          <w:p>
            <w:pPr>
              <w:spacing w:after="0"/>
              <w:rPr>
                <w:sz w:val="9"/>
                <w:szCs w:val="9"/>
                <w:color w:val="auto"/>
              </w:rPr>
            </w:pPr>
          </w:p>
        </w:tc>
        <w:tc>
          <w:tcPr>
            <w:tcW w:w="1220" w:type="dxa"/>
            <w:vAlign w:val="bottom"/>
            <w:tcBorders>
              <w:bottom w:val="single" w:sz="8" w:color="009BDE"/>
            </w:tcBorders>
            <w:shd w:val="clear" w:color="auto" w:fill="CCEBF8"/>
          </w:tcPr>
          <w:p>
            <w:pPr>
              <w:spacing w:after="0"/>
              <w:rPr>
                <w:sz w:val="9"/>
                <w:szCs w:val="9"/>
                <w:color w:val="auto"/>
              </w:rPr>
            </w:pPr>
          </w:p>
        </w:tc>
        <w:tc>
          <w:tcPr>
            <w:tcW w:w="320" w:type="dxa"/>
            <w:vAlign w:val="bottom"/>
            <w:tcBorders>
              <w:bottom w:val="single" w:sz="8" w:color="009BDE"/>
            </w:tcBorders>
            <w:shd w:val="clear" w:color="auto" w:fill="CCEBF8"/>
          </w:tcPr>
          <w:p>
            <w:pPr>
              <w:spacing w:after="0"/>
              <w:rPr>
                <w:sz w:val="9"/>
                <w:szCs w:val="9"/>
                <w:color w:val="auto"/>
              </w:rPr>
            </w:pPr>
          </w:p>
        </w:tc>
        <w:tc>
          <w:tcPr>
            <w:tcW w:w="1080" w:type="dxa"/>
            <w:vAlign w:val="bottom"/>
            <w:tcBorders>
              <w:bottom w:val="single" w:sz="8" w:color="009BDE"/>
            </w:tcBorders>
            <w:shd w:val="clear" w:color="auto" w:fill="CCEBF8"/>
          </w:tcPr>
          <w:p>
            <w:pPr>
              <w:spacing w:after="0"/>
              <w:rPr>
                <w:sz w:val="9"/>
                <w:szCs w:val="9"/>
                <w:color w:val="auto"/>
              </w:rPr>
            </w:pPr>
          </w:p>
        </w:tc>
        <w:tc>
          <w:tcPr>
            <w:tcW w:w="180" w:type="dxa"/>
            <w:vAlign w:val="bottom"/>
            <w:tcBorders>
              <w:bottom w:val="single" w:sz="8" w:color="009BDE"/>
            </w:tcBorders>
            <w:shd w:val="clear" w:color="auto" w:fill="CCEBF8"/>
          </w:tcPr>
          <w:p>
            <w:pPr>
              <w:spacing w:after="0"/>
              <w:rPr>
                <w:sz w:val="9"/>
                <w:szCs w:val="9"/>
                <w:color w:val="auto"/>
              </w:rPr>
            </w:pPr>
          </w:p>
        </w:tc>
        <w:tc>
          <w:tcPr>
            <w:tcW w:w="780" w:type="dxa"/>
            <w:vAlign w:val="bottom"/>
            <w:tcBorders>
              <w:bottom w:val="single" w:sz="8" w:color="009BDE"/>
            </w:tcBorders>
            <w:shd w:val="clear" w:color="auto" w:fill="CCEBF8"/>
          </w:tcPr>
          <w:p>
            <w:pPr>
              <w:spacing w:after="0"/>
              <w:rPr>
                <w:sz w:val="9"/>
                <w:szCs w:val="9"/>
                <w:color w:val="auto"/>
              </w:rPr>
            </w:pPr>
          </w:p>
        </w:tc>
        <w:tc>
          <w:tcPr>
            <w:tcW w:w="380" w:type="dxa"/>
            <w:vAlign w:val="bottom"/>
            <w:tcBorders>
              <w:bottom w:val="single" w:sz="8" w:color="009BDE"/>
            </w:tcBorders>
            <w:shd w:val="clear" w:color="auto" w:fill="CCEBF8"/>
          </w:tcPr>
          <w:p>
            <w:pPr>
              <w:spacing w:after="0"/>
              <w:rPr>
                <w:sz w:val="9"/>
                <w:szCs w:val="9"/>
                <w:color w:val="auto"/>
              </w:rPr>
            </w:pPr>
          </w:p>
        </w:tc>
        <w:tc>
          <w:tcPr>
            <w:tcW w:w="220" w:type="dxa"/>
            <w:vAlign w:val="bottom"/>
            <w:tcBorders>
              <w:bottom w:val="single" w:sz="8" w:color="009BDE"/>
            </w:tcBorders>
            <w:shd w:val="clear" w:color="auto" w:fill="CCEBF8"/>
          </w:tcPr>
          <w:p>
            <w:pPr>
              <w:spacing w:after="0"/>
              <w:rPr>
                <w:sz w:val="9"/>
                <w:szCs w:val="9"/>
                <w:color w:val="auto"/>
              </w:rPr>
            </w:pPr>
          </w:p>
        </w:tc>
        <w:tc>
          <w:tcPr>
            <w:tcW w:w="900" w:type="dxa"/>
            <w:vAlign w:val="bottom"/>
            <w:tcBorders>
              <w:bottom w:val="single" w:sz="8" w:color="009BDE"/>
            </w:tcBorders>
            <w:shd w:val="clear" w:color="auto" w:fill="CCEBF8"/>
          </w:tcPr>
          <w:p>
            <w:pPr>
              <w:spacing w:after="0"/>
              <w:rPr>
                <w:sz w:val="9"/>
                <w:szCs w:val="9"/>
                <w:color w:val="auto"/>
              </w:rPr>
            </w:pPr>
          </w:p>
        </w:tc>
        <w:tc>
          <w:tcPr>
            <w:tcW w:w="300" w:type="dxa"/>
            <w:vAlign w:val="bottom"/>
            <w:tcBorders>
              <w:bottom w:val="single" w:sz="8" w:color="009BDE"/>
            </w:tcBorders>
            <w:shd w:val="clear" w:color="auto" w:fill="CCEBF8"/>
          </w:tcPr>
          <w:p>
            <w:pPr>
              <w:spacing w:after="0"/>
              <w:rPr>
                <w:sz w:val="9"/>
                <w:szCs w:val="9"/>
                <w:color w:val="auto"/>
              </w:rPr>
            </w:pPr>
          </w:p>
        </w:tc>
        <w:tc>
          <w:tcPr>
            <w:tcW w:w="1100" w:type="dxa"/>
            <w:vAlign w:val="bottom"/>
            <w:tcBorders>
              <w:bottom w:val="single" w:sz="8" w:color="009BDE"/>
            </w:tcBorders>
            <w:shd w:val="clear" w:color="auto" w:fill="CCEBF8"/>
          </w:tcPr>
          <w:p>
            <w:pPr>
              <w:spacing w:after="0"/>
              <w:rPr>
                <w:sz w:val="9"/>
                <w:szCs w:val="9"/>
                <w:color w:val="auto"/>
              </w:rPr>
            </w:pPr>
          </w:p>
        </w:tc>
      </w:tr>
      <w:tr>
        <w:trPr>
          <w:trHeight w:val="301"/>
        </w:trPr>
        <w:tc>
          <w:tcPr>
            <w:tcW w:w="3960" w:type="dxa"/>
            <w:vAlign w:val="bottom"/>
            <w:tcBorders>
              <w:bottom w:val="single" w:sz="8" w:color="009BDE"/>
            </w:tcBorders>
          </w:tcPr>
          <w:p>
            <w:pPr>
              <w:ind w:left="80"/>
              <w:spacing w:after="0"/>
              <w:rPr>
                <w:sz w:val="20"/>
                <w:szCs w:val="20"/>
                <w:color w:val="auto"/>
              </w:rPr>
            </w:pPr>
            <w:r>
              <w:rPr>
                <w:rFonts w:ascii="Arial" w:cs="Arial" w:eastAsia="Arial" w:hAnsi="Arial"/>
                <w:sz w:val="16"/>
                <w:szCs w:val="16"/>
                <w:b w:val="1"/>
                <w:bCs w:val="1"/>
                <w:color w:val="auto"/>
              </w:rPr>
              <w:t>Tarrant Sibley</w:t>
            </w:r>
          </w:p>
        </w:tc>
        <w:tc>
          <w:tcPr>
            <w:tcW w:w="380" w:type="dxa"/>
            <w:vAlign w:val="bottom"/>
            <w:tcBorders>
              <w:bottom w:val="single" w:sz="8" w:color="009BDE"/>
            </w:tcBorders>
          </w:tcPr>
          <w:p>
            <w:pPr>
              <w:spacing w:after="0"/>
              <w:rPr>
                <w:sz w:val="24"/>
                <w:szCs w:val="24"/>
                <w:color w:val="auto"/>
              </w:rPr>
            </w:pPr>
          </w:p>
        </w:tc>
        <w:tc>
          <w:tcPr>
            <w:tcW w:w="100" w:type="dxa"/>
            <w:vAlign w:val="bottom"/>
            <w:tcBorders>
              <w:bottom w:val="single" w:sz="8" w:color="009BDE"/>
            </w:tcBorders>
          </w:tcPr>
          <w:p>
            <w:pPr>
              <w:spacing w:after="0"/>
              <w:rPr>
                <w:sz w:val="24"/>
                <w:szCs w:val="24"/>
                <w:color w:val="auto"/>
              </w:rPr>
            </w:pPr>
          </w:p>
        </w:tc>
        <w:tc>
          <w:tcPr>
            <w:tcW w:w="1220" w:type="dxa"/>
            <w:vAlign w:val="bottom"/>
            <w:tcBorders>
              <w:bottom w:val="single" w:sz="8" w:color="009BDE"/>
            </w:tcBorders>
          </w:tcPr>
          <w:p>
            <w:pPr>
              <w:spacing w:after="0"/>
              <w:rPr>
                <w:sz w:val="24"/>
                <w:szCs w:val="24"/>
                <w:color w:val="auto"/>
              </w:rPr>
            </w:pPr>
          </w:p>
        </w:tc>
        <w:tc>
          <w:tcPr>
            <w:tcW w:w="320" w:type="dxa"/>
            <w:vAlign w:val="bottom"/>
            <w:tcBorders>
              <w:bottom w:val="single" w:sz="8" w:color="009BDE"/>
            </w:tcBorders>
          </w:tcPr>
          <w:p>
            <w:pPr>
              <w:spacing w:after="0"/>
              <w:rPr>
                <w:sz w:val="24"/>
                <w:szCs w:val="24"/>
                <w:color w:val="auto"/>
              </w:rPr>
            </w:pPr>
          </w:p>
        </w:tc>
        <w:tc>
          <w:tcPr>
            <w:tcW w:w="1080" w:type="dxa"/>
            <w:vAlign w:val="bottom"/>
            <w:tcBorders>
              <w:bottom w:val="single" w:sz="8" w:color="009BDE"/>
            </w:tcBorders>
          </w:tcPr>
          <w:p>
            <w:pPr>
              <w:spacing w:after="0"/>
              <w:rPr>
                <w:sz w:val="24"/>
                <w:szCs w:val="24"/>
                <w:color w:val="auto"/>
              </w:rPr>
            </w:pPr>
          </w:p>
        </w:tc>
        <w:tc>
          <w:tcPr>
            <w:tcW w:w="180" w:type="dxa"/>
            <w:vAlign w:val="bottom"/>
            <w:tcBorders>
              <w:bottom w:val="single" w:sz="8" w:color="009BDE"/>
            </w:tcBorders>
          </w:tcPr>
          <w:p>
            <w:pPr>
              <w:spacing w:after="0"/>
              <w:rPr>
                <w:sz w:val="24"/>
                <w:szCs w:val="24"/>
                <w:color w:val="auto"/>
              </w:rPr>
            </w:pPr>
          </w:p>
        </w:tc>
        <w:tc>
          <w:tcPr>
            <w:tcW w:w="780" w:type="dxa"/>
            <w:vAlign w:val="bottom"/>
            <w:tcBorders>
              <w:bottom w:val="single" w:sz="8" w:color="009BDE"/>
            </w:tcBorders>
          </w:tcPr>
          <w:p>
            <w:pPr>
              <w:spacing w:after="0"/>
              <w:rPr>
                <w:sz w:val="24"/>
                <w:szCs w:val="24"/>
                <w:color w:val="auto"/>
              </w:rPr>
            </w:pPr>
          </w:p>
        </w:tc>
        <w:tc>
          <w:tcPr>
            <w:tcW w:w="380" w:type="dxa"/>
            <w:vAlign w:val="bottom"/>
            <w:tcBorders>
              <w:bottom w:val="single" w:sz="8" w:color="009BDE"/>
            </w:tcBorders>
          </w:tcPr>
          <w:p>
            <w:pPr>
              <w:spacing w:after="0"/>
              <w:rPr>
                <w:sz w:val="24"/>
                <w:szCs w:val="24"/>
                <w:color w:val="auto"/>
              </w:rPr>
            </w:pPr>
          </w:p>
        </w:tc>
        <w:tc>
          <w:tcPr>
            <w:tcW w:w="220" w:type="dxa"/>
            <w:vAlign w:val="bottom"/>
            <w:tcBorders>
              <w:bottom w:val="single" w:sz="8" w:color="009BDE"/>
            </w:tcBorders>
          </w:tcPr>
          <w:p>
            <w:pPr>
              <w:spacing w:after="0"/>
              <w:rPr>
                <w:sz w:val="24"/>
                <w:szCs w:val="24"/>
                <w:color w:val="auto"/>
              </w:rPr>
            </w:pPr>
          </w:p>
        </w:tc>
        <w:tc>
          <w:tcPr>
            <w:tcW w:w="900" w:type="dxa"/>
            <w:vAlign w:val="bottom"/>
            <w:tcBorders>
              <w:bottom w:val="single" w:sz="8" w:color="009BDE"/>
            </w:tcBorders>
          </w:tcPr>
          <w:p>
            <w:pPr>
              <w:spacing w:after="0"/>
              <w:rPr>
                <w:sz w:val="24"/>
                <w:szCs w:val="24"/>
                <w:color w:val="auto"/>
              </w:rPr>
            </w:pPr>
          </w:p>
        </w:tc>
        <w:tc>
          <w:tcPr>
            <w:tcW w:w="300" w:type="dxa"/>
            <w:vAlign w:val="bottom"/>
            <w:tcBorders>
              <w:bottom w:val="single" w:sz="8" w:color="009BDE"/>
            </w:tcBorders>
          </w:tcPr>
          <w:p>
            <w:pPr>
              <w:spacing w:after="0"/>
              <w:rPr>
                <w:sz w:val="24"/>
                <w:szCs w:val="24"/>
                <w:color w:val="auto"/>
              </w:rPr>
            </w:pPr>
          </w:p>
        </w:tc>
        <w:tc>
          <w:tcPr>
            <w:tcW w:w="1100" w:type="dxa"/>
            <w:vAlign w:val="bottom"/>
            <w:tcBorders>
              <w:bottom w:val="single" w:sz="8" w:color="009BDE"/>
            </w:tcBorders>
          </w:tcPr>
          <w:p>
            <w:pPr>
              <w:spacing w:after="0"/>
              <w:rPr>
                <w:sz w:val="24"/>
                <w:szCs w:val="24"/>
                <w:color w:val="auto"/>
              </w:rPr>
            </w:pPr>
          </w:p>
        </w:tc>
      </w:tr>
      <w:tr>
        <w:trPr>
          <w:trHeight w:val="284"/>
        </w:trPr>
        <w:tc>
          <w:tcPr>
            <w:tcW w:w="3960" w:type="dxa"/>
            <w:vAlign w:val="bottom"/>
          </w:tcPr>
          <w:p>
            <w:pPr>
              <w:ind w:left="160"/>
              <w:spacing w:after="0"/>
              <w:rPr>
                <w:sz w:val="20"/>
                <w:szCs w:val="20"/>
                <w:color w:val="auto"/>
              </w:rPr>
            </w:pPr>
            <w:r>
              <w:rPr>
                <w:rFonts w:ascii="Arial" w:cs="Arial" w:eastAsia="Arial" w:hAnsi="Arial"/>
                <w:sz w:val="16"/>
                <w:szCs w:val="16"/>
                <w:color w:val="auto"/>
              </w:rPr>
              <w:t>Cash Severance</w:t>
            </w:r>
          </w:p>
        </w:tc>
        <w:tc>
          <w:tcPr>
            <w:tcW w:w="480" w:type="dxa"/>
            <w:vAlign w:val="bottom"/>
            <w:gridSpan w:val="2"/>
          </w:tcPr>
          <w:p>
            <w:pPr>
              <w:ind w:left="3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700,000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00" w:type="dxa"/>
            <w:vAlign w:val="bottom"/>
          </w:tcPr>
          <w:p>
            <w:pPr>
              <w:ind w:left="520"/>
              <w:spacing w:after="0"/>
              <w:rPr>
                <w:sz w:val="20"/>
                <w:szCs w:val="20"/>
                <w:color w:val="auto"/>
              </w:rPr>
            </w:pP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2,573,654</w:t>
            </w:r>
          </w:p>
        </w:tc>
      </w:tr>
      <w:tr>
        <w:trPr>
          <w:trHeight w:val="97"/>
        </w:trPr>
        <w:tc>
          <w:tcPr>
            <w:tcW w:w="396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10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960" w:type="dxa"/>
            <w:vAlign w:val="bottom"/>
          </w:tcPr>
          <w:p>
            <w:pPr>
              <w:ind w:left="160"/>
              <w:spacing w:after="0"/>
              <w:rPr>
                <w:sz w:val="20"/>
                <w:szCs w:val="20"/>
                <w:color w:val="auto"/>
              </w:rPr>
            </w:pPr>
            <w:r>
              <w:rPr>
                <w:rFonts w:ascii="Arial" w:cs="Arial" w:eastAsia="Arial" w:hAnsi="Arial"/>
                <w:sz w:val="16"/>
                <w:szCs w:val="16"/>
                <w:color w:val="auto"/>
              </w:rPr>
              <w:t>FY 2025 Bonus</w:t>
            </w:r>
          </w:p>
        </w:tc>
        <w:tc>
          <w:tcPr>
            <w:tcW w:w="480" w:type="dxa"/>
            <w:vAlign w:val="bottom"/>
            <w:gridSpan w:val="2"/>
          </w:tcPr>
          <w:p>
            <w:pPr>
              <w:ind w:left="3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00" w:type="dxa"/>
            <w:vAlign w:val="bottom"/>
          </w:tcPr>
          <w:p>
            <w:pPr>
              <w:ind w:left="520"/>
              <w:spacing w:after="0"/>
              <w:rPr>
                <w:sz w:val="20"/>
                <w:szCs w:val="20"/>
                <w:color w:val="auto"/>
              </w:rPr>
            </w:pP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7"/>
        </w:trPr>
        <w:tc>
          <w:tcPr>
            <w:tcW w:w="396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10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960" w:type="dxa"/>
            <w:vAlign w:val="bottom"/>
          </w:tcPr>
          <w:p>
            <w:pPr>
              <w:ind w:left="160"/>
              <w:spacing w:after="0"/>
              <w:rPr>
                <w:sz w:val="20"/>
                <w:szCs w:val="20"/>
                <w:color w:val="auto"/>
              </w:rPr>
            </w:pPr>
            <w:r>
              <w:rPr>
                <w:rFonts w:ascii="Arial" w:cs="Arial" w:eastAsia="Arial" w:hAnsi="Arial"/>
                <w:sz w:val="16"/>
                <w:szCs w:val="16"/>
                <w:color w:val="auto"/>
              </w:rPr>
              <w:t>Pension</w:t>
            </w:r>
          </w:p>
        </w:tc>
        <w:tc>
          <w:tcPr>
            <w:tcW w:w="480" w:type="dxa"/>
            <w:vAlign w:val="bottom"/>
            <w:gridSpan w:val="2"/>
          </w:tcPr>
          <w:p>
            <w:pPr>
              <w:ind w:left="3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00" w:type="dxa"/>
            <w:vAlign w:val="bottom"/>
          </w:tcPr>
          <w:p>
            <w:pPr>
              <w:ind w:left="520"/>
              <w:spacing w:after="0"/>
              <w:rPr>
                <w:sz w:val="20"/>
                <w:szCs w:val="20"/>
                <w:color w:val="auto"/>
              </w:rPr>
            </w:pP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7"/>
        </w:trPr>
        <w:tc>
          <w:tcPr>
            <w:tcW w:w="396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10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960" w:type="dxa"/>
            <w:vAlign w:val="bottom"/>
          </w:tcPr>
          <w:p>
            <w:pPr>
              <w:ind w:left="160"/>
              <w:spacing w:after="0"/>
              <w:rPr>
                <w:sz w:val="20"/>
                <w:szCs w:val="20"/>
                <w:color w:val="auto"/>
              </w:rPr>
            </w:pPr>
            <w:r>
              <w:rPr>
                <w:rFonts w:ascii="Arial" w:cs="Arial" w:eastAsia="Arial" w:hAnsi="Arial"/>
                <w:sz w:val="16"/>
                <w:szCs w:val="16"/>
                <w:color w:val="auto"/>
              </w:rPr>
              <w:t>Other Benefits(c)</w:t>
            </w:r>
          </w:p>
        </w:tc>
        <w:tc>
          <w:tcPr>
            <w:tcW w:w="480" w:type="dxa"/>
            <w:vAlign w:val="bottom"/>
            <w:gridSpan w:val="2"/>
          </w:tcPr>
          <w:p>
            <w:pPr>
              <w:ind w:left="3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47,182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00" w:type="dxa"/>
            <w:vAlign w:val="bottom"/>
          </w:tcPr>
          <w:p>
            <w:pPr>
              <w:ind w:left="520"/>
              <w:spacing w:after="0"/>
              <w:rPr>
                <w:sz w:val="20"/>
                <w:szCs w:val="20"/>
                <w:color w:val="auto"/>
              </w:rPr>
            </w:pP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58,272</w:t>
            </w:r>
          </w:p>
        </w:tc>
      </w:tr>
      <w:tr>
        <w:trPr>
          <w:trHeight w:val="97"/>
        </w:trPr>
        <w:tc>
          <w:tcPr>
            <w:tcW w:w="396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10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4"/>
        </w:trPr>
        <w:tc>
          <w:tcPr>
            <w:tcW w:w="3960" w:type="dxa"/>
            <w:vAlign w:val="bottom"/>
          </w:tcPr>
          <w:p>
            <w:pPr>
              <w:ind w:left="160"/>
              <w:spacing w:after="0"/>
              <w:rPr>
                <w:sz w:val="20"/>
                <w:szCs w:val="20"/>
                <w:color w:val="auto"/>
              </w:rPr>
            </w:pPr>
            <w:r>
              <w:rPr>
                <w:rFonts w:ascii="Arial" w:cs="Arial" w:eastAsia="Arial" w:hAnsi="Arial"/>
                <w:sz w:val="16"/>
                <w:szCs w:val="16"/>
                <w:color w:val="auto"/>
              </w:rPr>
              <w:t>Accelerated Equity(d)</w:t>
            </w:r>
          </w:p>
        </w:tc>
        <w:tc>
          <w:tcPr>
            <w:tcW w:w="480" w:type="dxa"/>
            <w:vAlign w:val="bottom"/>
            <w:gridSpan w:val="2"/>
          </w:tcPr>
          <w:p>
            <w:pPr>
              <w:ind w:left="3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4,624,903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w w:val="98"/>
              </w:rPr>
              <w:t>4,624,903</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4,624,903</w:t>
            </w:r>
          </w:p>
        </w:tc>
        <w:tc>
          <w:tcPr>
            <w:tcW w:w="6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00" w:type="dxa"/>
            <w:vAlign w:val="bottom"/>
          </w:tcPr>
          <w:p>
            <w:pPr>
              <w:ind w:left="520"/>
              <w:spacing w:after="0"/>
              <w:rPr>
                <w:sz w:val="20"/>
                <w:szCs w:val="20"/>
                <w:color w:val="auto"/>
              </w:rPr>
            </w:pP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7,468,221</w:t>
            </w:r>
          </w:p>
        </w:tc>
      </w:tr>
      <w:tr>
        <w:trPr>
          <w:trHeight w:val="97"/>
        </w:trPr>
        <w:tc>
          <w:tcPr>
            <w:tcW w:w="396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10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94"/>
        </w:trPr>
        <w:tc>
          <w:tcPr>
            <w:tcW w:w="3960" w:type="dxa"/>
            <w:vAlign w:val="bottom"/>
          </w:tcPr>
          <w:p>
            <w:pPr>
              <w:ind w:left="160"/>
              <w:spacing w:after="0"/>
              <w:rPr>
                <w:sz w:val="20"/>
                <w:szCs w:val="20"/>
                <w:color w:val="auto"/>
              </w:rPr>
            </w:pPr>
            <w:r>
              <w:rPr>
                <w:rFonts w:ascii="Arial" w:cs="Arial" w:eastAsia="Arial" w:hAnsi="Arial"/>
                <w:sz w:val="16"/>
                <w:szCs w:val="16"/>
                <w:b w:val="1"/>
                <w:bCs w:val="1"/>
                <w:color w:val="auto"/>
              </w:rPr>
              <w:t>Total Incremental Benefits</w:t>
            </w:r>
          </w:p>
        </w:tc>
        <w:tc>
          <w:tcPr>
            <w:tcW w:w="480" w:type="dxa"/>
            <w:vAlign w:val="bottom"/>
            <w:gridSpan w:val="2"/>
          </w:tcPr>
          <w:p>
            <w:pPr>
              <w:ind w:left="3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5,372,085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w w:val="98"/>
              </w:rPr>
              <w:t>4,624,903</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4,624,903</w:t>
            </w:r>
          </w:p>
        </w:tc>
        <w:tc>
          <w:tcPr>
            <w:tcW w:w="6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00" w:type="dxa"/>
            <w:vAlign w:val="bottom"/>
          </w:tcPr>
          <w:p>
            <w:pPr>
              <w:ind w:left="520"/>
              <w:spacing w:after="0"/>
              <w:rPr>
                <w:sz w:val="20"/>
                <w:szCs w:val="20"/>
                <w:color w:val="auto"/>
              </w:rPr>
            </w:pP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10,100,148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55245</wp:posOffset>
            </wp:positionV>
            <wp:extent cx="69297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1" w:lineRule="exact"/>
        <w:rPr>
          <w:sz w:val="20"/>
          <w:szCs w:val="20"/>
          <w:color w:val="auto"/>
        </w:rPr>
      </w:pPr>
    </w:p>
    <w:p>
      <w:pPr>
        <w:ind w:left="600" w:hanging="433"/>
        <w:spacing w:after="0"/>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“Involuntary Termination” not in a change in control scenario means termination by the Company without Cause.</w:t>
      </w:r>
    </w:p>
    <w:p>
      <w:pPr>
        <w:spacing w:after="0" w:line="79" w:lineRule="exact"/>
        <w:rPr>
          <w:rFonts w:ascii="Arial" w:cs="Arial" w:eastAsia="Arial" w:hAnsi="Arial"/>
          <w:sz w:val="14"/>
          <w:szCs w:val="14"/>
          <w:color w:val="auto"/>
        </w:rPr>
      </w:pPr>
    </w:p>
    <w:p>
      <w:pPr>
        <w:ind w:left="600" w:hanging="433"/>
        <w:spacing w:after="0"/>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“Involuntary Termination” in a change of control scenario means termination by the Company without Cause or termination by the executive for Good Reason.</w:t>
      </w:r>
    </w:p>
    <w:p>
      <w:pPr>
        <w:spacing w:after="0" w:line="79" w:lineRule="exact"/>
        <w:rPr>
          <w:rFonts w:ascii="Arial" w:cs="Arial" w:eastAsia="Arial" w:hAnsi="Arial"/>
          <w:sz w:val="14"/>
          <w:szCs w:val="14"/>
          <w:color w:val="auto"/>
        </w:rPr>
      </w:pPr>
    </w:p>
    <w:p>
      <w:pPr>
        <w:ind w:left="600" w:hanging="433"/>
        <w:spacing w:after="0"/>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Other benefits include the Company’s cost of continued health and welfare benefits coverage and outplacement services.</w:t>
      </w:r>
    </w:p>
    <w:p>
      <w:pPr>
        <w:spacing w:after="0" w:line="79" w:lineRule="exact"/>
        <w:rPr>
          <w:rFonts w:ascii="Arial" w:cs="Arial" w:eastAsia="Arial" w:hAnsi="Arial"/>
          <w:sz w:val="14"/>
          <w:szCs w:val="14"/>
          <w:color w:val="auto"/>
        </w:rPr>
      </w:pPr>
    </w:p>
    <w:p>
      <w:pPr>
        <w:jc w:val="both"/>
        <w:ind w:left="600" w:right="300" w:hanging="433"/>
        <w:spacing w:after="0" w:line="281" w:lineRule="auto"/>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the value of accelerated equity awards pursuant to the terms of the plan, award agreement or individual employment or change in control agreement, as applicable, and summarized below. For awards whose vesting is based on actual performance, the calculations assume a target level of performance is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199390</wp:posOffset>
            </wp:positionV>
            <wp:extent cx="6929755" cy="52641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6929755" cy="526415"/>
                    </a:xfrm>
                    <a:prstGeom prst="rect">
                      <a:avLst/>
                    </a:prstGeom>
                    <a:noFill/>
                  </pic:spPr>
                </pic:pic>
              </a:graphicData>
            </a:graphic>
          </wp:anchor>
        </w:drawing>
      </w:r>
    </w:p>
    <w:p>
      <w:pPr>
        <w:spacing w:after="0" w:line="369" w:lineRule="exact"/>
        <w:rPr>
          <w:sz w:val="20"/>
          <w:szCs w:val="20"/>
          <w:color w:val="auto"/>
        </w:rPr>
      </w:pPr>
    </w:p>
    <w:p>
      <w:pPr>
        <w:ind w:left="340" w:right="520"/>
        <w:spacing w:after="0" w:line="281" w:lineRule="auto"/>
        <w:rPr>
          <w:sz w:val="20"/>
          <w:szCs w:val="20"/>
          <w:color w:val="auto"/>
        </w:rPr>
      </w:pPr>
      <w:r>
        <w:rPr>
          <w:rFonts w:ascii="Arial" w:cs="Arial" w:eastAsia="Arial" w:hAnsi="Arial"/>
          <w:sz w:val="26"/>
          <w:szCs w:val="26"/>
          <w:b w:val="1"/>
          <w:bCs w:val="1"/>
          <w:color w:val="FFFFFF"/>
        </w:rPr>
        <w:t>Agreements and Arrangements Providing Post Employment and Change in Control Benefits</w:t>
      </w:r>
    </w:p>
    <w:p>
      <w:pPr>
        <w:spacing w:after="0" w:line="174"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auto"/>
        </w:rPr>
        <w:t>The Company provides post-employment benefits through broad-based programs as well as individual agreements for certain executives. Benefits provided through each of the following programs are summarized below and the value of these benefits in various situations is included in the preceding tables.</w:t>
      </w:r>
    </w:p>
    <w:p>
      <w:pPr>
        <w:spacing w:after="0" w:line="173" w:lineRule="exact"/>
        <w:rPr>
          <w:sz w:val="20"/>
          <w:szCs w:val="20"/>
          <w:color w:val="auto"/>
        </w:rPr>
      </w:pPr>
    </w:p>
    <w:p>
      <w:pPr>
        <w:ind w:left="380" w:hanging="213"/>
        <w:spacing w:after="0"/>
        <w:tabs>
          <w:tab w:leader="none" w:pos="3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Hasbro Equity Incentive Plans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Hasbro Severance Benefits Plan</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Employment Agreement with Chris Cocks</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Employment Relationships with Gina Goetter, John Hight, Tim Kilpin, and Tarrant Sibley</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Change in Control Severance Plan for Designated Senior Executives</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Benefits Under Hasbro Equity Incentive Plans</w:t>
      </w:r>
    </w:p>
    <w:p>
      <w:pPr>
        <w:spacing w:after="0" w:line="141" w:lineRule="exact"/>
        <w:rPr>
          <w:sz w:val="20"/>
          <w:szCs w:val="20"/>
          <w:color w:val="auto"/>
        </w:rPr>
      </w:pPr>
    </w:p>
    <w:p>
      <w:pPr>
        <w:ind w:left="160" w:right="420"/>
        <w:spacing w:after="0" w:line="279" w:lineRule="auto"/>
        <w:rPr>
          <w:sz w:val="20"/>
          <w:szCs w:val="20"/>
          <w:color w:val="auto"/>
        </w:rPr>
      </w:pPr>
      <w:r>
        <w:rPr>
          <w:rFonts w:ascii="Arial" w:cs="Arial" w:eastAsia="Arial" w:hAnsi="Arial"/>
          <w:sz w:val="16"/>
          <w:szCs w:val="16"/>
          <w:color w:val="auto"/>
        </w:rPr>
        <w:t>The executive officers of the Company and certain of the Company’s other employees have received outstanding equity awards, in the form of stock options, restricted stock units and/or performance share units, under the 2003 Plan.</w:t>
      </w:r>
    </w:p>
    <w:p>
      <w:pPr>
        <w:spacing w:after="0" w:line="94"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Unless modified by the individual employment agreements or equity grant agreements entered into between the Company and an executive officer, all equity awards (including stock options, restricted stock grants, deferred restricted stock units and performance share units) under all of the Company’s equity incentive plans are subject to the post-termination provisions which are summarized below, based on the type of termination or the occurrence of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6964045" cy="39052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  50</w:t>
      </w:r>
    </w:p>
    <w:p>
      <w:pPr>
        <w:sectPr>
          <w:pgSz w:w="11900" w:h="16838" w:orient="portrait"/>
          <w:cols w:equalWidth="0" w:num="1">
            <w:col w:w="11080"/>
          </w:cols>
          <w:pgMar w:left="320" w:top="478"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Effect of a Change of Control</w:t>
      </w:r>
    </w:p>
    <w:p>
      <w:pPr>
        <w:spacing w:after="0" w:line="135"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auto"/>
        </w:rPr>
        <w:t>Option awards, shares of restricted stock, restricted stock units and the target number of shares subject to performance share units, will vest upon a change in control only if the executive officer’s employment is terminated by the Company without Cause, or by the executive for Good Reason, each as defined under the 2003 Plan within twenty-four (24) months following a Change of Control, as defined under the 2003 Plan. If an award should vest in accordance with these terms, it is settled in a similar manner as described above for the respective award, but calculated as of the date of the executive’s termination of employment based on the then fair market value of the stock.</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Disability Termination</w:t>
      </w:r>
    </w:p>
    <w:p>
      <w:pPr>
        <w:spacing w:after="0" w:line="148"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If an executive officer’s employment with the Company is terminated due to a permanent disability of such officer, then, except to the extent this treatment is modified in an individual officer’s employment agreement, for such officer’s outstanding equity awards: (i) all unvested stock option awards immediately vest and become exercisable for a period of one year following the date of such disability, (ii) a pro-rata portion, reflecting the portion of the total vesting period which has elapsed, of restricted stock unit awards immediately vest provided they have greater than 1 year service and (iii) outstanding performance share units remain outstanding for the remainder of the performance period and at the end of the performance period the number of shares which would have been earned under the award is pro-rated based on the portion of the performance period prior to the officer’s termination due to disability and such pro-rated number of shares is paid to the officer provided they have greater than 1 year of service.</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Termination due to Death of an Officer</w:t>
      </w:r>
    </w:p>
    <w:p>
      <w:pPr>
        <w:spacing w:after="0" w:line="148"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auto"/>
        </w:rPr>
        <w:t>If an executive officer’s employment with the Company terminates due to the officer’s death, then, except to the extent this treatment is modified in an individual officer’s employment agreement, for such officer’s outstanding equity awards (i) all unvested stock option awards immediately vest and become exercisable for a period of one year following the date of death or the appointment of the executor of such officer’s estate, (ii) a pro-rata portion, reflecting the portion of the total vesting period which has elapsed, of restricted stock unit awards immediately vest provided they have greater than 1 year of service and (iii) outstanding performance share units are paid out based on the pro-rated portion of the performance period completed prior to the officer’s death, with such pro-rated period applied to the target number of shares subject to such awards.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Retirement</w:t>
      </w:r>
    </w:p>
    <w:p>
      <w:pPr>
        <w:spacing w:after="0" w:line="135"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Upon retirement of an executive officer, except to the extent this treatment is modified in an individual officer’s employment agreement, outstanding equity awards are treated in the following manner: (i) if the retirement qualifies as normal retirement, where the officer is 65 or older and has five or more years of service with the Company, all stock option awards vest and become exercisable for a period of one year following retirement and (ii) if it qualifies as normal retirement or early retirement, a pro-rata portion, reflecting the portion of the total vesting period which has elapsed, of restricted stock unit awards immediately vest and unearned performance share units remain outstanding for the remainder of the performance period and at the end of the period the number of shares which are actually earned are pro-rated for the portion of the performance period during which the officer was employed and such pro-rated portion is paid to the retired executive.</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Voluntary or Involuntary Terminations</w:t>
      </w:r>
    </w:p>
    <w:p>
      <w:pPr>
        <w:spacing w:after="0" w:line="148" w:lineRule="exact"/>
        <w:rPr>
          <w:sz w:val="20"/>
          <w:szCs w:val="20"/>
          <w:color w:val="auto"/>
        </w:rPr>
      </w:pPr>
    </w:p>
    <w:p>
      <w:pPr>
        <w:ind w:left="160" w:right="400"/>
        <w:spacing w:after="0" w:line="254" w:lineRule="auto"/>
        <w:rPr>
          <w:sz w:val="20"/>
          <w:szCs w:val="20"/>
          <w:color w:val="auto"/>
        </w:rPr>
      </w:pPr>
      <w:r>
        <w:rPr>
          <w:rFonts w:ascii="Arial" w:cs="Arial" w:eastAsia="Arial" w:hAnsi="Arial"/>
          <w:sz w:val="16"/>
          <w:szCs w:val="16"/>
          <w:color w:val="auto"/>
        </w:rPr>
        <w:t>For all other terminations of employment of an executive officer, either voluntary or involuntary, except to the extent this treatment is modified in an individual officer’s employment agreement or by action of the Committee, no additional vesting of equity awards occurs as a result of termination but</w:t>
      </w:r>
    </w:p>
    <w:p>
      <w:pPr>
        <w:spacing w:after="0" w:line="1" w:lineRule="exact"/>
        <w:rPr>
          <w:sz w:val="20"/>
          <w:szCs w:val="20"/>
          <w:color w:val="auto"/>
        </w:rPr>
      </w:pPr>
    </w:p>
    <w:p>
      <w:pPr>
        <w:ind w:left="360" w:hanging="193"/>
        <w:spacing w:after="0"/>
        <w:tabs>
          <w:tab w:leader="none" w:pos="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stock options that were currently exercisable prior to termination remain exercisable for a period of three months following the date of termination and</w:t>
      </w:r>
    </w:p>
    <w:p>
      <w:pPr>
        <w:spacing w:after="0" w:line="3" w:lineRule="exact"/>
        <w:rPr>
          <w:rFonts w:ascii="Arial" w:cs="Arial" w:eastAsia="Arial" w:hAnsi="Arial"/>
          <w:sz w:val="16"/>
          <w:szCs w:val="16"/>
          <w:color w:val="auto"/>
        </w:rPr>
      </w:pPr>
    </w:p>
    <w:p>
      <w:pPr>
        <w:ind w:left="400" w:hanging="233"/>
        <w:spacing w:after="0"/>
        <w:tabs>
          <w:tab w:leader="none" w:pos="4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unvested restricted shares and stock units, and unearned performance share units, are forfeited.</w:t>
      </w:r>
    </w:p>
    <w:p>
      <w:pPr>
        <w:spacing w:after="0" w:line="200" w:lineRule="exact"/>
        <w:rPr>
          <w:rFonts w:ascii="Arial" w:cs="Arial" w:eastAsia="Arial" w:hAnsi="Arial"/>
          <w:sz w:val="16"/>
          <w:szCs w:val="16"/>
          <w:color w:val="auto"/>
        </w:rPr>
      </w:pPr>
    </w:p>
    <w:p>
      <w:pPr>
        <w:spacing w:after="0" w:line="375" w:lineRule="exact"/>
        <w:rPr>
          <w:rFonts w:ascii="Arial" w:cs="Arial" w:eastAsia="Arial" w:hAnsi="Arial"/>
          <w:sz w:val="16"/>
          <w:szCs w:val="16"/>
          <w:color w:val="auto"/>
        </w:rPr>
      </w:pPr>
    </w:p>
    <w:p>
      <w:pPr>
        <w:ind w:left="300" w:hanging="80"/>
        <w:spacing w:after="0"/>
        <w:tabs>
          <w:tab w:leader="none" w:pos="300" w:val="left"/>
        </w:tabs>
        <w:numPr>
          <w:ilvl w:val="1"/>
          <w:numId w:val="65"/>
        </w:numPr>
        <w:rPr>
          <w:rFonts w:ascii="Arial" w:cs="Arial" w:eastAsia="Arial" w:hAnsi="Arial"/>
          <w:sz w:val="15"/>
          <w:szCs w:val="15"/>
          <w:b w:val="1"/>
          <w:bCs w:val="1"/>
          <w:color w:val="FCFCFC"/>
        </w:rPr>
      </w:pPr>
      <w:r>
        <w:rPr>
          <w:rFonts w:ascii="Arial" w:cs="Arial" w:eastAsia="Arial" w:hAnsi="Arial"/>
          <w:sz w:val="15"/>
          <w:szCs w:val="15"/>
          <w:b w:val="1"/>
          <w:bCs w:val="1"/>
          <w:color w:val="FCFCFC"/>
        </w:rPr>
        <w: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-227330</wp:posOffset>
            </wp:positionV>
            <wp:extent cx="6964045" cy="39052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1">
            <w:col w:w="11060"/>
          </w:cols>
          <w:pgMar w:left="320" w:top="478" w:right="5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Hasbro Severance Benefits Plan</w:t>
      </w:r>
    </w:p>
    <w:p>
      <w:pPr>
        <w:spacing w:after="0" w:line="127" w:lineRule="exact"/>
        <w:rPr>
          <w:sz w:val="20"/>
          <w:szCs w:val="20"/>
          <w:color w:val="auto"/>
        </w:rPr>
      </w:pPr>
    </w:p>
    <w:p>
      <w:pPr>
        <w:ind w:left="160" w:right="60"/>
        <w:spacing w:after="0" w:line="248" w:lineRule="auto"/>
        <w:rPr>
          <w:sz w:val="20"/>
          <w:szCs w:val="20"/>
          <w:color w:val="auto"/>
        </w:rPr>
      </w:pPr>
      <w:r>
        <w:rPr>
          <w:rFonts w:ascii="Arial" w:cs="Arial" w:eastAsia="Arial" w:hAnsi="Arial"/>
          <w:sz w:val="16"/>
          <w:szCs w:val="16"/>
          <w:color w:val="auto"/>
        </w:rPr>
        <w:t>The Company’s U.S. Severance Benefits Plan provides for a basic level of severance benefits and a more substantial level of benefits, subject to the individual signing a severance agreement acceptable to the Company. These benefits are provided if the executive is terminated by the Company without cause, unless such benefits are superseded by the benefits provided under the terms of an officer’s employment agreement. The benefits shown in the preceding tables assume that the individual signs an acceptable severance agreement. For each of Ms. Goetter, Messrs. Hight, Kilpin and Sibley, the tables reflect the following benefits under the Company’s Severance Benefits Plan: (i) continuation of base salary equal to 52 weeks, (ii) continuation of Health &amp; Welfare benefits for the same period including medical, dental, vision and life insurance, with the Company sharing the cost at the same rate as a similarly situated active employee and (iii) participation in an outplacement program. The amount shown in the tables above assumes one year of participation for each of these executives. However, benefits under the Company’s Severance Benefits Plan cease upon re-employment of an executive, provided that if the individual notifies the Company of the new employment, the Company will provide a lump sum equal to 50% of the remaining severance pay as of the date of new employment.</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Employment Agreement with Chris Cocks</w:t>
      </w:r>
    </w:p>
    <w:p>
      <w:pPr>
        <w:spacing w:after="0" w:line="100" w:lineRule="exact"/>
        <w:rPr>
          <w:sz w:val="20"/>
          <w:szCs w:val="20"/>
          <w:color w:val="auto"/>
        </w:rPr>
      </w:pPr>
    </w:p>
    <w:p>
      <w:pPr>
        <w:ind w:left="160" w:right="140"/>
        <w:spacing w:after="0" w:line="251" w:lineRule="auto"/>
        <w:rPr>
          <w:sz w:val="20"/>
          <w:szCs w:val="20"/>
          <w:color w:val="auto"/>
        </w:rPr>
      </w:pPr>
      <w:r>
        <w:rPr>
          <w:rFonts w:ascii="Arial" w:cs="Arial" w:eastAsia="Arial" w:hAnsi="Arial"/>
          <w:sz w:val="16"/>
          <w:szCs w:val="16"/>
          <w:color w:val="auto"/>
        </w:rPr>
        <w:t>On May 22, 2024, the Company entered into an amended and restated employment agreement (the “Amended Employment Agreement”) with Chris Cocks, the Company’s CEO. The Amended Employment Agreement extended the term of Mr. Cocks’s employment until December 31, 2027, unless earlier terminated or further extended in accordance with the Amended Employment Agreement. Thereafter, the Amended Employment Agreement will automatically renew for additional one-year periods unless prior written notice of non-renewal is provided to the other party in accordance with the terms of the Amended Employment Agreement. If the Company provides notice that the term will not be renewed, such notice will be treated as a termination without “Cause” under the Amended Employment Agreement.</w:t>
      </w:r>
    </w:p>
    <w:p>
      <w:pPr>
        <w:spacing w:after="0" w:line="183"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Under the Amended Employment Agreement, Mr. Cocks’s target annual management incentive plan bonus and target long-term equity incentive plan award shall be reviewed periodically in accordance with the Company’s compensation philosophy, market conditions and other factors deemed relevant by the Committee. For fiscal 2025, Mr. Cocks’s long-term equity incentive plan target was 700% and his target management annual incentive bonus was 200%.</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9BDE"/>
        </w:rPr>
        <w:t>Treatment Following Various Terminations of Employment</w:t>
      </w:r>
    </w:p>
    <w:p>
      <w:pPr>
        <w:spacing w:after="0" w:line="110"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auto"/>
        </w:rPr>
        <w:t>Mr. Cocks is eligible for severance in the event Hasbro terminates his employment without Cause (as defined in the Amended Employment Agreement) or if Mr. Cocks resigns for Good Reason (as defined in the Amended Employment Agreement).</w:t>
      </w:r>
    </w:p>
    <w:p>
      <w:pPr>
        <w:spacing w:after="0" w:line="161" w:lineRule="exact"/>
        <w:rPr>
          <w:sz w:val="20"/>
          <w:szCs w:val="20"/>
          <w:color w:val="auto"/>
        </w:rPr>
      </w:pPr>
    </w:p>
    <w:p>
      <w:pPr>
        <w:ind w:left="380" w:right="60" w:hanging="213"/>
        <w:spacing w:after="0" w:line="249" w:lineRule="auto"/>
        <w:tabs>
          <w:tab w:leader="none" w:pos="38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Upon Termination by Hasbro Without Cause, or by Mr. Cocks for Good Reason, Within 24 Months Following a Change in Control</w:t>
      </w:r>
      <w:r>
        <w:rPr>
          <w:rFonts w:ascii="Arial" w:cs="Arial" w:eastAsia="Arial" w:hAnsi="Arial"/>
          <w:sz w:val="16"/>
          <w:szCs w:val="16"/>
          <w:color w:val="auto"/>
        </w:rPr>
        <w:t>. Mr. Cocks is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to receive (i) a lump sum payment equal to three times his then-current base salary and annual incentive plan target bonus, (ii) a pro-rated annual incentive plan bonus for the year in which the termination occurs based on target company performance (a “Pro-Rata Bonus”), (iii) certain premium payments by Hasbro for continued medical and dental insurance under COBRA for up to 24 months from the effective date of termination,</w:t>
      </w:r>
    </w:p>
    <w:p>
      <w:pPr>
        <w:spacing w:after="0" w:line="1" w:lineRule="exact"/>
        <w:rPr>
          <w:rFonts w:ascii="Arial" w:cs="Arial" w:eastAsia="Arial" w:hAnsi="Arial"/>
          <w:sz w:val="16"/>
          <w:szCs w:val="16"/>
          <w:color w:val="auto"/>
        </w:rPr>
      </w:pPr>
    </w:p>
    <w:p>
      <w:pPr>
        <w:ind w:left="380" w:right="140"/>
        <w:spacing w:after="0" w:line="258" w:lineRule="auto"/>
        <w:rPr>
          <w:rFonts w:ascii="Arial" w:cs="Arial" w:eastAsia="Arial" w:hAnsi="Arial"/>
          <w:sz w:val="16"/>
          <w:szCs w:val="16"/>
          <w:color w:val="auto"/>
        </w:rPr>
      </w:pPr>
      <w:r>
        <w:rPr>
          <w:rFonts w:ascii="Arial" w:cs="Arial" w:eastAsia="Arial" w:hAnsi="Arial"/>
          <w:sz w:val="16"/>
          <w:szCs w:val="16"/>
          <w:color w:val="auto"/>
        </w:rPr>
        <w:t>(iv) accelerated vesting of (and lapse of restrictions on) all unexpired, unvested stock options and time-based restricted stock units, and (v) vesting of performance share units, vesting at target for the full performance period.</w:t>
      </w:r>
    </w:p>
    <w:p>
      <w:pPr>
        <w:spacing w:after="0" w:line="83" w:lineRule="exact"/>
        <w:rPr>
          <w:rFonts w:ascii="Arial" w:cs="Arial" w:eastAsia="Arial" w:hAnsi="Arial"/>
          <w:sz w:val="16"/>
          <w:szCs w:val="16"/>
          <w:color w:val="auto"/>
        </w:rPr>
      </w:pPr>
    </w:p>
    <w:p>
      <w:pPr>
        <w:ind w:left="380" w:hanging="213"/>
        <w:spacing w:after="0"/>
        <w:tabs>
          <w:tab w:leader="none" w:pos="38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Upon Termination by Hasbro Without Cause, or by Mr. Cocks for Good Reason, Prior to, or More than 24 Months Following, a Change in Control</w:t>
      </w:r>
      <w:r>
        <w:rPr>
          <w:rFonts w:ascii="Arial" w:cs="Arial" w:eastAsia="Arial" w:hAnsi="Arial"/>
          <w:sz w:val="16"/>
          <w:szCs w:val="16"/>
          <w:color w:val="auto"/>
        </w:rPr>
        <w:t>.</w:t>
      </w:r>
    </w:p>
    <w:p>
      <w:pPr>
        <w:spacing w:after="0" w:line="19" w:lineRule="exact"/>
        <w:rPr>
          <w:rFonts w:ascii="Arial" w:cs="Arial" w:eastAsia="Arial" w:hAnsi="Arial"/>
          <w:sz w:val="16"/>
          <w:szCs w:val="16"/>
          <w:color w:val="auto"/>
        </w:rPr>
      </w:pPr>
    </w:p>
    <w:p>
      <w:pPr>
        <w:ind w:left="380" w:right="100"/>
        <w:spacing w:after="0" w:line="249" w:lineRule="auto"/>
        <w:rPr>
          <w:rFonts w:ascii="Arial" w:cs="Arial" w:eastAsia="Arial" w:hAnsi="Arial"/>
          <w:sz w:val="16"/>
          <w:szCs w:val="16"/>
          <w:color w:val="auto"/>
        </w:rPr>
      </w:pPr>
      <w:r>
        <w:rPr>
          <w:rFonts w:ascii="Arial" w:cs="Arial" w:eastAsia="Arial" w:hAnsi="Arial"/>
          <w:sz w:val="16"/>
          <w:szCs w:val="16"/>
          <w:color w:val="auto"/>
        </w:rPr>
        <w:t>Mr. Cocks is eligible to receive (i) payment of an amount equal to his then-current base salary for a period of 24 months, (ii) two times his then-current annual management incentive plan target bonus payable in equal installments over a period of 24 months, (iii) a pro-rated annual management incentive plan bonus for the year in which the termination occurs, based on actual company performance (a “Pro-Rata Bonus”), (iv) certain premium payments by Hasbro for continued medical and dental insurance under COBRA for</w:t>
      </w:r>
    </w:p>
    <w:p>
      <w:pPr>
        <w:spacing w:after="0" w:line="200" w:lineRule="exact"/>
        <w:rPr>
          <w:rFonts w:ascii="Arial" w:cs="Arial" w:eastAsia="Arial" w:hAnsi="Arial"/>
          <w:sz w:val="16"/>
          <w:szCs w:val="16"/>
          <w:color w:val="auto"/>
        </w:rPr>
      </w:pPr>
    </w:p>
    <w:p>
      <w:pPr>
        <w:spacing w:after="0" w:line="371" w:lineRule="exact"/>
        <w:rPr>
          <w:rFonts w:ascii="Arial" w:cs="Arial" w:eastAsia="Arial" w:hAnsi="Arial"/>
          <w:sz w:val="16"/>
          <w:szCs w:val="16"/>
          <w:color w:val="auto"/>
        </w:rPr>
      </w:pPr>
    </w:p>
    <w:p>
      <w:pPr>
        <w:ind w:left="300" w:hanging="80"/>
        <w:spacing w:after="0"/>
        <w:tabs>
          <w:tab w:leader="none" w:pos="300" w:val="left"/>
        </w:tabs>
        <w:numPr>
          <w:ilvl w:val="1"/>
          <w:numId w:val="66"/>
        </w:numPr>
        <w:rPr>
          <w:rFonts w:ascii="Arial" w:cs="Arial" w:eastAsia="Arial" w:hAnsi="Arial"/>
          <w:sz w:val="15"/>
          <w:szCs w:val="15"/>
          <w:b w:val="1"/>
          <w:bCs w:val="1"/>
          <w:color w:val="FCFCFC"/>
        </w:rPr>
      </w:pPr>
      <w:r>
        <w:rPr>
          <w:rFonts w:ascii="Arial" w:cs="Arial" w:eastAsia="Arial" w:hAnsi="Arial"/>
          <w:sz w:val="15"/>
          <w:szCs w:val="15"/>
          <w:b w:val="1"/>
          <w:bCs w:val="1"/>
          <w:color w:val="FCFCFC"/>
        </w:rPr>
        <w: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6964045" cy="39052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380"/>
        <w:spacing w:after="0" w:line="253" w:lineRule="auto"/>
        <w:rPr>
          <w:sz w:val="20"/>
          <w:szCs w:val="20"/>
          <w:color w:val="auto"/>
        </w:rPr>
      </w:pPr>
      <w:r>
        <w:rPr>
          <w:rFonts w:ascii="Arial" w:cs="Arial" w:eastAsia="Arial" w:hAnsi="Arial"/>
          <w:sz w:val="16"/>
          <w:szCs w:val="16"/>
          <w:color w:val="auto"/>
        </w:rPr>
        <w:t>up to 24 months from the effective date of termination, (v) accelerated vesting of (and lapse of restrictions on) all unexpired, unvested stock options and time-based restricted stock units and a one-year exercise period for stock options, and (vi) pro-rated vesting of performance share units, which will remain outstanding for their performance periods and at the end of the applicable periods Mr. Cocks will receive a pro-rata share (based on the portion of the performance periods that had elapsed as of the date of termination of employment) of the actual number of shares earned under such awards based on company performance (“Pro-Rata PSU Vesting”), payable at the end of the performance periods (“Pro-Rata PSU Vesting Schedule”).</w:t>
      </w:r>
    </w:p>
    <w:p>
      <w:pPr>
        <w:spacing w:after="0" w:line="87" w:lineRule="exact"/>
        <w:rPr>
          <w:sz w:val="20"/>
          <w:szCs w:val="20"/>
          <w:color w:val="auto"/>
        </w:rPr>
      </w:pPr>
    </w:p>
    <w:p>
      <w:pPr>
        <w:ind w:left="380" w:hanging="213"/>
        <w:spacing w:after="0" w:line="249" w:lineRule="auto"/>
        <w:tabs>
          <w:tab w:leader="none" w:pos="3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Following expiration of the term of the CEO Employment Agreement, if Hasbro does not offer to extend the term for at least an additional year on comparable terms and conditions as those set forth in the CEO Employment Agreement or the parties cannot otherwise mutually agree upon the terms of an agreement for Mr. Cocks to remain employed with Hasbro, then Mr. Cocks is eligible to receive (i) payment of his then-current base salary for a period of 18 months following the date of termination of employment, (ii) an amount equal to 1.5 times his target bonus, payable in equal installments over an 18 month period from the effective date of termination, (iii) certain premium payments by Hasbro for continued medical and dental insurance under COBRA for up to 18 months from the effective date of termination, (iv) a Pro-Rata Bonus for the year in which the date of termination occurs, and (v) Pro-Rata PSU Vesting of performance share units in accordance with the Pro-Rata PSU Vesting Schedule. All outstanding equity awards other than the performance share units shall be treated in accordance with their terms, without any forward vesting.</w:t>
      </w:r>
    </w:p>
    <w:p>
      <w:pPr>
        <w:spacing w:after="0" w:line="91" w:lineRule="exact"/>
        <w:rPr>
          <w:rFonts w:ascii="Arial" w:cs="Arial" w:eastAsia="Arial" w:hAnsi="Arial"/>
          <w:sz w:val="16"/>
          <w:szCs w:val="16"/>
          <w:color w:val="auto"/>
        </w:rPr>
      </w:pPr>
    </w:p>
    <w:p>
      <w:pPr>
        <w:ind w:left="380" w:right="20" w:hanging="213"/>
        <w:spacing w:after="0" w:line="249" w:lineRule="auto"/>
        <w:tabs>
          <w:tab w:leader="none" w:pos="3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Mr. Cocks’s employment terminates by reason of his death or Disability (as defined in the CEO Employment Agreement), Mr. Cocks (or his estate) is entitled to receive the Pro-Rata Bonus, as well as accelerated vesting of (and lapse of restrictions on) all unexpired, unvested stock options and time-based restricted stock units and a one-year exercise period for stock options. In addition, if the termination of employment is due to Disability, he will be entitled to Pro-Rated PSU vesting pursuant to the Pro-Rata PSU Vesting Schedule based on actual company performance over the periods. If the termination of employment is due to death, Mr. Cocks’s estate or beneficiaries shall be issued the number of shares of common stock that is computed by multiplying: (i) the target number of shares corresponding to 100% achievement of the performance metrics multiplied by (ii) a fraction, the numerator of which is the number of days from the start of the applicable performance period to the date of termination and the denominator of which is the total number of days in the applicable performance period.</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Employment Agreement contains certain post-employment restrictions on Mr. Cocks, including non-competition and non-solicitation provisions.</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Employment Relationships with Gina Goetter, John Hight, Tim Kilpin, and Tarrant Sibley</w:t>
      </w:r>
    </w:p>
    <w:p>
      <w:pPr>
        <w:spacing w:after="0" w:line="127" w:lineRule="exact"/>
        <w:rPr>
          <w:sz w:val="20"/>
          <w:szCs w:val="20"/>
          <w:color w:val="auto"/>
        </w:rPr>
      </w:pPr>
    </w:p>
    <w:p>
      <w:pPr>
        <w:jc w:val="both"/>
        <w:ind w:left="160" w:right="40"/>
        <w:spacing w:after="0" w:line="262" w:lineRule="auto"/>
        <w:rPr>
          <w:sz w:val="20"/>
          <w:szCs w:val="20"/>
          <w:color w:val="auto"/>
        </w:rPr>
      </w:pPr>
      <w:r>
        <w:rPr>
          <w:rFonts w:ascii="Arial" w:cs="Arial" w:eastAsia="Arial" w:hAnsi="Arial"/>
          <w:sz w:val="16"/>
          <w:szCs w:val="16"/>
          <w:color w:val="auto"/>
        </w:rPr>
        <w:t>With the exception of Mr. Cocks, our other NEOs are employed pursuant to offer letters on an at-will basis, meaning their employment may be terminated at any time by either the executive or the Company. Each of these Named Executive Officers participates on the same basis as other eligible executives in the Company’s standard Severance Benefits Plan.</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Change in Control Severance Plan for Designated Senior Executives</w:t>
      </w:r>
    </w:p>
    <w:p>
      <w:pPr>
        <w:spacing w:after="0" w:line="141" w:lineRule="exact"/>
        <w:rPr>
          <w:sz w:val="20"/>
          <w:szCs w:val="20"/>
          <w:color w:val="auto"/>
        </w:rPr>
      </w:pPr>
    </w:p>
    <w:p>
      <w:pPr>
        <w:ind w:left="160" w:right="140"/>
        <w:spacing w:after="0" w:line="250" w:lineRule="auto"/>
        <w:rPr>
          <w:sz w:val="20"/>
          <w:szCs w:val="20"/>
          <w:color w:val="auto"/>
        </w:rPr>
      </w:pPr>
      <w:r>
        <w:rPr>
          <w:rFonts w:ascii="Arial" w:cs="Arial" w:eastAsia="Arial" w:hAnsi="Arial"/>
          <w:sz w:val="16"/>
          <w:szCs w:val="16"/>
          <w:color w:val="auto"/>
        </w:rPr>
        <w:t>The Company maintains the Hasbro, Inc. Change in Control Severance Plan for Designated Senior Executives (the “Change in Control Plan”). In fiscal 2025, participants in the Change in Control Plan included each of the NEOs while they were Section 16 officers. Under the Plan, if a Change in Control (as defined in the Change in Control Plan) occurs and the covered executive’s employment is terminated by the Company without Cause (as defined in the Change in Control Plan) or the covered executive resigns from the Company with Good Reason (as defined in the Change in Control Plan) in the 24 month period following the Change in Control, the covered executive will be entitled to the following payments and benefits: (A) two times (i) the sum of the covered executive’s annual base salary in effect on the date of termination (or, if higher, immediately preceding the Change in Control) and (ii) the percentage of earned salary, which constitutes the target bonus for the covered executive assuming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6964045" cy="39052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  53</w:t>
      </w:r>
    </w:p>
    <w:p>
      <w:pPr>
        <w:sectPr>
          <w:pgSz w:w="11900" w:h="16838" w:orient="portrait"/>
          <w:cols w:equalWidth="0" w:num="1">
            <w:col w:w="11060"/>
          </w:cols>
          <w:pgMar w:left="320" w:top="478" w:right="5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right="340"/>
        <w:spacing w:after="0" w:line="262" w:lineRule="auto"/>
        <w:rPr>
          <w:sz w:val="20"/>
          <w:szCs w:val="20"/>
          <w:color w:val="auto"/>
        </w:rPr>
      </w:pPr>
      <w:r>
        <w:rPr>
          <w:rFonts w:ascii="Arial" w:cs="Arial" w:eastAsia="Arial" w:hAnsi="Arial"/>
          <w:sz w:val="16"/>
          <w:szCs w:val="16"/>
          <w:color w:val="auto"/>
        </w:rPr>
        <w:t>Company performance under the annual incentive plan in place at the time of termination, and (B) payment by the Company of the employer and employee premiums for continued health coverage for the covered executive and his/her covered dependents for the shorter of 18 months following cessation of employment and the period for which the individuals are eligible for and elect such coverage.</w:t>
      </w:r>
    </w:p>
    <w:p>
      <w:pPr>
        <w:spacing w:after="0" w:line="93"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auto"/>
        </w:rPr>
        <w:t>The annual base salary and target bonus payouts will be reduced by an amount equal to the total severance payments to which the covered executive is entitled to receive or will receive under any other severance plan, policy or individual agreement applicable to the covered executive’s employment termination. The severance payments and benefits above are subject to the covered executive complying with a non-competition covenant, which is effective while the covered executive is employed by the Company and for a period of 18 months after the covered executive’s employment ends, regardless of the reason for the termination of employment. The Change in Control Plan does not provide for any tax gross-ups and does not provide benefits to the executive unless their employment with the Company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218440</wp:posOffset>
            </wp:positionV>
            <wp:extent cx="6929755" cy="33147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6929755" cy="331470"/>
                    </a:xfrm>
                    <a:prstGeom prst="rect">
                      <a:avLst/>
                    </a:prstGeom>
                    <a:noFill/>
                  </pic:spPr>
                </pic:pic>
              </a:graphicData>
            </a:graphic>
          </wp:anchor>
        </w:drawing>
      </w:r>
    </w:p>
    <w:p>
      <w:pPr>
        <w:spacing w:after="0" w:line="399"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CEO Pay Ratio</w:t>
      </w:r>
    </w:p>
    <w:p>
      <w:pPr>
        <w:spacing w:after="0" w:line="281" w:lineRule="exact"/>
        <w:rPr>
          <w:sz w:val="20"/>
          <w:szCs w:val="20"/>
          <w:color w:val="auto"/>
        </w:rPr>
      </w:pPr>
    </w:p>
    <w:p>
      <w:pPr>
        <w:ind w:left="160" w:right="240"/>
        <w:spacing w:after="0" w:line="256" w:lineRule="auto"/>
        <w:rPr>
          <w:sz w:val="20"/>
          <w:szCs w:val="20"/>
          <w:color w:val="auto"/>
        </w:rPr>
      </w:pPr>
      <w:r>
        <w:rPr>
          <w:rFonts w:ascii="Arial" w:cs="Arial" w:eastAsia="Arial" w:hAnsi="Arial"/>
          <w:sz w:val="16"/>
          <w:szCs w:val="16"/>
          <w:color w:val="auto"/>
        </w:rPr>
        <w:t>We are providing the following disclosure in accordance with the requirement of Section 402(u) of Regulation S-K promulgated by the SEC (the “SEC rules”). For purposes of calculating the CEO pay ratio for 2025, we used the same median employee identified in 2024. The Company believes there have been no changes in its employee population or compensation arrangements that would result in a significant change to the median employee. Accordingly, the median employee was not re-identified for 2025.</w:t>
      </w:r>
    </w:p>
    <w:p>
      <w:pPr>
        <w:spacing w:after="0" w:line="111" w:lineRule="exact"/>
        <w:rPr>
          <w:sz w:val="20"/>
          <w:szCs w:val="20"/>
          <w:color w:val="auto"/>
        </w:rPr>
      </w:pPr>
    </w:p>
    <w:p>
      <w:pPr>
        <w:ind w:left="160" w:right="400"/>
        <w:spacing w:after="0" w:line="279" w:lineRule="auto"/>
        <w:rPr>
          <w:sz w:val="20"/>
          <w:szCs w:val="20"/>
          <w:color w:val="auto"/>
        </w:rPr>
      </w:pPr>
      <w:r>
        <w:rPr>
          <w:rFonts w:ascii="Arial" w:cs="Arial" w:eastAsia="Arial" w:hAnsi="Arial"/>
          <w:sz w:val="16"/>
          <w:szCs w:val="16"/>
          <w:color w:val="auto"/>
        </w:rPr>
        <w:t>As of year-end 2025, we employed approximately 4,520 people worldwide, with approximately 58% of our employees in North America (51% in the United States; 7% in Canada), 19% in Europe, 18% in Asia Pacific, and 5% in Latin America (includes Mexico).</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determined that the median employee’s total compensation (as would be computed for purposes of the Summary Compensation Table) was</w:t>
      </w:r>
    </w:p>
    <w:p>
      <w:pPr>
        <w:spacing w:after="0" w:line="19" w:lineRule="exact"/>
        <w:rPr>
          <w:sz w:val="20"/>
          <w:szCs w:val="20"/>
          <w:color w:val="auto"/>
        </w:rPr>
      </w:pPr>
    </w:p>
    <w:p>
      <w:pPr>
        <w:ind w:left="160" w:right="40"/>
        <w:spacing w:after="0" w:line="258" w:lineRule="auto"/>
        <w:rPr>
          <w:sz w:val="20"/>
          <w:szCs w:val="20"/>
          <w:color w:val="auto"/>
        </w:rPr>
      </w:pPr>
      <w:r>
        <w:rPr>
          <w:rFonts w:ascii="Arial" w:cs="Arial" w:eastAsia="Arial" w:hAnsi="Arial"/>
          <w:sz w:val="16"/>
          <w:szCs w:val="16"/>
          <w:color w:val="auto"/>
        </w:rPr>
        <w:t>$113,241. The 2025 total compensation for our CEO, Mr. Cocks, as shown in our Summary Compensation Table above, is $18,672,521. As a result, our estimate of the ratio of CEO pay to median employee pay, with our CEO, is 165:1.</w:t>
      </w:r>
    </w:p>
    <w:p>
      <w:pPr>
        <w:spacing w:after="0" w:line="110"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This ratio is a reasonable estimate calculated using a methodology consistent with the SEC rules. As the SEC rules allow for companies to adopt a wide range of methodologies, to apply country exclusions and to make reasonable estimates and assumptions that reflect their compensation practices to identify the median employee and calculate the CEO pay ratio, the pay ratios reported by other companies may not be comparable to the pay ratio reported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6964045" cy="39052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  54</w:t>
      </w:r>
    </w:p>
    <w:p>
      <w:pPr>
        <w:sectPr>
          <w:pgSz w:w="11900" w:h="16838" w:orient="portrait"/>
          <w:cols w:equalWidth="0" w:num="1">
            <w:col w:w="10980"/>
          </w:cols>
          <w:pgMar w:left="320" w:top="478" w:right="5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39941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6929755" cy="399415"/>
                    </a:xfrm>
                    <a:prstGeom prst="rect">
                      <a:avLst/>
                    </a:prstGeom>
                    <a:noFill/>
                  </pic:spPr>
                </pic:pic>
              </a:graphicData>
            </a:graphic>
          </wp:anchor>
        </w:drawing>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Pay Versus Performance</w:t>
      </w:r>
    </w:p>
    <w:p>
      <w:pPr>
        <w:spacing w:after="0" w:line="348"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auto"/>
        </w:rPr>
        <w:t>The following table provides information regarding compensation paid to the Company’s Chief Executive Officer and other Named Executive Officers along with the cumulative total shareholder return of the Company and the Total Shareholder Return of the Russell 1000 Consumer Discretionary Index, the Company’s net income and the Company’s revenue, which is the Company’s most important financial performance measure used by the Company to link compensation actually paid to the Company’s named executive officers, for 2025, to Company performance.</w:t>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00"/>
        </w:trPr>
        <w:tc>
          <w:tcPr>
            <w:tcW w:w="1040" w:type="dxa"/>
            <w:vAlign w:val="bottom"/>
            <w:shd w:val="clear" w:color="auto" w:fill="CCEBF8"/>
          </w:tcPr>
          <w:p>
            <w:pPr>
              <w:spacing w:after="0"/>
              <w:rPr>
                <w:sz w:val="17"/>
                <w:szCs w:val="17"/>
                <w:color w:val="auto"/>
              </w:rPr>
            </w:pPr>
          </w:p>
        </w:tc>
        <w:tc>
          <w:tcPr>
            <w:tcW w:w="100" w:type="dxa"/>
            <w:vAlign w:val="bottom"/>
            <w:shd w:val="clear" w:color="auto" w:fill="CCEBF8"/>
          </w:tcPr>
          <w:p>
            <w:pPr>
              <w:spacing w:after="0"/>
              <w:rPr>
                <w:sz w:val="17"/>
                <w:szCs w:val="17"/>
                <w:color w:val="auto"/>
              </w:rPr>
            </w:pPr>
          </w:p>
        </w:tc>
        <w:tc>
          <w:tcPr>
            <w:tcW w:w="60" w:type="dxa"/>
            <w:vAlign w:val="bottom"/>
            <w:shd w:val="clear" w:color="auto" w:fill="CCEBF8"/>
          </w:tcPr>
          <w:p>
            <w:pPr>
              <w:spacing w:after="0"/>
              <w:rPr>
                <w:sz w:val="17"/>
                <w:szCs w:val="17"/>
                <w:color w:val="auto"/>
              </w:rPr>
            </w:pPr>
          </w:p>
        </w:tc>
        <w:tc>
          <w:tcPr>
            <w:tcW w:w="960" w:type="dxa"/>
            <w:vAlign w:val="bottom"/>
            <w:gridSpan w:val="2"/>
            <w:shd w:val="clear" w:color="auto" w:fill="CCEBF8"/>
          </w:tcPr>
          <w:p>
            <w:pPr>
              <w:ind w:left="580"/>
              <w:spacing w:after="0"/>
              <w:rPr>
                <w:sz w:val="20"/>
                <w:szCs w:val="20"/>
                <w:color w:val="auto"/>
              </w:rPr>
            </w:pPr>
            <w:r>
              <w:rPr>
                <w:rFonts w:ascii="Arial" w:cs="Arial" w:eastAsia="Arial" w:hAnsi="Arial"/>
                <w:sz w:val="11"/>
                <w:szCs w:val="11"/>
                <w:b w:val="1"/>
                <w:bCs w:val="1"/>
                <w:color w:val="009BDE"/>
              </w:rPr>
              <w:t>Cocks</w:t>
            </w:r>
          </w:p>
        </w:tc>
        <w:tc>
          <w:tcPr>
            <w:tcW w:w="600" w:type="dxa"/>
            <w:vAlign w:val="bottom"/>
            <w:shd w:val="clear" w:color="auto" w:fill="CCEBF8"/>
          </w:tcPr>
          <w:p>
            <w:pPr>
              <w:spacing w:after="0"/>
              <w:rPr>
                <w:sz w:val="17"/>
                <w:szCs w:val="17"/>
                <w:color w:val="auto"/>
              </w:rPr>
            </w:pPr>
          </w:p>
        </w:tc>
        <w:tc>
          <w:tcPr>
            <w:tcW w:w="40" w:type="dxa"/>
            <w:vAlign w:val="bottom"/>
            <w:shd w:val="clear" w:color="auto" w:fill="CCEBF8"/>
          </w:tcPr>
          <w:p>
            <w:pPr>
              <w:spacing w:after="0"/>
              <w:rPr>
                <w:sz w:val="17"/>
                <w:szCs w:val="17"/>
                <w:color w:val="auto"/>
              </w:rPr>
            </w:pPr>
          </w:p>
        </w:tc>
        <w:tc>
          <w:tcPr>
            <w:tcW w:w="100" w:type="dxa"/>
            <w:vAlign w:val="bottom"/>
            <w:shd w:val="clear" w:color="auto" w:fill="CCEBF8"/>
          </w:tcPr>
          <w:p>
            <w:pPr>
              <w:spacing w:after="0"/>
              <w:rPr>
                <w:sz w:val="17"/>
                <w:szCs w:val="17"/>
                <w:color w:val="auto"/>
              </w:rPr>
            </w:pPr>
          </w:p>
        </w:tc>
        <w:tc>
          <w:tcPr>
            <w:tcW w:w="100" w:type="dxa"/>
            <w:vAlign w:val="bottom"/>
            <w:shd w:val="clear" w:color="auto" w:fill="CCEBF8"/>
          </w:tcPr>
          <w:p>
            <w:pPr>
              <w:spacing w:after="0"/>
              <w:rPr>
                <w:sz w:val="17"/>
                <w:szCs w:val="17"/>
                <w:color w:val="auto"/>
              </w:rPr>
            </w:pPr>
          </w:p>
        </w:tc>
        <w:tc>
          <w:tcPr>
            <w:tcW w:w="960" w:type="dxa"/>
            <w:vAlign w:val="bottom"/>
            <w:gridSpan w:val="2"/>
            <w:shd w:val="clear" w:color="auto" w:fill="CCEBF8"/>
          </w:tcPr>
          <w:p>
            <w:pPr>
              <w:ind w:left="500"/>
              <w:spacing w:after="0"/>
              <w:rPr>
                <w:sz w:val="20"/>
                <w:szCs w:val="20"/>
                <w:color w:val="auto"/>
              </w:rPr>
            </w:pPr>
            <w:r>
              <w:rPr>
                <w:rFonts w:ascii="Arial" w:cs="Arial" w:eastAsia="Arial" w:hAnsi="Arial"/>
                <w:sz w:val="11"/>
                <w:szCs w:val="11"/>
                <w:b w:val="1"/>
                <w:bCs w:val="1"/>
                <w:color w:val="009BDE"/>
                <w:w w:val="97"/>
              </w:rPr>
              <w:t>Stoddart</w:t>
            </w:r>
          </w:p>
        </w:tc>
        <w:tc>
          <w:tcPr>
            <w:tcW w:w="560" w:type="dxa"/>
            <w:vAlign w:val="bottom"/>
            <w:shd w:val="clear" w:color="auto" w:fill="CCEBF8"/>
          </w:tcPr>
          <w:p>
            <w:pPr>
              <w:spacing w:after="0"/>
              <w:rPr>
                <w:sz w:val="17"/>
                <w:szCs w:val="17"/>
                <w:color w:val="auto"/>
              </w:rPr>
            </w:pPr>
          </w:p>
        </w:tc>
        <w:tc>
          <w:tcPr>
            <w:tcW w:w="160" w:type="dxa"/>
            <w:vAlign w:val="bottom"/>
            <w:shd w:val="clear" w:color="auto" w:fill="CCEBF8"/>
          </w:tcPr>
          <w:p>
            <w:pPr>
              <w:spacing w:after="0"/>
              <w:rPr>
                <w:sz w:val="17"/>
                <w:szCs w:val="17"/>
                <w:color w:val="auto"/>
              </w:rPr>
            </w:pPr>
          </w:p>
        </w:tc>
        <w:tc>
          <w:tcPr>
            <w:tcW w:w="1060" w:type="dxa"/>
            <w:vAlign w:val="bottom"/>
            <w:gridSpan w:val="2"/>
            <w:shd w:val="clear" w:color="auto" w:fill="CCEBF8"/>
          </w:tcPr>
          <w:p>
            <w:pPr>
              <w:jc w:val="right"/>
              <w:spacing w:after="0"/>
              <w:rPr>
                <w:sz w:val="20"/>
                <w:szCs w:val="20"/>
                <w:color w:val="auto"/>
              </w:rPr>
            </w:pPr>
            <w:r>
              <w:rPr>
                <w:rFonts w:ascii="Arial" w:cs="Arial" w:eastAsia="Arial" w:hAnsi="Arial"/>
                <w:sz w:val="11"/>
                <w:szCs w:val="11"/>
                <w:b w:val="1"/>
                <w:bCs w:val="1"/>
                <w:color w:val="009BDE"/>
              </w:rPr>
              <w:t>Goldner</w:t>
            </w:r>
          </w:p>
        </w:tc>
        <w:tc>
          <w:tcPr>
            <w:tcW w:w="580" w:type="dxa"/>
            <w:vAlign w:val="bottom"/>
            <w:shd w:val="clear" w:color="auto" w:fill="CCEBF8"/>
          </w:tcPr>
          <w:p>
            <w:pPr>
              <w:spacing w:after="0"/>
              <w:rPr>
                <w:sz w:val="17"/>
                <w:szCs w:val="17"/>
                <w:color w:val="auto"/>
              </w:rPr>
            </w:pPr>
          </w:p>
        </w:tc>
        <w:tc>
          <w:tcPr>
            <w:tcW w:w="60" w:type="dxa"/>
            <w:vAlign w:val="bottom"/>
            <w:shd w:val="clear" w:color="auto" w:fill="CCEBF8"/>
          </w:tcPr>
          <w:p>
            <w:pPr>
              <w:spacing w:after="0"/>
              <w:rPr>
                <w:sz w:val="17"/>
                <w:szCs w:val="17"/>
                <w:color w:val="auto"/>
              </w:rPr>
            </w:pPr>
          </w:p>
        </w:tc>
        <w:tc>
          <w:tcPr>
            <w:tcW w:w="680" w:type="dxa"/>
            <w:vAlign w:val="bottom"/>
            <w:shd w:val="clear" w:color="auto" w:fill="CCEBF8"/>
          </w:tcPr>
          <w:p>
            <w:pPr>
              <w:spacing w:after="0"/>
              <w:rPr>
                <w:sz w:val="17"/>
                <w:szCs w:val="17"/>
                <w:color w:val="auto"/>
              </w:rPr>
            </w:pPr>
          </w:p>
        </w:tc>
        <w:tc>
          <w:tcPr>
            <w:tcW w:w="760" w:type="dxa"/>
            <w:vAlign w:val="bottom"/>
            <w:shd w:val="clear" w:color="auto" w:fill="CCEBF8"/>
          </w:tcPr>
          <w:p>
            <w:pPr>
              <w:spacing w:after="0"/>
              <w:rPr>
                <w:sz w:val="17"/>
                <w:szCs w:val="17"/>
                <w:color w:val="auto"/>
              </w:rPr>
            </w:pPr>
          </w:p>
        </w:tc>
        <w:tc>
          <w:tcPr>
            <w:tcW w:w="80" w:type="dxa"/>
            <w:vAlign w:val="bottom"/>
            <w:shd w:val="clear" w:color="auto" w:fill="CCEBF8"/>
          </w:tcPr>
          <w:p>
            <w:pPr>
              <w:spacing w:after="0"/>
              <w:rPr>
                <w:sz w:val="17"/>
                <w:szCs w:val="17"/>
                <w:color w:val="auto"/>
              </w:rPr>
            </w:pPr>
          </w:p>
        </w:tc>
        <w:tc>
          <w:tcPr>
            <w:tcW w:w="380" w:type="dxa"/>
            <w:vAlign w:val="bottom"/>
            <w:shd w:val="clear" w:color="auto" w:fill="CCEBF8"/>
          </w:tcPr>
          <w:p>
            <w:pPr>
              <w:spacing w:after="0"/>
              <w:rPr>
                <w:sz w:val="17"/>
                <w:szCs w:val="17"/>
                <w:color w:val="auto"/>
              </w:rPr>
            </w:pPr>
          </w:p>
        </w:tc>
        <w:tc>
          <w:tcPr>
            <w:tcW w:w="140" w:type="dxa"/>
            <w:vAlign w:val="bottom"/>
            <w:shd w:val="clear" w:color="auto" w:fill="CCEBF8"/>
          </w:tcPr>
          <w:p>
            <w:pPr>
              <w:spacing w:after="0"/>
              <w:rPr>
                <w:sz w:val="17"/>
                <w:szCs w:val="17"/>
                <w:color w:val="auto"/>
              </w:rPr>
            </w:pPr>
          </w:p>
        </w:tc>
        <w:tc>
          <w:tcPr>
            <w:tcW w:w="660" w:type="dxa"/>
            <w:vAlign w:val="bottom"/>
            <w:shd w:val="clear" w:color="auto" w:fill="CCEBF8"/>
          </w:tcPr>
          <w:p>
            <w:pPr>
              <w:spacing w:after="0"/>
              <w:rPr>
                <w:sz w:val="17"/>
                <w:szCs w:val="17"/>
                <w:color w:val="auto"/>
              </w:rPr>
            </w:pPr>
          </w:p>
        </w:tc>
        <w:tc>
          <w:tcPr>
            <w:tcW w:w="120" w:type="dxa"/>
            <w:vAlign w:val="bottom"/>
            <w:shd w:val="clear" w:color="auto" w:fill="CCEBF8"/>
          </w:tcPr>
          <w:p>
            <w:pPr>
              <w:spacing w:after="0"/>
              <w:rPr>
                <w:sz w:val="17"/>
                <w:szCs w:val="17"/>
                <w:color w:val="auto"/>
              </w:rPr>
            </w:pPr>
          </w:p>
        </w:tc>
        <w:tc>
          <w:tcPr>
            <w:tcW w:w="840" w:type="dxa"/>
            <w:vAlign w:val="bottom"/>
            <w:shd w:val="clear" w:color="auto" w:fill="CCEBF8"/>
          </w:tcPr>
          <w:p>
            <w:pPr>
              <w:spacing w:after="0"/>
              <w:rPr>
                <w:sz w:val="17"/>
                <w:szCs w:val="17"/>
                <w:color w:val="auto"/>
              </w:rPr>
            </w:pPr>
          </w:p>
        </w:tc>
        <w:tc>
          <w:tcPr>
            <w:tcW w:w="80" w:type="dxa"/>
            <w:vAlign w:val="bottom"/>
            <w:shd w:val="clear" w:color="auto" w:fill="CCEBF8"/>
          </w:tcPr>
          <w:p>
            <w:pPr>
              <w:spacing w:after="0"/>
              <w:rPr>
                <w:sz w:val="17"/>
                <w:szCs w:val="17"/>
                <w:color w:val="auto"/>
              </w:rPr>
            </w:pPr>
          </w:p>
        </w:tc>
        <w:tc>
          <w:tcPr>
            <w:tcW w:w="760" w:type="dxa"/>
            <w:vAlign w:val="bottom"/>
            <w:shd w:val="clear" w:color="auto" w:fill="CCEBF8"/>
          </w:tcPr>
          <w:p>
            <w:pPr>
              <w:spacing w:after="0"/>
              <w:rPr>
                <w:sz w:val="17"/>
                <w:szCs w:val="17"/>
                <w:color w:val="auto"/>
              </w:rPr>
            </w:pPr>
          </w:p>
        </w:tc>
        <w:tc>
          <w:tcPr>
            <w:tcW w:w="40" w:type="dxa"/>
            <w:vAlign w:val="bottom"/>
            <w:shd w:val="clear" w:color="auto" w:fill="CCEBF8"/>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040" w:type="dxa"/>
            <w:vAlign w:val="bottom"/>
            <w:tcBorders>
              <w:bottom w:val="single" w:sz="8" w:color="CCEBF8"/>
            </w:tcBorders>
            <w:shd w:val="clear" w:color="auto" w:fill="CCEBF8"/>
          </w:tcPr>
          <w:p>
            <w:pPr>
              <w:spacing w:after="0"/>
              <w:rPr>
                <w:sz w:val="10"/>
                <w:szCs w:val="10"/>
                <w:color w:val="auto"/>
              </w:rPr>
            </w:pPr>
          </w:p>
        </w:tc>
        <w:tc>
          <w:tcPr>
            <w:tcW w:w="100" w:type="dxa"/>
            <w:vAlign w:val="bottom"/>
            <w:tcBorders>
              <w:bottom w:val="single" w:sz="8" w:color="CCEBF8"/>
            </w:tcBorders>
            <w:shd w:val="clear" w:color="auto" w:fill="CCEBF8"/>
          </w:tcPr>
          <w:p>
            <w:pPr>
              <w:spacing w:after="0"/>
              <w:rPr>
                <w:sz w:val="10"/>
                <w:szCs w:val="10"/>
                <w:color w:val="auto"/>
              </w:rPr>
            </w:pPr>
          </w:p>
        </w:tc>
        <w:tc>
          <w:tcPr>
            <w:tcW w:w="60" w:type="dxa"/>
            <w:vAlign w:val="bottom"/>
            <w:tcBorders>
              <w:bottom w:val="single" w:sz="8" w:color="009BDE"/>
            </w:tcBorders>
            <w:shd w:val="clear" w:color="auto" w:fill="CCEBF8"/>
          </w:tcPr>
          <w:p>
            <w:pPr>
              <w:spacing w:after="0"/>
              <w:rPr>
                <w:sz w:val="10"/>
                <w:szCs w:val="10"/>
                <w:color w:val="auto"/>
              </w:rPr>
            </w:pPr>
          </w:p>
        </w:tc>
        <w:tc>
          <w:tcPr>
            <w:tcW w:w="740" w:type="dxa"/>
            <w:vAlign w:val="bottom"/>
            <w:tcBorders>
              <w:bottom w:val="single" w:sz="8" w:color="009BDE"/>
            </w:tcBorders>
            <w:shd w:val="clear" w:color="auto" w:fill="CCEBF8"/>
          </w:tcPr>
          <w:p>
            <w:pPr>
              <w:spacing w:after="0"/>
              <w:rPr>
                <w:sz w:val="10"/>
                <w:szCs w:val="10"/>
                <w:color w:val="auto"/>
              </w:rPr>
            </w:pPr>
          </w:p>
        </w:tc>
        <w:tc>
          <w:tcPr>
            <w:tcW w:w="220" w:type="dxa"/>
            <w:vAlign w:val="bottom"/>
            <w:tcBorders>
              <w:bottom w:val="single" w:sz="8" w:color="009BDE"/>
            </w:tcBorders>
            <w:shd w:val="clear" w:color="auto" w:fill="CCEBF8"/>
          </w:tcPr>
          <w:p>
            <w:pPr>
              <w:spacing w:after="0"/>
              <w:rPr>
                <w:sz w:val="10"/>
                <w:szCs w:val="10"/>
                <w:color w:val="auto"/>
              </w:rPr>
            </w:pPr>
          </w:p>
        </w:tc>
        <w:tc>
          <w:tcPr>
            <w:tcW w:w="600" w:type="dxa"/>
            <w:vAlign w:val="bottom"/>
            <w:tcBorders>
              <w:bottom w:val="single" w:sz="8" w:color="009BDE"/>
            </w:tcBorders>
            <w:shd w:val="clear" w:color="auto" w:fill="CCEBF8"/>
          </w:tcPr>
          <w:p>
            <w:pPr>
              <w:spacing w:after="0"/>
              <w:rPr>
                <w:sz w:val="10"/>
                <w:szCs w:val="10"/>
                <w:color w:val="auto"/>
              </w:rPr>
            </w:pPr>
          </w:p>
        </w:tc>
        <w:tc>
          <w:tcPr>
            <w:tcW w:w="40" w:type="dxa"/>
            <w:vAlign w:val="bottom"/>
            <w:tcBorders>
              <w:bottom w:val="single" w:sz="8" w:color="CCEBF8"/>
            </w:tcBorders>
            <w:shd w:val="clear" w:color="auto" w:fill="CCEBF8"/>
          </w:tcPr>
          <w:p>
            <w:pPr>
              <w:spacing w:after="0"/>
              <w:rPr>
                <w:sz w:val="10"/>
                <w:szCs w:val="10"/>
                <w:color w:val="auto"/>
              </w:rPr>
            </w:pPr>
          </w:p>
        </w:tc>
        <w:tc>
          <w:tcPr>
            <w:tcW w:w="100" w:type="dxa"/>
            <w:vAlign w:val="bottom"/>
            <w:tcBorders>
              <w:bottom w:val="single" w:sz="8" w:color="CCEBF8"/>
            </w:tcBorders>
            <w:shd w:val="clear" w:color="auto" w:fill="CCEBF8"/>
          </w:tcPr>
          <w:p>
            <w:pPr>
              <w:spacing w:after="0"/>
              <w:rPr>
                <w:sz w:val="10"/>
                <w:szCs w:val="10"/>
                <w:color w:val="auto"/>
              </w:rPr>
            </w:pPr>
          </w:p>
        </w:tc>
        <w:tc>
          <w:tcPr>
            <w:tcW w:w="100" w:type="dxa"/>
            <w:vAlign w:val="bottom"/>
            <w:tcBorders>
              <w:bottom w:val="single" w:sz="8" w:color="009BDE"/>
            </w:tcBorders>
            <w:shd w:val="clear" w:color="auto" w:fill="CCEBF8"/>
          </w:tcPr>
          <w:p>
            <w:pPr>
              <w:spacing w:after="0"/>
              <w:rPr>
                <w:sz w:val="10"/>
                <w:szCs w:val="10"/>
                <w:color w:val="auto"/>
              </w:rPr>
            </w:pPr>
          </w:p>
        </w:tc>
        <w:tc>
          <w:tcPr>
            <w:tcW w:w="720" w:type="dxa"/>
            <w:vAlign w:val="bottom"/>
            <w:tcBorders>
              <w:bottom w:val="single" w:sz="8" w:color="009BDE"/>
            </w:tcBorders>
            <w:shd w:val="clear" w:color="auto" w:fill="CCEBF8"/>
          </w:tcPr>
          <w:p>
            <w:pPr>
              <w:spacing w:after="0"/>
              <w:rPr>
                <w:sz w:val="10"/>
                <w:szCs w:val="10"/>
                <w:color w:val="auto"/>
              </w:rPr>
            </w:pPr>
          </w:p>
        </w:tc>
        <w:tc>
          <w:tcPr>
            <w:tcW w:w="240" w:type="dxa"/>
            <w:vAlign w:val="bottom"/>
            <w:tcBorders>
              <w:bottom w:val="single" w:sz="8" w:color="009BDE"/>
            </w:tcBorders>
            <w:shd w:val="clear" w:color="auto" w:fill="CCEBF8"/>
          </w:tcPr>
          <w:p>
            <w:pPr>
              <w:spacing w:after="0"/>
              <w:rPr>
                <w:sz w:val="10"/>
                <w:szCs w:val="10"/>
                <w:color w:val="auto"/>
              </w:rPr>
            </w:pPr>
          </w:p>
        </w:tc>
        <w:tc>
          <w:tcPr>
            <w:tcW w:w="560" w:type="dxa"/>
            <w:vAlign w:val="bottom"/>
            <w:tcBorders>
              <w:bottom w:val="single" w:sz="8" w:color="009BDE"/>
            </w:tcBorders>
            <w:shd w:val="clear" w:color="auto" w:fill="CCEBF8"/>
          </w:tcPr>
          <w:p>
            <w:pPr>
              <w:spacing w:after="0"/>
              <w:rPr>
                <w:sz w:val="10"/>
                <w:szCs w:val="10"/>
                <w:color w:val="auto"/>
              </w:rPr>
            </w:pPr>
          </w:p>
        </w:tc>
        <w:tc>
          <w:tcPr>
            <w:tcW w:w="160" w:type="dxa"/>
            <w:vAlign w:val="bottom"/>
            <w:tcBorders>
              <w:bottom w:val="single" w:sz="8" w:color="CCEBF8"/>
            </w:tcBorders>
            <w:shd w:val="clear" w:color="auto" w:fill="CCEBF8"/>
          </w:tcPr>
          <w:p>
            <w:pPr>
              <w:spacing w:after="0"/>
              <w:rPr>
                <w:sz w:val="10"/>
                <w:szCs w:val="10"/>
                <w:color w:val="auto"/>
              </w:rPr>
            </w:pPr>
          </w:p>
        </w:tc>
        <w:tc>
          <w:tcPr>
            <w:tcW w:w="820" w:type="dxa"/>
            <w:vAlign w:val="bottom"/>
            <w:tcBorders>
              <w:bottom w:val="single" w:sz="8" w:color="009BDE"/>
            </w:tcBorders>
            <w:shd w:val="clear" w:color="auto" w:fill="CCEBF8"/>
          </w:tcPr>
          <w:p>
            <w:pPr>
              <w:spacing w:after="0"/>
              <w:rPr>
                <w:sz w:val="10"/>
                <w:szCs w:val="10"/>
                <w:color w:val="auto"/>
              </w:rPr>
            </w:pPr>
          </w:p>
        </w:tc>
        <w:tc>
          <w:tcPr>
            <w:tcW w:w="240" w:type="dxa"/>
            <w:vAlign w:val="bottom"/>
            <w:tcBorders>
              <w:bottom w:val="single" w:sz="8" w:color="009BDE"/>
            </w:tcBorders>
            <w:shd w:val="clear" w:color="auto" w:fill="CCEBF8"/>
          </w:tcPr>
          <w:p>
            <w:pPr>
              <w:spacing w:after="0"/>
              <w:rPr>
                <w:sz w:val="10"/>
                <w:szCs w:val="10"/>
                <w:color w:val="auto"/>
              </w:rPr>
            </w:pPr>
          </w:p>
        </w:tc>
        <w:tc>
          <w:tcPr>
            <w:tcW w:w="580" w:type="dxa"/>
            <w:vAlign w:val="bottom"/>
            <w:tcBorders>
              <w:bottom w:val="single" w:sz="8" w:color="009BDE"/>
            </w:tcBorders>
            <w:shd w:val="clear" w:color="auto" w:fill="CCEBF8"/>
          </w:tcPr>
          <w:p>
            <w:pPr>
              <w:spacing w:after="0"/>
              <w:rPr>
                <w:sz w:val="10"/>
                <w:szCs w:val="10"/>
                <w:color w:val="auto"/>
              </w:rPr>
            </w:pPr>
          </w:p>
        </w:tc>
        <w:tc>
          <w:tcPr>
            <w:tcW w:w="60" w:type="dxa"/>
            <w:vAlign w:val="bottom"/>
            <w:tcBorders>
              <w:bottom w:val="single" w:sz="8" w:color="CCEBF8"/>
            </w:tcBorders>
            <w:shd w:val="clear" w:color="auto" w:fill="CCEBF8"/>
          </w:tcPr>
          <w:p>
            <w:pPr>
              <w:spacing w:after="0"/>
              <w:rPr>
                <w:sz w:val="10"/>
                <w:szCs w:val="10"/>
                <w:color w:val="auto"/>
              </w:rPr>
            </w:pPr>
          </w:p>
        </w:tc>
        <w:tc>
          <w:tcPr>
            <w:tcW w:w="680" w:type="dxa"/>
            <w:vAlign w:val="bottom"/>
            <w:tcBorders>
              <w:bottom w:val="single" w:sz="8" w:color="CCEBF8"/>
            </w:tcBorders>
            <w:shd w:val="clear" w:color="auto" w:fill="CCEBF8"/>
          </w:tcPr>
          <w:p>
            <w:pPr>
              <w:spacing w:after="0"/>
              <w:rPr>
                <w:sz w:val="10"/>
                <w:szCs w:val="10"/>
                <w:color w:val="auto"/>
              </w:rPr>
            </w:pPr>
          </w:p>
        </w:tc>
        <w:tc>
          <w:tcPr>
            <w:tcW w:w="760" w:type="dxa"/>
            <w:vAlign w:val="bottom"/>
            <w:tcBorders>
              <w:bottom w:val="single" w:sz="8" w:color="CCEBF8"/>
            </w:tcBorders>
            <w:shd w:val="clear" w:color="auto" w:fill="CCEBF8"/>
          </w:tcPr>
          <w:p>
            <w:pPr>
              <w:spacing w:after="0"/>
              <w:rPr>
                <w:sz w:val="10"/>
                <w:szCs w:val="10"/>
                <w:color w:val="auto"/>
              </w:rPr>
            </w:pPr>
          </w:p>
        </w:tc>
        <w:tc>
          <w:tcPr>
            <w:tcW w:w="80" w:type="dxa"/>
            <w:vAlign w:val="bottom"/>
            <w:tcBorders>
              <w:bottom w:val="single" w:sz="8" w:color="CCEBF8"/>
            </w:tcBorders>
            <w:shd w:val="clear" w:color="auto" w:fill="CCEBF8"/>
          </w:tcPr>
          <w:p>
            <w:pPr>
              <w:spacing w:after="0"/>
              <w:rPr>
                <w:sz w:val="10"/>
                <w:szCs w:val="10"/>
                <w:color w:val="auto"/>
              </w:rPr>
            </w:pPr>
          </w:p>
        </w:tc>
        <w:tc>
          <w:tcPr>
            <w:tcW w:w="1180" w:type="dxa"/>
            <w:vAlign w:val="bottom"/>
            <w:tcBorders>
              <w:bottom w:val="single" w:sz="8" w:color="CCEBF8"/>
            </w:tcBorders>
            <w:gridSpan w:val="3"/>
            <w:vMerge w:val="restart"/>
            <w:shd w:val="clear" w:color="auto" w:fill="CCEBF8"/>
          </w:tcPr>
          <w:p>
            <w:pPr>
              <w:jc w:val="center"/>
              <w:ind w:right="67"/>
              <w:spacing w:after="0"/>
              <w:rPr>
                <w:sz w:val="20"/>
                <w:szCs w:val="20"/>
                <w:color w:val="auto"/>
              </w:rPr>
            </w:pPr>
            <w:r>
              <w:rPr>
                <w:rFonts w:ascii="Arial" w:cs="Arial" w:eastAsia="Arial" w:hAnsi="Arial"/>
                <w:sz w:val="11"/>
                <w:szCs w:val="11"/>
                <w:b w:val="1"/>
                <w:bCs w:val="1"/>
                <w:color w:val="009BDE"/>
                <w:w w:val="95"/>
              </w:rPr>
              <w:t>Value of Initial Fixed</w:t>
            </w:r>
          </w:p>
        </w:tc>
        <w:tc>
          <w:tcPr>
            <w:tcW w:w="120" w:type="dxa"/>
            <w:vAlign w:val="bottom"/>
            <w:tcBorders>
              <w:bottom w:val="single" w:sz="8" w:color="CCEBF8"/>
            </w:tcBorders>
            <w:shd w:val="clear" w:color="auto" w:fill="CCEBF8"/>
          </w:tcPr>
          <w:p>
            <w:pPr>
              <w:spacing w:after="0"/>
              <w:rPr>
                <w:sz w:val="10"/>
                <w:szCs w:val="10"/>
                <w:color w:val="auto"/>
              </w:rPr>
            </w:pPr>
          </w:p>
        </w:tc>
        <w:tc>
          <w:tcPr>
            <w:tcW w:w="840" w:type="dxa"/>
            <w:vAlign w:val="bottom"/>
            <w:tcBorders>
              <w:bottom w:val="single" w:sz="8" w:color="CCEBF8"/>
            </w:tcBorders>
            <w:shd w:val="clear" w:color="auto" w:fill="CCEBF8"/>
          </w:tcPr>
          <w:p>
            <w:pPr>
              <w:spacing w:after="0"/>
              <w:rPr>
                <w:sz w:val="10"/>
                <w:szCs w:val="10"/>
                <w:color w:val="auto"/>
              </w:rPr>
            </w:pPr>
          </w:p>
        </w:tc>
        <w:tc>
          <w:tcPr>
            <w:tcW w:w="80" w:type="dxa"/>
            <w:vAlign w:val="bottom"/>
            <w:tcBorders>
              <w:bottom w:val="single" w:sz="8" w:color="CCEBF8"/>
            </w:tcBorders>
            <w:shd w:val="clear" w:color="auto" w:fill="CCEBF8"/>
          </w:tcPr>
          <w:p>
            <w:pPr>
              <w:spacing w:after="0"/>
              <w:rPr>
                <w:sz w:val="10"/>
                <w:szCs w:val="10"/>
                <w:color w:val="auto"/>
              </w:rPr>
            </w:pPr>
          </w:p>
        </w:tc>
        <w:tc>
          <w:tcPr>
            <w:tcW w:w="800" w:type="dxa"/>
            <w:vAlign w:val="bottom"/>
            <w:tcBorders>
              <w:bottom w:val="single" w:sz="8" w:color="CCEBF8"/>
            </w:tcBorders>
            <w:gridSpan w:val="2"/>
            <w:vMerge w:val="restart"/>
            <w:shd w:val="clear" w:color="auto" w:fill="CCEBF8"/>
          </w:tcPr>
          <w:p>
            <w:pPr>
              <w:jc w:val="center"/>
              <w:ind w:right="40"/>
              <w:spacing w:after="0"/>
              <w:rPr>
                <w:sz w:val="20"/>
                <w:szCs w:val="20"/>
                <w:color w:val="auto"/>
              </w:rPr>
            </w:pPr>
            <w:r>
              <w:rPr>
                <w:rFonts w:ascii="Arial" w:cs="Arial" w:eastAsia="Arial" w:hAnsi="Arial"/>
                <w:sz w:val="11"/>
                <w:szCs w:val="11"/>
                <w:b w:val="1"/>
                <w:bCs w:val="1"/>
                <w:color w:val="009BDE"/>
                <w:w w:val="95"/>
              </w:rPr>
              <w:t>Company</w:t>
            </w:r>
          </w:p>
        </w:tc>
        <w:tc>
          <w:tcPr>
            <w:tcW w:w="0" w:type="dxa"/>
            <w:vAlign w:val="bottom"/>
          </w:tcPr>
          <w:p>
            <w:pPr>
              <w:spacing w:after="0"/>
              <w:rPr>
                <w:sz w:val="1"/>
                <w:szCs w:val="1"/>
                <w:color w:val="auto"/>
              </w:rPr>
            </w:pPr>
          </w:p>
        </w:tc>
      </w:tr>
      <w:tr>
        <w:trPr>
          <w:trHeight w:val="154"/>
        </w:trPr>
        <w:tc>
          <w:tcPr>
            <w:tcW w:w="1040" w:type="dxa"/>
            <w:vAlign w:val="bottom"/>
            <w:shd w:val="clear" w:color="auto" w:fill="CCEBF8"/>
          </w:tcPr>
          <w:p>
            <w:pPr>
              <w:spacing w:after="0"/>
              <w:rPr>
                <w:sz w:val="13"/>
                <w:szCs w:val="13"/>
                <w:color w:val="auto"/>
              </w:rPr>
            </w:pPr>
          </w:p>
        </w:tc>
        <w:tc>
          <w:tcPr>
            <w:tcW w:w="100" w:type="dxa"/>
            <w:vAlign w:val="bottom"/>
            <w:shd w:val="clear" w:color="auto" w:fill="CCEBF8"/>
          </w:tcPr>
          <w:p>
            <w:pPr>
              <w:spacing w:after="0"/>
              <w:rPr>
                <w:sz w:val="13"/>
                <w:szCs w:val="13"/>
                <w:color w:val="auto"/>
              </w:rPr>
            </w:pPr>
          </w:p>
        </w:tc>
        <w:tc>
          <w:tcPr>
            <w:tcW w:w="60" w:type="dxa"/>
            <w:vAlign w:val="bottom"/>
            <w:shd w:val="clear" w:color="auto" w:fill="CCEBF8"/>
          </w:tcPr>
          <w:p>
            <w:pPr>
              <w:spacing w:after="0"/>
              <w:rPr>
                <w:sz w:val="13"/>
                <w:szCs w:val="13"/>
                <w:color w:val="auto"/>
              </w:rPr>
            </w:pPr>
          </w:p>
        </w:tc>
        <w:tc>
          <w:tcPr>
            <w:tcW w:w="740" w:type="dxa"/>
            <w:vAlign w:val="bottom"/>
            <w:shd w:val="clear" w:color="auto" w:fill="CCEBF8"/>
          </w:tcPr>
          <w:p>
            <w:pPr>
              <w:spacing w:after="0"/>
              <w:rPr>
                <w:sz w:val="13"/>
                <w:szCs w:val="13"/>
                <w:color w:val="auto"/>
              </w:rPr>
            </w:pPr>
          </w:p>
        </w:tc>
        <w:tc>
          <w:tcPr>
            <w:tcW w:w="220" w:type="dxa"/>
            <w:vAlign w:val="bottom"/>
            <w:shd w:val="clear" w:color="auto" w:fill="CCEBF8"/>
          </w:tcPr>
          <w:p>
            <w:pPr>
              <w:spacing w:after="0"/>
              <w:rPr>
                <w:sz w:val="13"/>
                <w:szCs w:val="13"/>
                <w:color w:val="auto"/>
              </w:rPr>
            </w:pPr>
          </w:p>
        </w:tc>
        <w:tc>
          <w:tcPr>
            <w:tcW w:w="600" w:type="dxa"/>
            <w:vAlign w:val="bottom"/>
            <w:shd w:val="clear" w:color="auto" w:fill="CCEBF8"/>
          </w:tcPr>
          <w:p>
            <w:pPr>
              <w:spacing w:after="0"/>
              <w:rPr>
                <w:sz w:val="13"/>
                <w:szCs w:val="13"/>
                <w:color w:val="auto"/>
              </w:rPr>
            </w:pPr>
          </w:p>
        </w:tc>
        <w:tc>
          <w:tcPr>
            <w:tcW w:w="40" w:type="dxa"/>
            <w:vAlign w:val="bottom"/>
            <w:shd w:val="clear" w:color="auto" w:fill="CCEBF8"/>
          </w:tcPr>
          <w:p>
            <w:pPr>
              <w:spacing w:after="0"/>
              <w:rPr>
                <w:sz w:val="13"/>
                <w:szCs w:val="13"/>
                <w:color w:val="auto"/>
              </w:rPr>
            </w:pPr>
          </w:p>
        </w:tc>
        <w:tc>
          <w:tcPr>
            <w:tcW w:w="100" w:type="dxa"/>
            <w:vAlign w:val="bottom"/>
            <w:shd w:val="clear" w:color="auto" w:fill="CCEBF8"/>
          </w:tcPr>
          <w:p>
            <w:pPr>
              <w:spacing w:after="0"/>
              <w:rPr>
                <w:sz w:val="13"/>
                <w:szCs w:val="13"/>
                <w:color w:val="auto"/>
              </w:rPr>
            </w:pPr>
          </w:p>
        </w:tc>
        <w:tc>
          <w:tcPr>
            <w:tcW w:w="100" w:type="dxa"/>
            <w:vAlign w:val="bottom"/>
            <w:shd w:val="clear" w:color="auto" w:fill="CCEBF8"/>
          </w:tcPr>
          <w:p>
            <w:pPr>
              <w:spacing w:after="0"/>
              <w:rPr>
                <w:sz w:val="13"/>
                <w:szCs w:val="13"/>
                <w:color w:val="auto"/>
              </w:rPr>
            </w:pPr>
          </w:p>
        </w:tc>
        <w:tc>
          <w:tcPr>
            <w:tcW w:w="720" w:type="dxa"/>
            <w:vAlign w:val="bottom"/>
            <w:shd w:val="clear" w:color="auto" w:fill="CCEBF8"/>
          </w:tcPr>
          <w:p>
            <w:pPr>
              <w:spacing w:after="0"/>
              <w:rPr>
                <w:sz w:val="13"/>
                <w:szCs w:val="13"/>
                <w:color w:val="auto"/>
              </w:rPr>
            </w:pPr>
          </w:p>
        </w:tc>
        <w:tc>
          <w:tcPr>
            <w:tcW w:w="240" w:type="dxa"/>
            <w:vAlign w:val="bottom"/>
            <w:shd w:val="clear" w:color="auto" w:fill="CCEBF8"/>
          </w:tcPr>
          <w:p>
            <w:pPr>
              <w:spacing w:after="0"/>
              <w:rPr>
                <w:sz w:val="13"/>
                <w:szCs w:val="13"/>
                <w:color w:val="auto"/>
              </w:rPr>
            </w:pPr>
          </w:p>
        </w:tc>
        <w:tc>
          <w:tcPr>
            <w:tcW w:w="560" w:type="dxa"/>
            <w:vAlign w:val="bottom"/>
            <w:shd w:val="clear" w:color="auto" w:fill="CCEBF8"/>
          </w:tcPr>
          <w:p>
            <w:pPr>
              <w:spacing w:after="0"/>
              <w:rPr>
                <w:sz w:val="13"/>
                <w:szCs w:val="13"/>
                <w:color w:val="auto"/>
              </w:rPr>
            </w:pPr>
          </w:p>
        </w:tc>
        <w:tc>
          <w:tcPr>
            <w:tcW w:w="160" w:type="dxa"/>
            <w:vAlign w:val="bottom"/>
            <w:shd w:val="clear" w:color="auto" w:fill="CCEBF8"/>
          </w:tcPr>
          <w:p>
            <w:pPr>
              <w:spacing w:after="0"/>
              <w:rPr>
                <w:sz w:val="13"/>
                <w:szCs w:val="13"/>
                <w:color w:val="auto"/>
              </w:rPr>
            </w:pPr>
          </w:p>
        </w:tc>
        <w:tc>
          <w:tcPr>
            <w:tcW w:w="820" w:type="dxa"/>
            <w:vAlign w:val="bottom"/>
            <w:shd w:val="clear" w:color="auto" w:fill="CCEBF8"/>
          </w:tcPr>
          <w:p>
            <w:pPr>
              <w:spacing w:after="0"/>
              <w:rPr>
                <w:sz w:val="13"/>
                <w:szCs w:val="13"/>
                <w:color w:val="auto"/>
              </w:rPr>
            </w:pPr>
          </w:p>
        </w:tc>
        <w:tc>
          <w:tcPr>
            <w:tcW w:w="240" w:type="dxa"/>
            <w:vAlign w:val="bottom"/>
            <w:shd w:val="clear" w:color="auto" w:fill="CCEBF8"/>
          </w:tcPr>
          <w:p>
            <w:pPr>
              <w:spacing w:after="0"/>
              <w:rPr>
                <w:sz w:val="13"/>
                <w:szCs w:val="13"/>
                <w:color w:val="auto"/>
              </w:rPr>
            </w:pPr>
          </w:p>
        </w:tc>
        <w:tc>
          <w:tcPr>
            <w:tcW w:w="580" w:type="dxa"/>
            <w:vAlign w:val="bottom"/>
            <w:shd w:val="clear" w:color="auto" w:fill="CCEBF8"/>
          </w:tcPr>
          <w:p>
            <w:pPr>
              <w:spacing w:after="0"/>
              <w:rPr>
                <w:sz w:val="13"/>
                <w:szCs w:val="13"/>
                <w:color w:val="auto"/>
              </w:rPr>
            </w:pPr>
          </w:p>
        </w:tc>
        <w:tc>
          <w:tcPr>
            <w:tcW w:w="60" w:type="dxa"/>
            <w:vAlign w:val="bottom"/>
            <w:shd w:val="clear" w:color="auto" w:fill="CCEBF8"/>
          </w:tcPr>
          <w:p>
            <w:pPr>
              <w:spacing w:after="0"/>
              <w:rPr>
                <w:sz w:val="13"/>
                <w:szCs w:val="13"/>
                <w:color w:val="auto"/>
              </w:rPr>
            </w:pPr>
          </w:p>
        </w:tc>
        <w:tc>
          <w:tcPr>
            <w:tcW w:w="680" w:type="dxa"/>
            <w:vAlign w:val="bottom"/>
            <w:shd w:val="clear" w:color="auto" w:fill="CCEBF8"/>
          </w:tcPr>
          <w:p>
            <w:pPr>
              <w:spacing w:after="0"/>
              <w:rPr>
                <w:sz w:val="13"/>
                <w:szCs w:val="13"/>
                <w:color w:val="auto"/>
              </w:rPr>
            </w:pPr>
          </w:p>
        </w:tc>
        <w:tc>
          <w:tcPr>
            <w:tcW w:w="760" w:type="dxa"/>
            <w:vAlign w:val="bottom"/>
            <w:shd w:val="clear" w:color="auto" w:fill="CCEBF8"/>
          </w:tcPr>
          <w:p>
            <w:pPr>
              <w:spacing w:after="0"/>
              <w:rPr>
                <w:sz w:val="13"/>
                <w:szCs w:val="13"/>
                <w:color w:val="auto"/>
              </w:rPr>
            </w:pPr>
          </w:p>
        </w:tc>
        <w:tc>
          <w:tcPr>
            <w:tcW w:w="80" w:type="dxa"/>
            <w:vAlign w:val="bottom"/>
            <w:shd w:val="clear" w:color="auto" w:fill="CCEBF8"/>
          </w:tcPr>
          <w:p>
            <w:pPr>
              <w:spacing w:after="0"/>
              <w:rPr>
                <w:sz w:val="13"/>
                <w:szCs w:val="13"/>
                <w:color w:val="auto"/>
              </w:rPr>
            </w:pPr>
          </w:p>
        </w:tc>
        <w:tc>
          <w:tcPr>
            <w:tcW w:w="1180" w:type="dxa"/>
            <w:vAlign w:val="bottom"/>
            <w:gridSpan w:val="3"/>
            <w:vMerge w:val="continue"/>
            <w:shd w:val="clear" w:color="auto" w:fill="CCEBF8"/>
          </w:tcPr>
          <w:p>
            <w:pPr>
              <w:spacing w:after="0"/>
              <w:rPr>
                <w:sz w:val="13"/>
                <w:szCs w:val="13"/>
                <w:color w:val="auto"/>
              </w:rPr>
            </w:pPr>
          </w:p>
        </w:tc>
        <w:tc>
          <w:tcPr>
            <w:tcW w:w="120" w:type="dxa"/>
            <w:vAlign w:val="bottom"/>
            <w:shd w:val="clear" w:color="auto" w:fill="CCEBF8"/>
          </w:tcPr>
          <w:p>
            <w:pPr>
              <w:spacing w:after="0"/>
              <w:rPr>
                <w:sz w:val="13"/>
                <w:szCs w:val="13"/>
                <w:color w:val="auto"/>
              </w:rPr>
            </w:pPr>
          </w:p>
        </w:tc>
        <w:tc>
          <w:tcPr>
            <w:tcW w:w="840" w:type="dxa"/>
            <w:vAlign w:val="bottom"/>
            <w:shd w:val="clear" w:color="auto" w:fill="CCEBF8"/>
          </w:tcPr>
          <w:p>
            <w:pPr>
              <w:spacing w:after="0"/>
              <w:rPr>
                <w:sz w:val="13"/>
                <w:szCs w:val="13"/>
                <w:color w:val="auto"/>
              </w:rPr>
            </w:pPr>
          </w:p>
        </w:tc>
        <w:tc>
          <w:tcPr>
            <w:tcW w:w="80" w:type="dxa"/>
            <w:vAlign w:val="bottom"/>
            <w:shd w:val="clear" w:color="auto" w:fill="CCEBF8"/>
          </w:tcPr>
          <w:p>
            <w:pPr>
              <w:spacing w:after="0"/>
              <w:rPr>
                <w:sz w:val="13"/>
                <w:szCs w:val="13"/>
                <w:color w:val="auto"/>
              </w:rPr>
            </w:pPr>
          </w:p>
        </w:tc>
        <w:tc>
          <w:tcPr>
            <w:tcW w:w="800" w:type="dxa"/>
            <w:vAlign w:val="bottom"/>
            <w:gridSpan w:val="2"/>
            <w:vMerge w:val="continue"/>
            <w:shd w:val="clear" w:color="auto" w:fill="CCEBF8"/>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40" w:type="dxa"/>
            <w:vAlign w:val="bottom"/>
            <w:shd w:val="clear" w:color="auto" w:fill="CCEBF8"/>
          </w:tcPr>
          <w:p>
            <w:pPr>
              <w:spacing w:after="0"/>
              <w:rPr>
                <w:sz w:val="10"/>
                <w:szCs w:val="10"/>
                <w:color w:val="auto"/>
              </w:rPr>
            </w:pPr>
          </w:p>
        </w:tc>
        <w:tc>
          <w:tcPr>
            <w:tcW w:w="100" w:type="dxa"/>
            <w:vAlign w:val="bottom"/>
            <w:shd w:val="clear" w:color="auto" w:fill="CCEBF8"/>
          </w:tcPr>
          <w:p>
            <w:pPr>
              <w:spacing w:after="0"/>
              <w:rPr>
                <w:sz w:val="10"/>
                <w:szCs w:val="10"/>
                <w:color w:val="auto"/>
              </w:rPr>
            </w:pPr>
          </w:p>
        </w:tc>
        <w:tc>
          <w:tcPr>
            <w:tcW w:w="60" w:type="dxa"/>
            <w:vAlign w:val="bottom"/>
            <w:shd w:val="clear" w:color="auto" w:fill="CCEBF8"/>
          </w:tcPr>
          <w:p>
            <w:pPr>
              <w:spacing w:after="0"/>
              <w:rPr>
                <w:sz w:val="10"/>
                <w:szCs w:val="10"/>
                <w:color w:val="auto"/>
              </w:rPr>
            </w:pPr>
          </w:p>
        </w:tc>
        <w:tc>
          <w:tcPr>
            <w:tcW w:w="740" w:type="dxa"/>
            <w:vAlign w:val="bottom"/>
            <w:shd w:val="clear" w:color="auto" w:fill="CCEBF8"/>
          </w:tcPr>
          <w:p>
            <w:pPr>
              <w:spacing w:after="0"/>
              <w:rPr>
                <w:sz w:val="10"/>
                <w:szCs w:val="10"/>
                <w:color w:val="auto"/>
              </w:rPr>
            </w:pPr>
          </w:p>
        </w:tc>
        <w:tc>
          <w:tcPr>
            <w:tcW w:w="220" w:type="dxa"/>
            <w:vAlign w:val="bottom"/>
            <w:shd w:val="clear" w:color="auto" w:fill="CCEBF8"/>
          </w:tcPr>
          <w:p>
            <w:pPr>
              <w:spacing w:after="0"/>
              <w:rPr>
                <w:sz w:val="10"/>
                <w:szCs w:val="10"/>
                <w:color w:val="auto"/>
              </w:rPr>
            </w:pPr>
          </w:p>
        </w:tc>
        <w:tc>
          <w:tcPr>
            <w:tcW w:w="600" w:type="dxa"/>
            <w:vAlign w:val="bottom"/>
            <w:shd w:val="clear" w:color="auto" w:fill="CCEBF8"/>
          </w:tcPr>
          <w:p>
            <w:pPr>
              <w:spacing w:after="0"/>
              <w:rPr>
                <w:sz w:val="10"/>
                <w:szCs w:val="10"/>
                <w:color w:val="auto"/>
              </w:rPr>
            </w:pPr>
          </w:p>
        </w:tc>
        <w:tc>
          <w:tcPr>
            <w:tcW w:w="40" w:type="dxa"/>
            <w:vAlign w:val="bottom"/>
            <w:shd w:val="clear" w:color="auto" w:fill="CCEBF8"/>
          </w:tcPr>
          <w:p>
            <w:pPr>
              <w:spacing w:after="0"/>
              <w:rPr>
                <w:sz w:val="10"/>
                <w:szCs w:val="10"/>
                <w:color w:val="auto"/>
              </w:rPr>
            </w:pPr>
          </w:p>
        </w:tc>
        <w:tc>
          <w:tcPr>
            <w:tcW w:w="100" w:type="dxa"/>
            <w:vAlign w:val="bottom"/>
            <w:shd w:val="clear" w:color="auto" w:fill="CCEBF8"/>
          </w:tcPr>
          <w:p>
            <w:pPr>
              <w:spacing w:after="0"/>
              <w:rPr>
                <w:sz w:val="10"/>
                <w:szCs w:val="10"/>
                <w:color w:val="auto"/>
              </w:rPr>
            </w:pPr>
          </w:p>
        </w:tc>
        <w:tc>
          <w:tcPr>
            <w:tcW w:w="100" w:type="dxa"/>
            <w:vAlign w:val="bottom"/>
            <w:shd w:val="clear" w:color="auto" w:fill="CCEBF8"/>
          </w:tcPr>
          <w:p>
            <w:pPr>
              <w:spacing w:after="0"/>
              <w:rPr>
                <w:sz w:val="10"/>
                <w:szCs w:val="10"/>
                <w:color w:val="auto"/>
              </w:rPr>
            </w:pPr>
          </w:p>
        </w:tc>
        <w:tc>
          <w:tcPr>
            <w:tcW w:w="720" w:type="dxa"/>
            <w:vAlign w:val="bottom"/>
            <w:shd w:val="clear" w:color="auto" w:fill="CCEBF8"/>
          </w:tcPr>
          <w:p>
            <w:pPr>
              <w:spacing w:after="0"/>
              <w:rPr>
                <w:sz w:val="10"/>
                <w:szCs w:val="10"/>
                <w:color w:val="auto"/>
              </w:rPr>
            </w:pPr>
          </w:p>
        </w:tc>
        <w:tc>
          <w:tcPr>
            <w:tcW w:w="240" w:type="dxa"/>
            <w:vAlign w:val="bottom"/>
            <w:shd w:val="clear" w:color="auto" w:fill="CCEBF8"/>
          </w:tcPr>
          <w:p>
            <w:pPr>
              <w:spacing w:after="0"/>
              <w:rPr>
                <w:sz w:val="10"/>
                <w:szCs w:val="10"/>
                <w:color w:val="auto"/>
              </w:rPr>
            </w:pPr>
          </w:p>
        </w:tc>
        <w:tc>
          <w:tcPr>
            <w:tcW w:w="560" w:type="dxa"/>
            <w:vAlign w:val="bottom"/>
            <w:shd w:val="clear" w:color="auto" w:fill="CCEBF8"/>
          </w:tcPr>
          <w:p>
            <w:pPr>
              <w:spacing w:after="0"/>
              <w:rPr>
                <w:sz w:val="10"/>
                <w:szCs w:val="10"/>
                <w:color w:val="auto"/>
              </w:rPr>
            </w:pPr>
          </w:p>
        </w:tc>
        <w:tc>
          <w:tcPr>
            <w:tcW w:w="160" w:type="dxa"/>
            <w:vAlign w:val="bottom"/>
            <w:shd w:val="clear" w:color="auto" w:fill="CCEBF8"/>
          </w:tcPr>
          <w:p>
            <w:pPr>
              <w:spacing w:after="0"/>
              <w:rPr>
                <w:sz w:val="10"/>
                <w:szCs w:val="10"/>
                <w:color w:val="auto"/>
              </w:rPr>
            </w:pPr>
          </w:p>
        </w:tc>
        <w:tc>
          <w:tcPr>
            <w:tcW w:w="820" w:type="dxa"/>
            <w:vAlign w:val="bottom"/>
            <w:shd w:val="clear" w:color="auto" w:fill="CCEBF8"/>
          </w:tcPr>
          <w:p>
            <w:pPr>
              <w:spacing w:after="0"/>
              <w:rPr>
                <w:sz w:val="10"/>
                <w:szCs w:val="10"/>
                <w:color w:val="auto"/>
              </w:rPr>
            </w:pPr>
          </w:p>
        </w:tc>
        <w:tc>
          <w:tcPr>
            <w:tcW w:w="240" w:type="dxa"/>
            <w:vAlign w:val="bottom"/>
            <w:shd w:val="clear" w:color="auto" w:fill="CCEBF8"/>
          </w:tcPr>
          <w:p>
            <w:pPr>
              <w:spacing w:after="0"/>
              <w:rPr>
                <w:sz w:val="10"/>
                <w:szCs w:val="10"/>
                <w:color w:val="auto"/>
              </w:rPr>
            </w:pPr>
          </w:p>
        </w:tc>
        <w:tc>
          <w:tcPr>
            <w:tcW w:w="580" w:type="dxa"/>
            <w:vAlign w:val="bottom"/>
            <w:shd w:val="clear" w:color="auto" w:fill="CCEBF8"/>
          </w:tcPr>
          <w:p>
            <w:pPr>
              <w:spacing w:after="0"/>
              <w:rPr>
                <w:sz w:val="10"/>
                <w:szCs w:val="10"/>
                <w:color w:val="auto"/>
              </w:rPr>
            </w:pPr>
          </w:p>
        </w:tc>
        <w:tc>
          <w:tcPr>
            <w:tcW w:w="60" w:type="dxa"/>
            <w:vAlign w:val="bottom"/>
            <w:shd w:val="clear" w:color="auto" w:fill="CCEBF8"/>
          </w:tcPr>
          <w:p>
            <w:pPr>
              <w:spacing w:after="0"/>
              <w:rPr>
                <w:sz w:val="10"/>
                <w:szCs w:val="10"/>
                <w:color w:val="auto"/>
              </w:rPr>
            </w:pPr>
          </w:p>
        </w:tc>
        <w:tc>
          <w:tcPr>
            <w:tcW w:w="680" w:type="dxa"/>
            <w:vAlign w:val="bottom"/>
            <w:shd w:val="clear" w:color="auto" w:fill="CCEBF8"/>
          </w:tcPr>
          <w:p>
            <w:pPr>
              <w:spacing w:after="0"/>
              <w:rPr>
                <w:sz w:val="10"/>
                <w:szCs w:val="10"/>
                <w:color w:val="auto"/>
              </w:rPr>
            </w:pPr>
          </w:p>
        </w:tc>
        <w:tc>
          <w:tcPr>
            <w:tcW w:w="760" w:type="dxa"/>
            <w:vAlign w:val="bottom"/>
            <w:shd w:val="clear" w:color="auto" w:fill="CCEBF8"/>
          </w:tcPr>
          <w:p>
            <w:pPr>
              <w:spacing w:after="0"/>
              <w:rPr>
                <w:sz w:val="10"/>
                <w:szCs w:val="10"/>
                <w:color w:val="auto"/>
              </w:rPr>
            </w:pPr>
          </w:p>
        </w:tc>
        <w:tc>
          <w:tcPr>
            <w:tcW w:w="80" w:type="dxa"/>
            <w:vAlign w:val="bottom"/>
            <w:shd w:val="clear" w:color="auto" w:fill="CCEBF8"/>
          </w:tcPr>
          <w:p>
            <w:pPr>
              <w:spacing w:after="0"/>
              <w:rPr>
                <w:sz w:val="10"/>
                <w:szCs w:val="10"/>
                <w:color w:val="auto"/>
              </w:rPr>
            </w:pPr>
          </w:p>
        </w:tc>
        <w:tc>
          <w:tcPr>
            <w:tcW w:w="1180" w:type="dxa"/>
            <w:vAlign w:val="bottom"/>
            <w:gridSpan w:val="3"/>
            <w:shd w:val="clear" w:color="auto" w:fill="CCEBF8"/>
          </w:tcPr>
          <w:p>
            <w:pPr>
              <w:jc w:val="center"/>
              <w:ind w:right="67"/>
              <w:spacing w:after="0" w:line="121" w:lineRule="exact"/>
              <w:rPr>
                <w:sz w:val="20"/>
                <w:szCs w:val="20"/>
                <w:color w:val="auto"/>
              </w:rPr>
            </w:pPr>
            <w:r>
              <w:rPr>
                <w:rFonts w:ascii="Arial" w:cs="Arial" w:eastAsia="Arial" w:hAnsi="Arial"/>
                <w:sz w:val="11"/>
                <w:szCs w:val="11"/>
                <w:b w:val="1"/>
                <w:bCs w:val="1"/>
                <w:color w:val="009BDE"/>
                <w:w w:val="95"/>
              </w:rPr>
              <w:t>$100 Investment</w:t>
            </w:r>
          </w:p>
        </w:tc>
        <w:tc>
          <w:tcPr>
            <w:tcW w:w="120" w:type="dxa"/>
            <w:vAlign w:val="bottom"/>
            <w:shd w:val="clear" w:color="auto" w:fill="CCEBF8"/>
          </w:tcPr>
          <w:p>
            <w:pPr>
              <w:spacing w:after="0"/>
              <w:rPr>
                <w:sz w:val="10"/>
                <w:szCs w:val="10"/>
                <w:color w:val="auto"/>
              </w:rPr>
            </w:pPr>
          </w:p>
        </w:tc>
        <w:tc>
          <w:tcPr>
            <w:tcW w:w="840" w:type="dxa"/>
            <w:vAlign w:val="bottom"/>
            <w:shd w:val="clear" w:color="auto" w:fill="CCEBF8"/>
          </w:tcPr>
          <w:p>
            <w:pPr>
              <w:spacing w:after="0"/>
              <w:rPr>
                <w:sz w:val="10"/>
                <w:szCs w:val="10"/>
                <w:color w:val="auto"/>
              </w:rPr>
            </w:pPr>
          </w:p>
        </w:tc>
        <w:tc>
          <w:tcPr>
            <w:tcW w:w="80" w:type="dxa"/>
            <w:vAlign w:val="bottom"/>
            <w:shd w:val="clear" w:color="auto" w:fill="CCEBF8"/>
          </w:tcPr>
          <w:p>
            <w:pPr>
              <w:spacing w:after="0"/>
              <w:rPr>
                <w:sz w:val="10"/>
                <w:szCs w:val="10"/>
                <w:color w:val="auto"/>
              </w:rPr>
            </w:pPr>
          </w:p>
        </w:tc>
        <w:tc>
          <w:tcPr>
            <w:tcW w:w="800" w:type="dxa"/>
            <w:vAlign w:val="bottom"/>
            <w:gridSpan w:val="2"/>
            <w:shd w:val="clear" w:color="auto" w:fill="CCEBF8"/>
          </w:tcPr>
          <w:p>
            <w:pPr>
              <w:jc w:val="center"/>
              <w:ind w:right="40"/>
              <w:spacing w:after="0" w:line="121" w:lineRule="exact"/>
              <w:rPr>
                <w:sz w:val="20"/>
                <w:szCs w:val="20"/>
                <w:color w:val="auto"/>
              </w:rPr>
            </w:pPr>
            <w:r>
              <w:rPr>
                <w:rFonts w:ascii="Arial" w:cs="Arial" w:eastAsia="Arial" w:hAnsi="Arial"/>
                <w:sz w:val="11"/>
                <w:szCs w:val="11"/>
                <w:b w:val="1"/>
                <w:bCs w:val="1"/>
                <w:color w:val="009BDE"/>
                <w:w w:val="97"/>
              </w:rPr>
              <w:t>Selected</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CCEBF8"/>
            </w:tcBorders>
            <w:shd w:val="clear" w:color="auto" w:fill="CCEBF8"/>
          </w:tcPr>
          <w:p>
            <w:pPr>
              <w:spacing w:after="0"/>
              <w:rPr>
                <w:sz w:val="16"/>
                <w:szCs w:val="16"/>
                <w:color w:val="auto"/>
              </w:rPr>
            </w:pPr>
          </w:p>
        </w:tc>
        <w:tc>
          <w:tcPr>
            <w:tcW w:w="100" w:type="dxa"/>
            <w:vAlign w:val="bottom"/>
            <w:tcBorders>
              <w:bottom w:val="single" w:sz="8" w:color="CCEBF8"/>
            </w:tcBorders>
            <w:shd w:val="clear" w:color="auto" w:fill="CCEBF8"/>
          </w:tcPr>
          <w:p>
            <w:pPr>
              <w:spacing w:after="0"/>
              <w:rPr>
                <w:sz w:val="16"/>
                <w:szCs w:val="16"/>
                <w:color w:val="auto"/>
              </w:rPr>
            </w:pPr>
          </w:p>
        </w:tc>
        <w:tc>
          <w:tcPr>
            <w:tcW w:w="60" w:type="dxa"/>
            <w:vAlign w:val="bottom"/>
            <w:tcBorders>
              <w:bottom w:val="single" w:sz="8" w:color="CCEBF8"/>
            </w:tcBorders>
            <w:shd w:val="clear" w:color="auto" w:fill="CCEBF8"/>
          </w:tcPr>
          <w:p>
            <w:pPr>
              <w:spacing w:after="0"/>
              <w:rPr>
                <w:sz w:val="16"/>
                <w:szCs w:val="16"/>
                <w:color w:val="auto"/>
              </w:rPr>
            </w:pPr>
          </w:p>
        </w:tc>
        <w:tc>
          <w:tcPr>
            <w:tcW w:w="740" w:type="dxa"/>
            <w:vAlign w:val="bottom"/>
            <w:tcBorders>
              <w:bottom w:val="single" w:sz="8" w:color="CCEBF8"/>
            </w:tcBorders>
            <w:shd w:val="clear" w:color="auto" w:fill="CCEBF8"/>
          </w:tcPr>
          <w:p>
            <w:pPr>
              <w:spacing w:after="0"/>
              <w:rPr>
                <w:sz w:val="16"/>
                <w:szCs w:val="16"/>
                <w:color w:val="auto"/>
              </w:rPr>
            </w:pPr>
          </w:p>
        </w:tc>
        <w:tc>
          <w:tcPr>
            <w:tcW w:w="220" w:type="dxa"/>
            <w:vAlign w:val="bottom"/>
            <w:tcBorders>
              <w:bottom w:val="single" w:sz="8" w:color="CCEBF8"/>
            </w:tcBorders>
            <w:shd w:val="clear" w:color="auto" w:fill="CCEBF8"/>
          </w:tcPr>
          <w:p>
            <w:pPr>
              <w:spacing w:after="0"/>
              <w:rPr>
                <w:sz w:val="16"/>
                <w:szCs w:val="16"/>
                <w:color w:val="auto"/>
              </w:rPr>
            </w:pPr>
          </w:p>
        </w:tc>
        <w:tc>
          <w:tcPr>
            <w:tcW w:w="600" w:type="dxa"/>
            <w:vAlign w:val="bottom"/>
            <w:tcBorders>
              <w:bottom w:val="single" w:sz="8" w:color="CCEBF8"/>
            </w:tcBorders>
            <w:shd w:val="clear" w:color="auto" w:fill="CCEBF8"/>
          </w:tcPr>
          <w:p>
            <w:pPr>
              <w:spacing w:after="0"/>
              <w:rPr>
                <w:sz w:val="16"/>
                <w:szCs w:val="16"/>
                <w:color w:val="auto"/>
              </w:rPr>
            </w:pPr>
          </w:p>
        </w:tc>
        <w:tc>
          <w:tcPr>
            <w:tcW w:w="40" w:type="dxa"/>
            <w:vAlign w:val="bottom"/>
            <w:tcBorders>
              <w:bottom w:val="single" w:sz="8" w:color="CCEBF8"/>
            </w:tcBorders>
            <w:shd w:val="clear" w:color="auto" w:fill="CCEBF8"/>
          </w:tcPr>
          <w:p>
            <w:pPr>
              <w:spacing w:after="0"/>
              <w:rPr>
                <w:sz w:val="16"/>
                <w:szCs w:val="16"/>
                <w:color w:val="auto"/>
              </w:rPr>
            </w:pPr>
          </w:p>
        </w:tc>
        <w:tc>
          <w:tcPr>
            <w:tcW w:w="100" w:type="dxa"/>
            <w:vAlign w:val="bottom"/>
            <w:tcBorders>
              <w:bottom w:val="single" w:sz="8" w:color="CCEBF8"/>
            </w:tcBorders>
            <w:shd w:val="clear" w:color="auto" w:fill="CCEBF8"/>
          </w:tcPr>
          <w:p>
            <w:pPr>
              <w:spacing w:after="0"/>
              <w:rPr>
                <w:sz w:val="16"/>
                <w:szCs w:val="16"/>
                <w:color w:val="auto"/>
              </w:rPr>
            </w:pPr>
          </w:p>
        </w:tc>
        <w:tc>
          <w:tcPr>
            <w:tcW w:w="100" w:type="dxa"/>
            <w:vAlign w:val="bottom"/>
            <w:tcBorders>
              <w:bottom w:val="single" w:sz="8" w:color="CCEBF8"/>
            </w:tcBorders>
            <w:shd w:val="clear" w:color="auto" w:fill="CCEBF8"/>
          </w:tcPr>
          <w:p>
            <w:pPr>
              <w:spacing w:after="0"/>
              <w:rPr>
                <w:sz w:val="16"/>
                <w:szCs w:val="16"/>
                <w:color w:val="auto"/>
              </w:rPr>
            </w:pPr>
          </w:p>
        </w:tc>
        <w:tc>
          <w:tcPr>
            <w:tcW w:w="720" w:type="dxa"/>
            <w:vAlign w:val="bottom"/>
            <w:tcBorders>
              <w:bottom w:val="single" w:sz="8" w:color="CCEBF8"/>
            </w:tcBorders>
            <w:shd w:val="clear" w:color="auto" w:fill="CCEBF8"/>
          </w:tcPr>
          <w:p>
            <w:pPr>
              <w:spacing w:after="0"/>
              <w:rPr>
                <w:sz w:val="16"/>
                <w:szCs w:val="16"/>
                <w:color w:val="auto"/>
              </w:rPr>
            </w:pPr>
          </w:p>
        </w:tc>
        <w:tc>
          <w:tcPr>
            <w:tcW w:w="240" w:type="dxa"/>
            <w:vAlign w:val="bottom"/>
            <w:tcBorders>
              <w:bottom w:val="single" w:sz="8" w:color="CCEBF8"/>
            </w:tcBorders>
            <w:shd w:val="clear" w:color="auto" w:fill="CCEBF8"/>
          </w:tcPr>
          <w:p>
            <w:pPr>
              <w:spacing w:after="0"/>
              <w:rPr>
                <w:sz w:val="16"/>
                <w:szCs w:val="16"/>
                <w:color w:val="auto"/>
              </w:rPr>
            </w:pPr>
          </w:p>
        </w:tc>
        <w:tc>
          <w:tcPr>
            <w:tcW w:w="560" w:type="dxa"/>
            <w:vAlign w:val="bottom"/>
            <w:tcBorders>
              <w:bottom w:val="single" w:sz="8" w:color="CCEBF8"/>
            </w:tcBorders>
            <w:shd w:val="clear" w:color="auto" w:fill="CCEBF8"/>
          </w:tcPr>
          <w:p>
            <w:pPr>
              <w:spacing w:after="0"/>
              <w:rPr>
                <w:sz w:val="16"/>
                <w:szCs w:val="16"/>
                <w:color w:val="auto"/>
              </w:rPr>
            </w:pPr>
          </w:p>
        </w:tc>
        <w:tc>
          <w:tcPr>
            <w:tcW w:w="160" w:type="dxa"/>
            <w:vAlign w:val="bottom"/>
            <w:tcBorders>
              <w:bottom w:val="single" w:sz="8" w:color="CCEBF8"/>
            </w:tcBorders>
            <w:shd w:val="clear" w:color="auto" w:fill="CCEBF8"/>
          </w:tcPr>
          <w:p>
            <w:pPr>
              <w:spacing w:after="0"/>
              <w:rPr>
                <w:sz w:val="16"/>
                <w:szCs w:val="16"/>
                <w:color w:val="auto"/>
              </w:rPr>
            </w:pPr>
          </w:p>
        </w:tc>
        <w:tc>
          <w:tcPr>
            <w:tcW w:w="820" w:type="dxa"/>
            <w:vAlign w:val="bottom"/>
            <w:tcBorders>
              <w:bottom w:val="single" w:sz="8" w:color="CCEBF8"/>
            </w:tcBorders>
            <w:shd w:val="clear" w:color="auto" w:fill="CCEBF8"/>
          </w:tcPr>
          <w:p>
            <w:pPr>
              <w:spacing w:after="0"/>
              <w:rPr>
                <w:sz w:val="16"/>
                <w:szCs w:val="16"/>
                <w:color w:val="auto"/>
              </w:rPr>
            </w:pPr>
          </w:p>
        </w:tc>
        <w:tc>
          <w:tcPr>
            <w:tcW w:w="240" w:type="dxa"/>
            <w:vAlign w:val="bottom"/>
            <w:tcBorders>
              <w:bottom w:val="single" w:sz="8" w:color="CCEBF8"/>
            </w:tcBorders>
            <w:shd w:val="clear" w:color="auto" w:fill="CCEBF8"/>
          </w:tcPr>
          <w:p>
            <w:pPr>
              <w:spacing w:after="0"/>
              <w:rPr>
                <w:sz w:val="16"/>
                <w:szCs w:val="16"/>
                <w:color w:val="auto"/>
              </w:rPr>
            </w:pPr>
          </w:p>
        </w:tc>
        <w:tc>
          <w:tcPr>
            <w:tcW w:w="580" w:type="dxa"/>
            <w:vAlign w:val="bottom"/>
            <w:tcBorders>
              <w:bottom w:val="single" w:sz="8" w:color="CCEBF8"/>
            </w:tcBorders>
            <w:shd w:val="clear" w:color="auto" w:fill="CCEBF8"/>
          </w:tcPr>
          <w:p>
            <w:pPr>
              <w:spacing w:after="0"/>
              <w:rPr>
                <w:sz w:val="16"/>
                <w:szCs w:val="16"/>
                <w:color w:val="auto"/>
              </w:rPr>
            </w:pPr>
          </w:p>
        </w:tc>
        <w:tc>
          <w:tcPr>
            <w:tcW w:w="60" w:type="dxa"/>
            <w:vAlign w:val="bottom"/>
            <w:tcBorders>
              <w:bottom w:val="single" w:sz="8" w:color="CCEBF8"/>
            </w:tcBorders>
            <w:shd w:val="clear" w:color="auto" w:fill="CCEBF8"/>
          </w:tcPr>
          <w:p>
            <w:pPr>
              <w:spacing w:after="0"/>
              <w:rPr>
                <w:sz w:val="16"/>
                <w:szCs w:val="16"/>
                <w:color w:val="auto"/>
              </w:rPr>
            </w:pPr>
          </w:p>
        </w:tc>
        <w:tc>
          <w:tcPr>
            <w:tcW w:w="680" w:type="dxa"/>
            <w:vAlign w:val="bottom"/>
            <w:tcBorders>
              <w:bottom w:val="single" w:sz="8" w:color="CCEBF8"/>
            </w:tcBorders>
            <w:shd w:val="clear" w:color="auto" w:fill="CCEBF8"/>
          </w:tcPr>
          <w:p>
            <w:pPr>
              <w:spacing w:after="0"/>
              <w:rPr>
                <w:sz w:val="16"/>
                <w:szCs w:val="16"/>
                <w:color w:val="auto"/>
              </w:rPr>
            </w:pPr>
          </w:p>
        </w:tc>
        <w:tc>
          <w:tcPr>
            <w:tcW w:w="760" w:type="dxa"/>
            <w:vAlign w:val="bottom"/>
            <w:tcBorders>
              <w:bottom w:val="single" w:sz="8" w:color="CCEBF8"/>
            </w:tcBorders>
            <w:shd w:val="clear" w:color="auto" w:fill="CCEBF8"/>
          </w:tcPr>
          <w:p>
            <w:pPr>
              <w:spacing w:after="0"/>
              <w:rPr>
                <w:sz w:val="16"/>
                <w:szCs w:val="16"/>
                <w:color w:val="auto"/>
              </w:rPr>
            </w:pPr>
          </w:p>
        </w:tc>
        <w:tc>
          <w:tcPr>
            <w:tcW w:w="80" w:type="dxa"/>
            <w:vAlign w:val="bottom"/>
            <w:tcBorders>
              <w:bottom w:val="single" w:sz="8" w:color="CCEBF8"/>
            </w:tcBorders>
            <w:shd w:val="clear" w:color="auto" w:fill="CCEBF8"/>
          </w:tcPr>
          <w:p>
            <w:pPr>
              <w:spacing w:after="0"/>
              <w:rPr>
                <w:sz w:val="16"/>
                <w:szCs w:val="16"/>
                <w:color w:val="auto"/>
              </w:rPr>
            </w:pPr>
          </w:p>
        </w:tc>
        <w:tc>
          <w:tcPr>
            <w:tcW w:w="1180" w:type="dxa"/>
            <w:vAlign w:val="bottom"/>
            <w:tcBorders>
              <w:bottom w:val="single" w:sz="8" w:color="CCEBF8"/>
            </w:tcBorders>
            <w:gridSpan w:val="3"/>
            <w:shd w:val="clear" w:color="auto" w:fill="CCEBF8"/>
          </w:tcPr>
          <w:p>
            <w:pPr>
              <w:jc w:val="center"/>
              <w:ind w:right="47"/>
              <w:spacing w:after="0"/>
              <w:rPr>
                <w:sz w:val="20"/>
                <w:szCs w:val="20"/>
                <w:color w:val="auto"/>
              </w:rPr>
            </w:pPr>
            <w:r>
              <w:rPr>
                <w:rFonts w:ascii="Arial" w:cs="Arial" w:eastAsia="Arial" w:hAnsi="Arial"/>
                <w:sz w:val="11"/>
                <w:szCs w:val="11"/>
                <w:b w:val="1"/>
                <w:bCs w:val="1"/>
                <w:color w:val="009BDE"/>
                <w:w w:val="99"/>
              </w:rPr>
              <w:t>Based on</w:t>
            </w:r>
            <w:r>
              <w:rPr>
                <w:rFonts w:ascii="Arial" w:cs="Arial" w:eastAsia="Arial" w:hAnsi="Arial"/>
                <w:sz w:val="6"/>
                <w:szCs w:val="6"/>
                <w:b w:val="1"/>
                <w:bCs w:val="1"/>
                <w:color w:val="009BDE"/>
                <w:w w:val="99"/>
              </w:rPr>
              <w:t>(4)</w:t>
            </w:r>
            <w:r>
              <w:rPr>
                <w:rFonts w:ascii="Arial" w:cs="Arial" w:eastAsia="Arial" w:hAnsi="Arial"/>
                <w:sz w:val="11"/>
                <w:szCs w:val="11"/>
                <w:b w:val="1"/>
                <w:bCs w:val="1"/>
                <w:color w:val="009BDE"/>
                <w:w w:val="99"/>
              </w:rPr>
              <w:t>:</w:t>
            </w:r>
          </w:p>
        </w:tc>
        <w:tc>
          <w:tcPr>
            <w:tcW w:w="120" w:type="dxa"/>
            <w:vAlign w:val="bottom"/>
            <w:tcBorders>
              <w:bottom w:val="single" w:sz="8" w:color="CCEBF8"/>
            </w:tcBorders>
            <w:shd w:val="clear" w:color="auto" w:fill="CCEBF8"/>
          </w:tcPr>
          <w:p>
            <w:pPr>
              <w:spacing w:after="0"/>
              <w:rPr>
                <w:sz w:val="16"/>
                <w:szCs w:val="16"/>
                <w:color w:val="auto"/>
              </w:rPr>
            </w:pPr>
          </w:p>
        </w:tc>
        <w:tc>
          <w:tcPr>
            <w:tcW w:w="840" w:type="dxa"/>
            <w:vAlign w:val="bottom"/>
            <w:tcBorders>
              <w:bottom w:val="single" w:sz="8" w:color="CCEBF8"/>
            </w:tcBorders>
            <w:shd w:val="clear" w:color="auto" w:fill="CCEBF8"/>
          </w:tcPr>
          <w:p>
            <w:pPr>
              <w:spacing w:after="0"/>
              <w:rPr>
                <w:sz w:val="16"/>
                <w:szCs w:val="16"/>
                <w:color w:val="auto"/>
              </w:rPr>
            </w:pPr>
          </w:p>
        </w:tc>
        <w:tc>
          <w:tcPr>
            <w:tcW w:w="80" w:type="dxa"/>
            <w:vAlign w:val="bottom"/>
            <w:tcBorders>
              <w:bottom w:val="single" w:sz="8" w:color="CCEBF8"/>
            </w:tcBorders>
            <w:shd w:val="clear" w:color="auto" w:fill="CCEBF8"/>
          </w:tcPr>
          <w:p>
            <w:pPr>
              <w:spacing w:after="0"/>
              <w:rPr>
                <w:sz w:val="16"/>
                <w:szCs w:val="16"/>
                <w:color w:val="auto"/>
              </w:rPr>
            </w:pPr>
          </w:p>
        </w:tc>
        <w:tc>
          <w:tcPr>
            <w:tcW w:w="800" w:type="dxa"/>
            <w:vAlign w:val="bottom"/>
            <w:tcBorders>
              <w:bottom w:val="single" w:sz="8" w:color="CCEBF8"/>
            </w:tcBorders>
            <w:gridSpan w:val="2"/>
            <w:shd w:val="clear" w:color="auto" w:fill="CCEBF8"/>
          </w:tcPr>
          <w:p>
            <w:pPr>
              <w:jc w:val="center"/>
              <w:ind w:right="40"/>
              <w:spacing w:after="0"/>
              <w:rPr>
                <w:sz w:val="20"/>
                <w:szCs w:val="20"/>
                <w:color w:val="auto"/>
              </w:rPr>
            </w:pPr>
            <w:r>
              <w:rPr>
                <w:rFonts w:ascii="Arial" w:cs="Arial" w:eastAsia="Arial" w:hAnsi="Arial"/>
                <w:sz w:val="11"/>
                <w:szCs w:val="11"/>
                <w:b w:val="1"/>
                <w:bCs w:val="1"/>
                <w:color w:val="009BDE"/>
                <w:w w:val="98"/>
              </w:rPr>
              <w:t>Measure</w:t>
            </w:r>
          </w:p>
        </w:tc>
        <w:tc>
          <w:tcPr>
            <w:tcW w:w="0" w:type="dxa"/>
            <w:vAlign w:val="bottom"/>
          </w:tcPr>
          <w:p>
            <w:pPr>
              <w:spacing w:after="0"/>
              <w:rPr>
                <w:sz w:val="1"/>
                <w:szCs w:val="1"/>
                <w:color w:val="auto"/>
              </w:rPr>
            </w:pPr>
          </w:p>
        </w:tc>
      </w:tr>
      <w:tr>
        <w:trPr>
          <w:trHeight w:val="154"/>
        </w:trPr>
        <w:tc>
          <w:tcPr>
            <w:tcW w:w="1040" w:type="dxa"/>
            <w:vAlign w:val="bottom"/>
            <w:tcBorders>
              <w:top w:val="single" w:sz="8" w:color="CCEBF8"/>
            </w:tcBorders>
            <w:shd w:val="clear" w:color="auto" w:fill="CCEBF8"/>
          </w:tcPr>
          <w:p>
            <w:pPr>
              <w:spacing w:after="0"/>
              <w:rPr>
                <w:sz w:val="13"/>
                <w:szCs w:val="13"/>
                <w:color w:val="auto"/>
              </w:rPr>
            </w:pPr>
          </w:p>
        </w:tc>
        <w:tc>
          <w:tcPr>
            <w:tcW w:w="100" w:type="dxa"/>
            <w:vAlign w:val="bottom"/>
            <w:tcBorders>
              <w:top w:val="single" w:sz="8" w:color="CCEBF8"/>
            </w:tcBorders>
            <w:shd w:val="clear" w:color="auto" w:fill="CCEBF8"/>
          </w:tcPr>
          <w:p>
            <w:pPr>
              <w:spacing w:after="0"/>
              <w:rPr>
                <w:sz w:val="13"/>
                <w:szCs w:val="13"/>
                <w:color w:val="auto"/>
              </w:rPr>
            </w:pPr>
          </w:p>
        </w:tc>
        <w:tc>
          <w:tcPr>
            <w:tcW w:w="60" w:type="dxa"/>
            <w:vAlign w:val="bottom"/>
            <w:tcBorders>
              <w:top w:val="single" w:sz="8" w:color="CCEBF8"/>
            </w:tcBorders>
            <w:shd w:val="clear" w:color="auto" w:fill="CCEBF8"/>
          </w:tcPr>
          <w:p>
            <w:pPr>
              <w:spacing w:after="0"/>
              <w:rPr>
                <w:sz w:val="13"/>
                <w:szCs w:val="13"/>
                <w:color w:val="auto"/>
              </w:rPr>
            </w:pPr>
          </w:p>
        </w:tc>
        <w:tc>
          <w:tcPr>
            <w:tcW w:w="740" w:type="dxa"/>
            <w:vAlign w:val="bottom"/>
            <w:tcBorders>
              <w:top w:val="single" w:sz="8" w:color="CCEBF8"/>
            </w:tcBorders>
            <w:shd w:val="clear" w:color="auto" w:fill="CCEBF8"/>
          </w:tcPr>
          <w:p>
            <w:pPr>
              <w:spacing w:after="0"/>
              <w:rPr>
                <w:sz w:val="13"/>
                <w:szCs w:val="13"/>
                <w:color w:val="auto"/>
              </w:rPr>
            </w:pPr>
          </w:p>
        </w:tc>
        <w:tc>
          <w:tcPr>
            <w:tcW w:w="220" w:type="dxa"/>
            <w:vAlign w:val="bottom"/>
            <w:tcBorders>
              <w:top w:val="single" w:sz="8" w:color="CCEBF8"/>
            </w:tcBorders>
            <w:shd w:val="clear" w:color="auto" w:fill="CCEBF8"/>
          </w:tcPr>
          <w:p>
            <w:pPr>
              <w:spacing w:after="0"/>
              <w:rPr>
                <w:sz w:val="13"/>
                <w:szCs w:val="13"/>
                <w:color w:val="auto"/>
              </w:rPr>
            </w:pPr>
          </w:p>
        </w:tc>
        <w:tc>
          <w:tcPr>
            <w:tcW w:w="600" w:type="dxa"/>
            <w:vAlign w:val="bottom"/>
            <w:tcBorders>
              <w:top w:val="single" w:sz="8" w:color="CCEBF8"/>
            </w:tcBorders>
            <w:shd w:val="clear" w:color="auto" w:fill="CCEBF8"/>
          </w:tcPr>
          <w:p>
            <w:pPr>
              <w:spacing w:after="0"/>
              <w:rPr>
                <w:sz w:val="13"/>
                <w:szCs w:val="13"/>
                <w:color w:val="auto"/>
              </w:rPr>
            </w:pPr>
          </w:p>
        </w:tc>
        <w:tc>
          <w:tcPr>
            <w:tcW w:w="40" w:type="dxa"/>
            <w:vAlign w:val="bottom"/>
            <w:tcBorders>
              <w:top w:val="single" w:sz="8" w:color="CCEBF8"/>
            </w:tcBorders>
            <w:shd w:val="clear" w:color="auto" w:fill="CCEBF8"/>
          </w:tcPr>
          <w:p>
            <w:pPr>
              <w:spacing w:after="0"/>
              <w:rPr>
                <w:sz w:val="13"/>
                <w:szCs w:val="13"/>
                <w:color w:val="auto"/>
              </w:rPr>
            </w:pPr>
          </w:p>
        </w:tc>
        <w:tc>
          <w:tcPr>
            <w:tcW w:w="100" w:type="dxa"/>
            <w:vAlign w:val="bottom"/>
            <w:tcBorders>
              <w:top w:val="single" w:sz="8" w:color="CCEBF8"/>
            </w:tcBorders>
            <w:shd w:val="clear" w:color="auto" w:fill="CCEBF8"/>
          </w:tcPr>
          <w:p>
            <w:pPr>
              <w:spacing w:after="0"/>
              <w:rPr>
                <w:sz w:val="13"/>
                <w:szCs w:val="13"/>
                <w:color w:val="auto"/>
              </w:rPr>
            </w:pPr>
          </w:p>
        </w:tc>
        <w:tc>
          <w:tcPr>
            <w:tcW w:w="100" w:type="dxa"/>
            <w:vAlign w:val="bottom"/>
            <w:tcBorders>
              <w:top w:val="single" w:sz="8" w:color="CCEBF8"/>
            </w:tcBorders>
            <w:shd w:val="clear" w:color="auto" w:fill="CCEBF8"/>
          </w:tcPr>
          <w:p>
            <w:pPr>
              <w:spacing w:after="0"/>
              <w:rPr>
                <w:sz w:val="13"/>
                <w:szCs w:val="13"/>
                <w:color w:val="auto"/>
              </w:rPr>
            </w:pPr>
          </w:p>
        </w:tc>
        <w:tc>
          <w:tcPr>
            <w:tcW w:w="720" w:type="dxa"/>
            <w:vAlign w:val="bottom"/>
            <w:tcBorders>
              <w:top w:val="single" w:sz="8" w:color="CCEBF8"/>
            </w:tcBorders>
            <w:shd w:val="clear" w:color="auto" w:fill="CCEBF8"/>
          </w:tcPr>
          <w:p>
            <w:pPr>
              <w:jc w:val="center"/>
              <w:ind w:right="127"/>
              <w:spacing w:after="0"/>
              <w:rPr>
                <w:sz w:val="20"/>
                <w:szCs w:val="20"/>
                <w:color w:val="auto"/>
              </w:rPr>
            </w:pPr>
            <w:r>
              <w:rPr>
                <w:rFonts w:ascii="Arial" w:cs="Arial" w:eastAsia="Arial" w:hAnsi="Arial"/>
                <w:sz w:val="11"/>
                <w:szCs w:val="11"/>
                <w:b w:val="1"/>
                <w:bCs w:val="1"/>
                <w:color w:val="009BDE"/>
                <w:w w:val="99"/>
              </w:rPr>
              <w:t>Summary</w:t>
            </w:r>
          </w:p>
        </w:tc>
        <w:tc>
          <w:tcPr>
            <w:tcW w:w="240" w:type="dxa"/>
            <w:vAlign w:val="bottom"/>
            <w:tcBorders>
              <w:top w:val="single" w:sz="8" w:color="CCEBF8"/>
            </w:tcBorders>
            <w:shd w:val="clear" w:color="auto" w:fill="CCEBF8"/>
          </w:tcPr>
          <w:p>
            <w:pPr>
              <w:spacing w:after="0"/>
              <w:rPr>
                <w:sz w:val="13"/>
                <w:szCs w:val="13"/>
                <w:color w:val="auto"/>
              </w:rPr>
            </w:pPr>
          </w:p>
        </w:tc>
        <w:tc>
          <w:tcPr>
            <w:tcW w:w="560" w:type="dxa"/>
            <w:vAlign w:val="bottom"/>
            <w:tcBorders>
              <w:top w:val="single" w:sz="8" w:color="CCEBF8"/>
            </w:tcBorders>
            <w:shd w:val="clear" w:color="auto" w:fill="CCEBF8"/>
          </w:tcPr>
          <w:p>
            <w:pPr>
              <w:spacing w:after="0"/>
              <w:rPr>
                <w:sz w:val="13"/>
                <w:szCs w:val="13"/>
                <w:color w:val="auto"/>
              </w:rPr>
            </w:pPr>
          </w:p>
        </w:tc>
        <w:tc>
          <w:tcPr>
            <w:tcW w:w="160" w:type="dxa"/>
            <w:vAlign w:val="bottom"/>
            <w:tcBorders>
              <w:top w:val="single" w:sz="8" w:color="CCEBF8"/>
            </w:tcBorders>
            <w:shd w:val="clear" w:color="auto" w:fill="CCEBF8"/>
          </w:tcPr>
          <w:p>
            <w:pPr>
              <w:spacing w:after="0"/>
              <w:rPr>
                <w:sz w:val="13"/>
                <w:szCs w:val="13"/>
                <w:color w:val="auto"/>
              </w:rPr>
            </w:pPr>
          </w:p>
        </w:tc>
        <w:tc>
          <w:tcPr>
            <w:tcW w:w="820" w:type="dxa"/>
            <w:vAlign w:val="bottom"/>
            <w:tcBorders>
              <w:top w:val="single" w:sz="8" w:color="CCEBF8"/>
            </w:tcBorders>
            <w:shd w:val="clear" w:color="auto" w:fill="CCEBF8"/>
          </w:tcPr>
          <w:p>
            <w:pPr>
              <w:jc w:val="center"/>
              <w:ind w:right="7"/>
              <w:spacing w:after="0"/>
              <w:rPr>
                <w:sz w:val="20"/>
                <w:szCs w:val="20"/>
                <w:color w:val="auto"/>
              </w:rPr>
            </w:pPr>
            <w:r>
              <w:rPr>
                <w:rFonts w:ascii="Arial" w:cs="Arial" w:eastAsia="Arial" w:hAnsi="Arial"/>
                <w:sz w:val="11"/>
                <w:szCs w:val="11"/>
                <w:b w:val="1"/>
                <w:bCs w:val="1"/>
                <w:color w:val="009BDE"/>
                <w:w w:val="95"/>
              </w:rPr>
              <w:t>Summary</w:t>
            </w:r>
          </w:p>
        </w:tc>
        <w:tc>
          <w:tcPr>
            <w:tcW w:w="240" w:type="dxa"/>
            <w:vAlign w:val="bottom"/>
            <w:tcBorders>
              <w:top w:val="single" w:sz="8" w:color="CCEBF8"/>
            </w:tcBorders>
            <w:shd w:val="clear" w:color="auto" w:fill="CCEBF8"/>
          </w:tcPr>
          <w:p>
            <w:pPr>
              <w:spacing w:after="0"/>
              <w:rPr>
                <w:sz w:val="13"/>
                <w:szCs w:val="13"/>
                <w:color w:val="auto"/>
              </w:rPr>
            </w:pPr>
          </w:p>
        </w:tc>
        <w:tc>
          <w:tcPr>
            <w:tcW w:w="580" w:type="dxa"/>
            <w:vAlign w:val="bottom"/>
            <w:tcBorders>
              <w:top w:val="single" w:sz="8" w:color="CCEBF8"/>
            </w:tcBorders>
            <w:shd w:val="clear" w:color="auto" w:fill="CCEBF8"/>
          </w:tcPr>
          <w:p>
            <w:pPr>
              <w:spacing w:after="0"/>
              <w:rPr>
                <w:sz w:val="13"/>
                <w:szCs w:val="13"/>
                <w:color w:val="auto"/>
              </w:rPr>
            </w:pPr>
          </w:p>
        </w:tc>
        <w:tc>
          <w:tcPr>
            <w:tcW w:w="60" w:type="dxa"/>
            <w:vAlign w:val="bottom"/>
            <w:tcBorders>
              <w:top w:val="single" w:sz="8" w:color="CCEBF8"/>
            </w:tcBorders>
            <w:shd w:val="clear" w:color="auto" w:fill="CCEBF8"/>
          </w:tcPr>
          <w:p>
            <w:pPr>
              <w:spacing w:after="0"/>
              <w:rPr>
                <w:sz w:val="13"/>
                <w:szCs w:val="13"/>
                <w:color w:val="auto"/>
              </w:rPr>
            </w:pPr>
          </w:p>
        </w:tc>
        <w:tc>
          <w:tcPr>
            <w:tcW w:w="680" w:type="dxa"/>
            <w:vAlign w:val="bottom"/>
            <w:tcBorders>
              <w:top w:val="single" w:sz="8" w:color="CCEBF8"/>
            </w:tcBorders>
            <w:shd w:val="clear" w:color="auto" w:fill="CCEBF8"/>
          </w:tcPr>
          <w:p>
            <w:pPr>
              <w:spacing w:after="0"/>
              <w:rPr>
                <w:sz w:val="13"/>
                <w:szCs w:val="13"/>
                <w:color w:val="auto"/>
              </w:rPr>
            </w:pPr>
          </w:p>
        </w:tc>
        <w:tc>
          <w:tcPr>
            <w:tcW w:w="760" w:type="dxa"/>
            <w:vAlign w:val="bottom"/>
            <w:tcBorders>
              <w:top w:val="single" w:sz="8" w:color="CCEBF8"/>
            </w:tcBorders>
            <w:shd w:val="clear" w:color="auto" w:fill="CCEBF8"/>
          </w:tcPr>
          <w:p>
            <w:pPr>
              <w:spacing w:after="0"/>
              <w:rPr>
                <w:sz w:val="13"/>
                <w:szCs w:val="13"/>
                <w:color w:val="auto"/>
              </w:rPr>
            </w:pPr>
          </w:p>
        </w:tc>
        <w:tc>
          <w:tcPr>
            <w:tcW w:w="80" w:type="dxa"/>
            <w:vAlign w:val="bottom"/>
            <w:tcBorders>
              <w:top w:val="single" w:sz="8" w:color="009BDE"/>
            </w:tcBorders>
            <w:shd w:val="clear" w:color="auto" w:fill="CCEBF8"/>
          </w:tcPr>
          <w:p>
            <w:pPr>
              <w:spacing w:after="0"/>
              <w:rPr>
                <w:sz w:val="13"/>
                <w:szCs w:val="13"/>
                <w:color w:val="auto"/>
              </w:rPr>
            </w:pPr>
          </w:p>
        </w:tc>
        <w:tc>
          <w:tcPr>
            <w:tcW w:w="380" w:type="dxa"/>
            <w:vAlign w:val="bottom"/>
            <w:tcBorders>
              <w:top w:val="single" w:sz="8" w:color="009BDE"/>
            </w:tcBorders>
            <w:shd w:val="clear" w:color="auto" w:fill="CCEBF8"/>
          </w:tcPr>
          <w:p>
            <w:pPr>
              <w:spacing w:after="0"/>
              <w:rPr>
                <w:sz w:val="13"/>
                <w:szCs w:val="13"/>
                <w:color w:val="auto"/>
              </w:rPr>
            </w:pPr>
          </w:p>
        </w:tc>
        <w:tc>
          <w:tcPr>
            <w:tcW w:w="800" w:type="dxa"/>
            <w:vAlign w:val="bottom"/>
            <w:tcBorders>
              <w:top w:val="single" w:sz="8" w:color="009BDE"/>
            </w:tcBorders>
            <w:gridSpan w:val="2"/>
            <w:shd w:val="clear" w:color="auto" w:fill="CCEBF8"/>
          </w:tcPr>
          <w:p>
            <w:pPr>
              <w:jc w:val="center"/>
              <w:ind w:left="10"/>
              <w:spacing w:after="0"/>
              <w:rPr>
                <w:sz w:val="20"/>
                <w:szCs w:val="20"/>
                <w:color w:val="auto"/>
              </w:rPr>
            </w:pPr>
            <w:r>
              <w:rPr>
                <w:rFonts w:ascii="Arial" w:cs="Arial" w:eastAsia="Arial" w:hAnsi="Arial"/>
                <w:sz w:val="11"/>
                <w:szCs w:val="11"/>
                <w:b w:val="1"/>
                <w:bCs w:val="1"/>
                <w:color w:val="009BDE"/>
                <w:w w:val="97"/>
              </w:rPr>
              <w:t>TSR (Russell</w:t>
            </w:r>
          </w:p>
        </w:tc>
        <w:tc>
          <w:tcPr>
            <w:tcW w:w="120" w:type="dxa"/>
            <w:vAlign w:val="bottom"/>
            <w:tcBorders>
              <w:top w:val="single" w:sz="8" w:color="CCEBF8"/>
            </w:tcBorders>
            <w:shd w:val="clear" w:color="auto" w:fill="CCEBF8"/>
          </w:tcPr>
          <w:p>
            <w:pPr>
              <w:spacing w:after="0"/>
              <w:rPr>
                <w:sz w:val="13"/>
                <w:szCs w:val="13"/>
                <w:color w:val="auto"/>
              </w:rPr>
            </w:pPr>
          </w:p>
        </w:tc>
        <w:tc>
          <w:tcPr>
            <w:tcW w:w="840" w:type="dxa"/>
            <w:vAlign w:val="bottom"/>
            <w:tcBorders>
              <w:top w:val="single" w:sz="8" w:color="CCEBF8"/>
            </w:tcBorders>
            <w:shd w:val="clear" w:color="auto" w:fill="CCEBF8"/>
          </w:tcPr>
          <w:p>
            <w:pPr>
              <w:spacing w:after="0"/>
              <w:rPr>
                <w:sz w:val="13"/>
                <w:szCs w:val="13"/>
                <w:color w:val="auto"/>
              </w:rPr>
            </w:pPr>
          </w:p>
        </w:tc>
        <w:tc>
          <w:tcPr>
            <w:tcW w:w="80" w:type="dxa"/>
            <w:vAlign w:val="bottom"/>
            <w:tcBorders>
              <w:top w:val="single" w:sz="8" w:color="CCEBF8"/>
            </w:tcBorders>
            <w:shd w:val="clear" w:color="auto" w:fill="CCEBF8"/>
          </w:tcPr>
          <w:p>
            <w:pPr>
              <w:spacing w:after="0"/>
              <w:rPr>
                <w:sz w:val="13"/>
                <w:szCs w:val="13"/>
                <w:color w:val="auto"/>
              </w:rPr>
            </w:pPr>
          </w:p>
        </w:tc>
        <w:tc>
          <w:tcPr>
            <w:tcW w:w="760" w:type="dxa"/>
            <w:vAlign w:val="bottom"/>
            <w:tcBorders>
              <w:top w:val="single" w:sz="8" w:color="009BDE"/>
            </w:tcBorders>
            <w:shd w:val="clear" w:color="auto" w:fill="CCEBF8"/>
          </w:tcPr>
          <w:p>
            <w:pPr>
              <w:spacing w:after="0"/>
              <w:rPr>
                <w:sz w:val="13"/>
                <w:szCs w:val="13"/>
                <w:color w:val="auto"/>
              </w:rPr>
            </w:pPr>
          </w:p>
        </w:tc>
        <w:tc>
          <w:tcPr>
            <w:tcW w:w="40" w:type="dxa"/>
            <w:vAlign w:val="bottom"/>
            <w:tcBorders>
              <w:top w:val="single" w:sz="8" w:color="CCEBF8"/>
            </w:tcBorders>
            <w:shd w:val="clear" w:color="auto" w:fill="CCEBF8"/>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40" w:type="dxa"/>
            <w:vAlign w:val="bottom"/>
            <w:shd w:val="clear" w:color="auto" w:fill="CCEBF8"/>
          </w:tcPr>
          <w:p>
            <w:pPr>
              <w:spacing w:after="0"/>
              <w:rPr>
                <w:sz w:val="10"/>
                <w:szCs w:val="10"/>
                <w:color w:val="auto"/>
              </w:rPr>
            </w:pPr>
          </w:p>
        </w:tc>
        <w:tc>
          <w:tcPr>
            <w:tcW w:w="100" w:type="dxa"/>
            <w:vAlign w:val="bottom"/>
            <w:shd w:val="clear" w:color="auto" w:fill="CCEBF8"/>
          </w:tcPr>
          <w:p>
            <w:pPr>
              <w:spacing w:after="0"/>
              <w:rPr>
                <w:sz w:val="10"/>
                <w:szCs w:val="10"/>
                <w:color w:val="auto"/>
              </w:rPr>
            </w:pPr>
          </w:p>
        </w:tc>
        <w:tc>
          <w:tcPr>
            <w:tcW w:w="60" w:type="dxa"/>
            <w:vAlign w:val="bottom"/>
            <w:shd w:val="clear" w:color="auto" w:fill="CCEBF8"/>
          </w:tcPr>
          <w:p>
            <w:pPr>
              <w:spacing w:after="0"/>
              <w:rPr>
                <w:sz w:val="10"/>
                <w:szCs w:val="10"/>
                <w:color w:val="auto"/>
              </w:rPr>
            </w:pPr>
          </w:p>
        </w:tc>
        <w:tc>
          <w:tcPr>
            <w:tcW w:w="740" w:type="dxa"/>
            <w:vAlign w:val="bottom"/>
            <w:shd w:val="clear" w:color="auto" w:fill="CCEBF8"/>
          </w:tcPr>
          <w:p>
            <w:pPr>
              <w:jc w:val="center"/>
              <w:ind w:right="87"/>
              <w:spacing w:after="0" w:line="121" w:lineRule="exact"/>
              <w:rPr>
                <w:sz w:val="20"/>
                <w:szCs w:val="20"/>
                <w:color w:val="auto"/>
              </w:rPr>
            </w:pPr>
            <w:r>
              <w:rPr>
                <w:rFonts w:ascii="Arial" w:cs="Arial" w:eastAsia="Arial" w:hAnsi="Arial"/>
                <w:sz w:val="11"/>
                <w:szCs w:val="11"/>
                <w:b w:val="1"/>
                <w:bCs w:val="1"/>
                <w:color w:val="009BDE"/>
                <w:w w:val="95"/>
              </w:rPr>
              <w:t>Summary</w:t>
            </w:r>
          </w:p>
        </w:tc>
        <w:tc>
          <w:tcPr>
            <w:tcW w:w="860" w:type="dxa"/>
            <w:vAlign w:val="bottom"/>
            <w:gridSpan w:val="3"/>
            <w:shd w:val="clear" w:color="auto" w:fill="CCEBF8"/>
          </w:tcPr>
          <w:p>
            <w:pPr>
              <w:ind w:left="80"/>
              <w:spacing w:after="0" w:line="121" w:lineRule="exact"/>
              <w:rPr>
                <w:sz w:val="20"/>
                <w:szCs w:val="20"/>
                <w:color w:val="auto"/>
              </w:rPr>
            </w:pPr>
            <w:r>
              <w:rPr>
                <w:rFonts w:ascii="Arial" w:cs="Arial" w:eastAsia="Arial" w:hAnsi="Arial"/>
                <w:sz w:val="11"/>
                <w:szCs w:val="11"/>
                <w:b w:val="1"/>
                <w:bCs w:val="1"/>
                <w:color w:val="009BDE"/>
                <w:w w:val="99"/>
              </w:rPr>
              <w:t>Compensation</w:t>
            </w:r>
          </w:p>
        </w:tc>
        <w:tc>
          <w:tcPr>
            <w:tcW w:w="100" w:type="dxa"/>
            <w:vAlign w:val="bottom"/>
            <w:shd w:val="clear" w:color="auto" w:fill="CCEBF8"/>
          </w:tcPr>
          <w:p>
            <w:pPr>
              <w:spacing w:after="0"/>
              <w:rPr>
                <w:sz w:val="10"/>
                <w:szCs w:val="10"/>
                <w:color w:val="auto"/>
              </w:rPr>
            </w:pPr>
          </w:p>
        </w:tc>
        <w:tc>
          <w:tcPr>
            <w:tcW w:w="820" w:type="dxa"/>
            <w:vAlign w:val="bottom"/>
            <w:gridSpan w:val="2"/>
            <w:shd w:val="clear" w:color="auto" w:fill="CCEBF8"/>
          </w:tcPr>
          <w:p>
            <w:pPr>
              <w:jc w:val="center"/>
              <w:ind w:right="27"/>
              <w:spacing w:after="0" w:line="121" w:lineRule="exact"/>
              <w:rPr>
                <w:sz w:val="20"/>
                <w:szCs w:val="20"/>
                <w:color w:val="auto"/>
              </w:rPr>
            </w:pPr>
            <w:r>
              <w:rPr>
                <w:rFonts w:ascii="Arial" w:cs="Arial" w:eastAsia="Arial" w:hAnsi="Arial"/>
                <w:sz w:val="11"/>
                <w:szCs w:val="11"/>
                <w:b w:val="1"/>
                <w:bCs w:val="1"/>
                <w:color w:val="009BDE"/>
                <w:w w:val="96"/>
              </w:rPr>
              <w:t>Compensation</w:t>
            </w:r>
          </w:p>
        </w:tc>
        <w:tc>
          <w:tcPr>
            <w:tcW w:w="960" w:type="dxa"/>
            <w:vAlign w:val="bottom"/>
            <w:gridSpan w:val="3"/>
            <w:shd w:val="clear" w:color="auto" w:fill="CCEBF8"/>
          </w:tcPr>
          <w:p>
            <w:pPr>
              <w:jc w:val="right"/>
              <w:ind w:right="160"/>
              <w:spacing w:after="0" w:line="121" w:lineRule="exact"/>
              <w:rPr>
                <w:sz w:val="20"/>
                <w:szCs w:val="20"/>
                <w:color w:val="auto"/>
              </w:rPr>
            </w:pPr>
            <w:r>
              <w:rPr>
                <w:rFonts w:ascii="Arial" w:cs="Arial" w:eastAsia="Arial" w:hAnsi="Arial"/>
                <w:sz w:val="11"/>
                <w:szCs w:val="11"/>
                <w:b w:val="1"/>
                <w:bCs w:val="1"/>
                <w:color w:val="009BDE"/>
              </w:rPr>
              <w:t>Compensation</w:t>
            </w:r>
          </w:p>
        </w:tc>
        <w:tc>
          <w:tcPr>
            <w:tcW w:w="820" w:type="dxa"/>
            <w:vAlign w:val="bottom"/>
            <w:shd w:val="clear" w:color="auto" w:fill="CCEBF8"/>
          </w:tcPr>
          <w:p>
            <w:pPr>
              <w:jc w:val="right"/>
              <w:ind w:right="7"/>
              <w:spacing w:after="0" w:line="121" w:lineRule="exact"/>
              <w:rPr>
                <w:sz w:val="20"/>
                <w:szCs w:val="20"/>
                <w:color w:val="auto"/>
              </w:rPr>
            </w:pPr>
            <w:r>
              <w:rPr>
                <w:rFonts w:ascii="Arial" w:cs="Arial" w:eastAsia="Arial" w:hAnsi="Arial"/>
                <w:sz w:val="11"/>
                <w:szCs w:val="11"/>
                <w:b w:val="1"/>
                <w:bCs w:val="1"/>
                <w:color w:val="009BDE"/>
                <w:w w:val="96"/>
              </w:rPr>
              <w:t>Compensation</w:t>
            </w:r>
          </w:p>
        </w:tc>
        <w:tc>
          <w:tcPr>
            <w:tcW w:w="880" w:type="dxa"/>
            <w:vAlign w:val="bottom"/>
            <w:gridSpan w:val="3"/>
            <w:shd w:val="clear" w:color="auto" w:fill="CCEBF8"/>
          </w:tcPr>
          <w:p>
            <w:pPr>
              <w:jc w:val="right"/>
              <w:ind w:right="60"/>
              <w:spacing w:after="0" w:line="121" w:lineRule="exact"/>
              <w:rPr>
                <w:sz w:val="20"/>
                <w:szCs w:val="20"/>
                <w:color w:val="auto"/>
              </w:rPr>
            </w:pPr>
            <w:r>
              <w:rPr>
                <w:rFonts w:ascii="Arial" w:cs="Arial" w:eastAsia="Arial" w:hAnsi="Arial"/>
                <w:sz w:val="11"/>
                <w:szCs w:val="11"/>
                <w:b w:val="1"/>
                <w:bCs w:val="1"/>
                <w:color w:val="009BDE"/>
              </w:rPr>
              <w:t>Compensation</w:t>
            </w:r>
          </w:p>
        </w:tc>
        <w:tc>
          <w:tcPr>
            <w:tcW w:w="680" w:type="dxa"/>
            <w:vAlign w:val="bottom"/>
            <w:shd w:val="clear" w:color="auto" w:fill="CCEBF8"/>
          </w:tcPr>
          <w:p>
            <w:pPr>
              <w:jc w:val="center"/>
              <w:spacing w:after="0" w:line="121" w:lineRule="exact"/>
              <w:rPr>
                <w:sz w:val="20"/>
                <w:szCs w:val="20"/>
                <w:color w:val="auto"/>
              </w:rPr>
            </w:pPr>
            <w:r>
              <w:rPr>
                <w:rFonts w:ascii="Arial" w:cs="Arial" w:eastAsia="Arial" w:hAnsi="Arial"/>
                <w:sz w:val="11"/>
                <w:szCs w:val="11"/>
                <w:b w:val="1"/>
                <w:bCs w:val="1"/>
                <w:color w:val="009BDE"/>
                <w:w w:val="96"/>
              </w:rPr>
              <w:t>Average</w:t>
            </w:r>
          </w:p>
        </w:tc>
        <w:tc>
          <w:tcPr>
            <w:tcW w:w="760" w:type="dxa"/>
            <w:vAlign w:val="bottom"/>
            <w:shd w:val="clear" w:color="auto" w:fill="CCEBF8"/>
          </w:tcPr>
          <w:p>
            <w:pPr>
              <w:jc w:val="center"/>
              <w:ind w:right="7"/>
              <w:spacing w:after="0" w:line="121" w:lineRule="exact"/>
              <w:rPr>
                <w:sz w:val="20"/>
                <w:szCs w:val="20"/>
                <w:color w:val="auto"/>
              </w:rPr>
            </w:pPr>
            <w:r>
              <w:rPr>
                <w:rFonts w:ascii="Arial" w:cs="Arial" w:eastAsia="Arial" w:hAnsi="Arial"/>
                <w:sz w:val="11"/>
                <w:szCs w:val="11"/>
                <w:b w:val="1"/>
                <w:bCs w:val="1"/>
                <w:color w:val="009BDE"/>
                <w:w w:val="96"/>
              </w:rPr>
              <w:t>Average</w:t>
            </w:r>
          </w:p>
        </w:tc>
        <w:tc>
          <w:tcPr>
            <w:tcW w:w="80" w:type="dxa"/>
            <w:vAlign w:val="bottom"/>
            <w:shd w:val="clear" w:color="auto" w:fill="CCEBF8"/>
          </w:tcPr>
          <w:p>
            <w:pPr>
              <w:spacing w:after="0"/>
              <w:rPr>
                <w:sz w:val="10"/>
                <w:szCs w:val="10"/>
                <w:color w:val="auto"/>
              </w:rPr>
            </w:pPr>
          </w:p>
        </w:tc>
        <w:tc>
          <w:tcPr>
            <w:tcW w:w="380" w:type="dxa"/>
            <w:vAlign w:val="bottom"/>
            <w:shd w:val="clear" w:color="auto" w:fill="CCEBF8"/>
          </w:tcPr>
          <w:p>
            <w:pPr>
              <w:spacing w:after="0"/>
              <w:rPr>
                <w:sz w:val="10"/>
                <w:szCs w:val="10"/>
                <w:color w:val="auto"/>
              </w:rPr>
            </w:pPr>
          </w:p>
        </w:tc>
        <w:tc>
          <w:tcPr>
            <w:tcW w:w="140" w:type="dxa"/>
            <w:vAlign w:val="bottom"/>
            <w:shd w:val="clear" w:color="auto" w:fill="CCEBF8"/>
          </w:tcPr>
          <w:p>
            <w:pPr>
              <w:spacing w:after="0"/>
              <w:rPr>
                <w:sz w:val="10"/>
                <w:szCs w:val="10"/>
                <w:color w:val="auto"/>
              </w:rPr>
            </w:pPr>
          </w:p>
        </w:tc>
        <w:tc>
          <w:tcPr>
            <w:tcW w:w="660" w:type="dxa"/>
            <w:vAlign w:val="bottom"/>
            <w:shd w:val="clear" w:color="auto" w:fill="CCEBF8"/>
          </w:tcPr>
          <w:p>
            <w:pPr>
              <w:jc w:val="center"/>
              <w:ind w:right="47"/>
              <w:spacing w:after="0" w:line="121" w:lineRule="exact"/>
              <w:rPr>
                <w:sz w:val="20"/>
                <w:szCs w:val="20"/>
                <w:color w:val="auto"/>
              </w:rPr>
            </w:pPr>
            <w:r>
              <w:rPr>
                <w:rFonts w:ascii="Arial" w:cs="Arial" w:eastAsia="Arial" w:hAnsi="Arial"/>
                <w:sz w:val="11"/>
                <w:szCs w:val="11"/>
                <w:b w:val="1"/>
                <w:bCs w:val="1"/>
                <w:color w:val="009BDE"/>
                <w:w w:val="97"/>
              </w:rPr>
              <w:t>1000</w:t>
            </w:r>
          </w:p>
        </w:tc>
        <w:tc>
          <w:tcPr>
            <w:tcW w:w="120" w:type="dxa"/>
            <w:vAlign w:val="bottom"/>
            <w:shd w:val="clear" w:color="auto" w:fill="CCEBF8"/>
          </w:tcPr>
          <w:p>
            <w:pPr>
              <w:spacing w:after="0"/>
              <w:rPr>
                <w:sz w:val="10"/>
                <w:szCs w:val="10"/>
                <w:color w:val="auto"/>
              </w:rPr>
            </w:pPr>
          </w:p>
        </w:tc>
        <w:tc>
          <w:tcPr>
            <w:tcW w:w="840" w:type="dxa"/>
            <w:vAlign w:val="bottom"/>
            <w:shd w:val="clear" w:color="auto" w:fill="CCEBF8"/>
          </w:tcPr>
          <w:p>
            <w:pPr>
              <w:spacing w:after="0"/>
              <w:rPr>
                <w:sz w:val="10"/>
                <w:szCs w:val="10"/>
                <w:color w:val="auto"/>
              </w:rPr>
            </w:pPr>
          </w:p>
        </w:tc>
        <w:tc>
          <w:tcPr>
            <w:tcW w:w="80" w:type="dxa"/>
            <w:vAlign w:val="bottom"/>
            <w:shd w:val="clear" w:color="auto" w:fill="CCEBF8"/>
          </w:tcPr>
          <w:p>
            <w:pPr>
              <w:spacing w:after="0"/>
              <w:rPr>
                <w:sz w:val="10"/>
                <w:szCs w:val="10"/>
                <w:color w:val="auto"/>
              </w:rPr>
            </w:pPr>
          </w:p>
        </w:tc>
        <w:tc>
          <w:tcPr>
            <w:tcW w:w="760" w:type="dxa"/>
            <w:vAlign w:val="bottom"/>
            <w:shd w:val="clear" w:color="auto" w:fill="CCEBF8"/>
          </w:tcPr>
          <w:p>
            <w:pPr>
              <w:spacing w:after="0"/>
              <w:rPr>
                <w:sz w:val="10"/>
                <w:szCs w:val="10"/>
                <w:color w:val="auto"/>
              </w:rPr>
            </w:pPr>
          </w:p>
        </w:tc>
        <w:tc>
          <w:tcPr>
            <w:tcW w:w="40" w:type="dxa"/>
            <w:vAlign w:val="bottom"/>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40" w:type="dxa"/>
            <w:vAlign w:val="bottom"/>
            <w:shd w:val="clear" w:color="auto" w:fill="CCEBF8"/>
          </w:tcPr>
          <w:p>
            <w:pPr>
              <w:spacing w:after="0"/>
              <w:rPr>
                <w:sz w:val="10"/>
                <w:szCs w:val="10"/>
                <w:color w:val="auto"/>
              </w:rPr>
            </w:pPr>
          </w:p>
        </w:tc>
        <w:tc>
          <w:tcPr>
            <w:tcW w:w="100" w:type="dxa"/>
            <w:vAlign w:val="bottom"/>
            <w:shd w:val="clear" w:color="auto" w:fill="CCEBF8"/>
          </w:tcPr>
          <w:p>
            <w:pPr>
              <w:spacing w:after="0"/>
              <w:rPr>
                <w:sz w:val="10"/>
                <w:szCs w:val="10"/>
                <w:color w:val="auto"/>
              </w:rPr>
            </w:pPr>
          </w:p>
        </w:tc>
        <w:tc>
          <w:tcPr>
            <w:tcW w:w="800" w:type="dxa"/>
            <w:vAlign w:val="bottom"/>
            <w:gridSpan w:val="2"/>
            <w:shd w:val="clear" w:color="auto" w:fill="CCEBF8"/>
          </w:tcPr>
          <w:p>
            <w:pPr>
              <w:spacing w:after="0" w:line="121" w:lineRule="exact"/>
              <w:rPr>
                <w:sz w:val="20"/>
                <w:szCs w:val="20"/>
                <w:color w:val="auto"/>
              </w:rPr>
            </w:pPr>
            <w:r>
              <w:rPr>
                <w:rFonts w:ascii="Arial" w:cs="Arial" w:eastAsia="Arial" w:hAnsi="Arial"/>
                <w:sz w:val="11"/>
                <w:szCs w:val="11"/>
                <w:b w:val="1"/>
                <w:bCs w:val="1"/>
                <w:color w:val="009BDE"/>
              </w:rPr>
              <w:t>Compensation</w:t>
            </w:r>
          </w:p>
        </w:tc>
        <w:tc>
          <w:tcPr>
            <w:tcW w:w="860" w:type="dxa"/>
            <w:vAlign w:val="bottom"/>
            <w:gridSpan w:val="3"/>
            <w:shd w:val="clear" w:color="auto" w:fill="CCEBF8"/>
          </w:tcPr>
          <w:p>
            <w:pPr>
              <w:jc w:val="center"/>
              <w:spacing w:after="0" w:line="121" w:lineRule="exact"/>
              <w:rPr>
                <w:sz w:val="20"/>
                <w:szCs w:val="20"/>
                <w:color w:val="auto"/>
              </w:rPr>
            </w:pPr>
            <w:r>
              <w:rPr>
                <w:rFonts w:ascii="Arial" w:cs="Arial" w:eastAsia="Arial" w:hAnsi="Arial"/>
                <w:sz w:val="11"/>
                <w:szCs w:val="11"/>
                <w:b w:val="1"/>
                <w:bCs w:val="1"/>
                <w:color w:val="009BDE"/>
                <w:w w:val="95"/>
              </w:rPr>
              <w:t>Actually Paid</w:t>
            </w:r>
          </w:p>
        </w:tc>
        <w:tc>
          <w:tcPr>
            <w:tcW w:w="100" w:type="dxa"/>
            <w:vAlign w:val="bottom"/>
            <w:shd w:val="clear" w:color="auto" w:fill="CCEBF8"/>
          </w:tcPr>
          <w:p>
            <w:pPr>
              <w:spacing w:after="0"/>
              <w:rPr>
                <w:sz w:val="10"/>
                <w:szCs w:val="10"/>
                <w:color w:val="auto"/>
              </w:rPr>
            </w:pPr>
          </w:p>
        </w:tc>
        <w:tc>
          <w:tcPr>
            <w:tcW w:w="100" w:type="dxa"/>
            <w:vAlign w:val="bottom"/>
            <w:shd w:val="clear" w:color="auto" w:fill="CCEBF8"/>
          </w:tcPr>
          <w:p>
            <w:pPr>
              <w:spacing w:after="0"/>
              <w:rPr>
                <w:sz w:val="10"/>
                <w:szCs w:val="10"/>
                <w:color w:val="auto"/>
              </w:rPr>
            </w:pPr>
          </w:p>
        </w:tc>
        <w:tc>
          <w:tcPr>
            <w:tcW w:w="720" w:type="dxa"/>
            <w:vAlign w:val="bottom"/>
            <w:shd w:val="clear" w:color="auto" w:fill="CCEBF8"/>
          </w:tcPr>
          <w:p>
            <w:pPr>
              <w:jc w:val="center"/>
              <w:ind w:right="127"/>
              <w:spacing w:after="0" w:line="121" w:lineRule="exact"/>
              <w:rPr>
                <w:sz w:val="20"/>
                <w:szCs w:val="20"/>
                <w:color w:val="auto"/>
              </w:rPr>
            </w:pPr>
            <w:r>
              <w:rPr>
                <w:rFonts w:ascii="Arial" w:cs="Arial" w:eastAsia="Arial" w:hAnsi="Arial"/>
                <w:sz w:val="11"/>
                <w:szCs w:val="11"/>
                <w:b w:val="1"/>
                <w:bCs w:val="1"/>
                <w:color w:val="009BDE"/>
                <w:w w:val="90"/>
              </w:rPr>
              <w:t>Table</w:t>
            </w:r>
          </w:p>
        </w:tc>
        <w:tc>
          <w:tcPr>
            <w:tcW w:w="960" w:type="dxa"/>
            <w:vAlign w:val="bottom"/>
            <w:gridSpan w:val="3"/>
            <w:shd w:val="clear" w:color="auto" w:fill="CCEBF8"/>
          </w:tcPr>
          <w:p>
            <w:pPr>
              <w:jc w:val="center"/>
              <w:ind w:right="100"/>
              <w:spacing w:after="0" w:line="121" w:lineRule="exact"/>
              <w:rPr>
                <w:sz w:val="20"/>
                <w:szCs w:val="20"/>
                <w:color w:val="auto"/>
              </w:rPr>
            </w:pPr>
            <w:r>
              <w:rPr>
                <w:rFonts w:ascii="Arial" w:cs="Arial" w:eastAsia="Arial" w:hAnsi="Arial"/>
                <w:sz w:val="11"/>
                <w:szCs w:val="11"/>
                <w:b w:val="1"/>
                <w:bCs w:val="1"/>
                <w:color w:val="009BDE"/>
                <w:w w:val="95"/>
              </w:rPr>
              <w:t>Actually Paid</w:t>
            </w:r>
          </w:p>
        </w:tc>
        <w:tc>
          <w:tcPr>
            <w:tcW w:w="820" w:type="dxa"/>
            <w:vAlign w:val="bottom"/>
            <w:shd w:val="clear" w:color="auto" w:fill="CCEBF8"/>
          </w:tcPr>
          <w:p>
            <w:pPr>
              <w:jc w:val="center"/>
              <w:ind w:right="7"/>
              <w:spacing w:after="0" w:line="121" w:lineRule="exact"/>
              <w:rPr>
                <w:sz w:val="20"/>
                <w:szCs w:val="20"/>
                <w:color w:val="auto"/>
              </w:rPr>
            </w:pPr>
            <w:r>
              <w:rPr>
                <w:rFonts w:ascii="Arial" w:cs="Arial" w:eastAsia="Arial" w:hAnsi="Arial"/>
                <w:sz w:val="11"/>
                <w:szCs w:val="11"/>
                <w:b w:val="1"/>
                <w:bCs w:val="1"/>
                <w:color w:val="009BDE"/>
                <w:w w:val="97"/>
              </w:rPr>
              <w:t>Table</w:t>
            </w:r>
          </w:p>
        </w:tc>
        <w:tc>
          <w:tcPr>
            <w:tcW w:w="880" w:type="dxa"/>
            <w:vAlign w:val="bottom"/>
            <w:gridSpan w:val="3"/>
            <w:shd w:val="clear" w:color="auto" w:fill="CCEBF8"/>
          </w:tcPr>
          <w:p>
            <w:pPr>
              <w:jc w:val="center"/>
              <w:spacing w:after="0" w:line="121" w:lineRule="exact"/>
              <w:rPr>
                <w:sz w:val="20"/>
                <w:szCs w:val="20"/>
                <w:color w:val="auto"/>
              </w:rPr>
            </w:pPr>
            <w:r>
              <w:rPr>
                <w:rFonts w:ascii="Arial" w:cs="Arial" w:eastAsia="Arial" w:hAnsi="Arial"/>
                <w:sz w:val="11"/>
                <w:szCs w:val="11"/>
                <w:b w:val="1"/>
                <w:bCs w:val="1"/>
                <w:color w:val="009BDE"/>
                <w:w w:val="98"/>
              </w:rPr>
              <w:t>Actually Paid</w:t>
            </w:r>
          </w:p>
        </w:tc>
        <w:tc>
          <w:tcPr>
            <w:tcW w:w="680" w:type="dxa"/>
            <w:vAlign w:val="bottom"/>
            <w:shd w:val="clear" w:color="auto" w:fill="CCEBF8"/>
          </w:tcPr>
          <w:p>
            <w:pPr>
              <w:jc w:val="center"/>
              <w:spacing w:after="0" w:line="121" w:lineRule="exact"/>
              <w:rPr>
                <w:sz w:val="20"/>
                <w:szCs w:val="20"/>
                <w:color w:val="auto"/>
              </w:rPr>
            </w:pPr>
            <w:r>
              <w:rPr>
                <w:rFonts w:ascii="Arial" w:cs="Arial" w:eastAsia="Arial" w:hAnsi="Arial"/>
                <w:sz w:val="11"/>
                <w:szCs w:val="11"/>
                <w:b w:val="1"/>
                <w:bCs w:val="1"/>
                <w:color w:val="009BDE"/>
                <w:w w:val="97"/>
              </w:rPr>
              <w:t>SCT Total</w:t>
            </w:r>
          </w:p>
        </w:tc>
        <w:tc>
          <w:tcPr>
            <w:tcW w:w="760" w:type="dxa"/>
            <w:vAlign w:val="bottom"/>
            <w:shd w:val="clear" w:color="auto" w:fill="CCEBF8"/>
          </w:tcPr>
          <w:p>
            <w:pPr>
              <w:jc w:val="center"/>
              <w:ind w:right="7"/>
              <w:spacing w:after="0" w:line="121" w:lineRule="exact"/>
              <w:rPr>
                <w:sz w:val="20"/>
                <w:szCs w:val="20"/>
                <w:color w:val="auto"/>
              </w:rPr>
            </w:pPr>
            <w:r>
              <w:rPr>
                <w:rFonts w:ascii="Arial" w:cs="Arial" w:eastAsia="Arial" w:hAnsi="Arial"/>
                <w:sz w:val="11"/>
                <w:szCs w:val="11"/>
                <w:b w:val="1"/>
                <w:bCs w:val="1"/>
                <w:color w:val="009BDE"/>
                <w:w w:val="92"/>
              </w:rPr>
              <w:t>CAP to</w:t>
            </w:r>
          </w:p>
        </w:tc>
        <w:tc>
          <w:tcPr>
            <w:tcW w:w="80" w:type="dxa"/>
            <w:vAlign w:val="bottom"/>
            <w:shd w:val="clear" w:color="auto" w:fill="CCEBF8"/>
          </w:tcPr>
          <w:p>
            <w:pPr>
              <w:spacing w:after="0"/>
              <w:rPr>
                <w:sz w:val="10"/>
                <w:szCs w:val="10"/>
                <w:color w:val="auto"/>
              </w:rPr>
            </w:pPr>
          </w:p>
        </w:tc>
        <w:tc>
          <w:tcPr>
            <w:tcW w:w="380" w:type="dxa"/>
            <w:vAlign w:val="bottom"/>
            <w:shd w:val="clear" w:color="auto" w:fill="CCEBF8"/>
          </w:tcPr>
          <w:p>
            <w:pPr>
              <w:spacing w:after="0"/>
              <w:rPr>
                <w:sz w:val="10"/>
                <w:szCs w:val="10"/>
                <w:color w:val="auto"/>
              </w:rPr>
            </w:pPr>
          </w:p>
        </w:tc>
        <w:tc>
          <w:tcPr>
            <w:tcW w:w="140" w:type="dxa"/>
            <w:vAlign w:val="bottom"/>
            <w:shd w:val="clear" w:color="auto" w:fill="CCEBF8"/>
          </w:tcPr>
          <w:p>
            <w:pPr>
              <w:spacing w:after="0"/>
              <w:rPr>
                <w:sz w:val="10"/>
                <w:szCs w:val="10"/>
                <w:color w:val="auto"/>
              </w:rPr>
            </w:pPr>
          </w:p>
        </w:tc>
        <w:tc>
          <w:tcPr>
            <w:tcW w:w="660" w:type="dxa"/>
            <w:vAlign w:val="bottom"/>
            <w:shd w:val="clear" w:color="auto" w:fill="CCEBF8"/>
          </w:tcPr>
          <w:p>
            <w:pPr>
              <w:jc w:val="center"/>
              <w:ind w:right="47"/>
              <w:spacing w:after="0" w:line="121" w:lineRule="exact"/>
              <w:rPr>
                <w:sz w:val="20"/>
                <w:szCs w:val="20"/>
                <w:color w:val="auto"/>
              </w:rPr>
            </w:pPr>
            <w:r>
              <w:rPr>
                <w:rFonts w:ascii="Arial" w:cs="Arial" w:eastAsia="Arial" w:hAnsi="Arial"/>
                <w:sz w:val="11"/>
                <w:szCs w:val="11"/>
                <w:b w:val="1"/>
                <w:bCs w:val="1"/>
                <w:color w:val="009BDE"/>
                <w:w w:val="95"/>
              </w:rPr>
              <w:t>Consumer</w:t>
            </w:r>
          </w:p>
        </w:tc>
        <w:tc>
          <w:tcPr>
            <w:tcW w:w="120" w:type="dxa"/>
            <w:vAlign w:val="bottom"/>
            <w:shd w:val="clear" w:color="auto" w:fill="CCEBF8"/>
          </w:tcPr>
          <w:p>
            <w:pPr>
              <w:spacing w:after="0"/>
              <w:rPr>
                <w:sz w:val="10"/>
                <w:szCs w:val="10"/>
                <w:color w:val="auto"/>
              </w:rPr>
            </w:pPr>
          </w:p>
        </w:tc>
        <w:tc>
          <w:tcPr>
            <w:tcW w:w="840" w:type="dxa"/>
            <w:vAlign w:val="bottom"/>
            <w:shd w:val="clear" w:color="auto" w:fill="CCEBF8"/>
          </w:tcPr>
          <w:p>
            <w:pPr>
              <w:spacing w:after="0"/>
              <w:rPr>
                <w:sz w:val="10"/>
                <w:szCs w:val="10"/>
                <w:color w:val="auto"/>
              </w:rPr>
            </w:pPr>
          </w:p>
        </w:tc>
        <w:tc>
          <w:tcPr>
            <w:tcW w:w="80" w:type="dxa"/>
            <w:vAlign w:val="bottom"/>
            <w:shd w:val="clear" w:color="auto" w:fill="CCEBF8"/>
          </w:tcPr>
          <w:p>
            <w:pPr>
              <w:spacing w:after="0"/>
              <w:rPr>
                <w:sz w:val="10"/>
                <w:szCs w:val="10"/>
                <w:color w:val="auto"/>
              </w:rPr>
            </w:pPr>
          </w:p>
        </w:tc>
        <w:tc>
          <w:tcPr>
            <w:tcW w:w="760" w:type="dxa"/>
            <w:vAlign w:val="bottom"/>
            <w:shd w:val="clear" w:color="auto" w:fill="CCEBF8"/>
          </w:tcPr>
          <w:p>
            <w:pPr>
              <w:spacing w:after="0"/>
              <w:rPr>
                <w:sz w:val="10"/>
                <w:szCs w:val="10"/>
                <w:color w:val="auto"/>
              </w:rPr>
            </w:pPr>
          </w:p>
        </w:tc>
        <w:tc>
          <w:tcPr>
            <w:tcW w:w="40" w:type="dxa"/>
            <w:vAlign w:val="bottom"/>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40" w:type="dxa"/>
            <w:vAlign w:val="bottom"/>
            <w:shd w:val="clear" w:color="auto" w:fill="CCEBF8"/>
          </w:tcPr>
          <w:p>
            <w:pPr>
              <w:spacing w:after="0"/>
              <w:rPr>
                <w:sz w:val="10"/>
                <w:szCs w:val="10"/>
                <w:color w:val="auto"/>
              </w:rPr>
            </w:pPr>
          </w:p>
        </w:tc>
        <w:tc>
          <w:tcPr>
            <w:tcW w:w="100" w:type="dxa"/>
            <w:vAlign w:val="bottom"/>
            <w:shd w:val="clear" w:color="auto" w:fill="CCEBF8"/>
          </w:tcPr>
          <w:p>
            <w:pPr>
              <w:spacing w:after="0"/>
              <w:rPr>
                <w:sz w:val="10"/>
                <w:szCs w:val="10"/>
                <w:color w:val="auto"/>
              </w:rPr>
            </w:pPr>
          </w:p>
        </w:tc>
        <w:tc>
          <w:tcPr>
            <w:tcW w:w="60" w:type="dxa"/>
            <w:vAlign w:val="bottom"/>
            <w:shd w:val="clear" w:color="auto" w:fill="CCEBF8"/>
          </w:tcPr>
          <w:p>
            <w:pPr>
              <w:spacing w:after="0"/>
              <w:rPr>
                <w:sz w:val="10"/>
                <w:szCs w:val="10"/>
                <w:color w:val="auto"/>
              </w:rPr>
            </w:pPr>
          </w:p>
        </w:tc>
        <w:tc>
          <w:tcPr>
            <w:tcW w:w="740" w:type="dxa"/>
            <w:vAlign w:val="bottom"/>
            <w:shd w:val="clear" w:color="auto" w:fill="CCEBF8"/>
          </w:tcPr>
          <w:p>
            <w:pPr>
              <w:jc w:val="center"/>
              <w:ind w:right="67"/>
              <w:spacing w:after="0" w:line="121" w:lineRule="exact"/>
              <w:rPr>
                <w:sz w:val="20"/>
                <w:szCs w:val="20"/>
                <w:color w:val="auto"/>
              </w:rPr>
            </w:pPr>
            <w:r>
              <w:rPr>
                <w:rFonts w:ascii="Arial" w:cs="Arial" w:eastAsia="Arial" w:hAnsi="Arial"/>
                <w:sz w:val="11"/>
                <w:szCs w:val="11"/>
                <w:b w:val="1"/>
                <w:bCs w:val="1"/>
                <w:color w:val="009BDE"/>
                <w:w w:val="94"/>
              </w:rPr>
              <w:t>Table (SCT)</w:t>
            </w:r>
          </w:p>
        </w:tc>
        <w:tc>
          <w:tcPr>
            <w:tcW w:w="220" w:type="dxa"/>
            <w:vAlign w:val="bottom"/>
            <w:shd w:val="clear" w:color="auto" w:fill="CCEBF8"/>
          </w:tcPr>
          <w:p>
            <w:pPr>
              <w:spacing w:after="0"/>
              <w:rPr>
                <w:sz w:val="10"/>
                <w:szCs w:val="10"/>
                <w:color w:val="auto"/>
              </w:rPr>
            </w:pPr>
          </w:p>
        </w:tc>
        <w:tc>
          <w:tcPr>
            <w:tcW w:w="640" w:type="dxa"/>
            <w:vAlign w:val="bottom"/>
            <w:gridSpan w:val="2"/>
            <w:shd w:val="clear" w:color="auto" w:fill="CCEBF8"/>
          </w:tcPr>
          <w:p>
            <w:pPr>
              <w:jc w:val="center"/>
              <w:ind w:right="180"/>
              <w:spacing w:after="0" w:line="121" w:lineRule="exact"/>
              <w:rPr>
                <w:sz w:val="20"/>
                <w:szCs w:val="20"/>
                <w:color w:val="auto"/>
              </w:rPr>
            </w:pPr>
            <w:r>
              <w:rPr>
                <w:rFonts w:ascii="Arial" w:cs="Arial" w:eastAsia="Arial" w:hAnsi="Arial"/>
                <w:sz w:val="11"/>
                <w:szCs w:val="11"/>
                <w:b w:val="1"/>
                <w:bCs w:val="1"/>
                <w:color w:val="009BDE"/>
                <w:w w:val="98"/>
              </w:rPr>
              <w:t>(CAP)</w:t>
            </w:r>
          </w:p>
        </w:tc>
        <w:tc>
          <w:tcPr>
            <w:tcW w:w="100" w:type="dxa"/>
            <w:vAlign w:val="bottom"/>
            <w:shd w:val="clear" w:color="auto" w:fill="CCEBF8"/>
          </w:tcPr>
          <w:p>
            <w:pPr>
              <w:spacing w:after="0"/>
              <w:rPr>
                <w:sz w:val="10"/>
                <w:szCs w:val="10"/>
                <w:color w:val="auto"/>
              </w:rPr>
            </w:pPr>
          </w:p>
        </w:tc>
        <w:tc>
          <w:tcPr>
            <w:tcW w:w="100" w:type="dxa"/>
            <w:vAlign w:val="bottom"/>
            <w:shd w:val="clear" w:color="auto" w:fill="CCEBF8"/>
          </w:tcPr>
          <w:p>
            <w:pPr>
              <w:spacing w:after="0"/>
              <w:rPr>
                <w:sz w:val="10"/>
                <w:szCs w:val="10"/>
                <w:color w:val="auto"/>
              </w:rPr>
            </w:pPr>
          </w:p>
        </w:tc>
        <w:tc>
          <w:tcPr>
            <w:tcW w:w="720" w:type="dxa"/>
            <w:vAlign w:val="bottom"/>
            <w:shd w:val="clear" w:color="auto" w:fill="CCEBF8"/>
          </w:tcPr>
          <w:p>
            <w:pPr>
              <w:jc w:val="center"/>
              <w:ind w:right="127"/>
              <w:spacing w:after="0" w:line="121" w:lineRule="exact"/>
              <w:rPr>
                <w:sz w:val="20"/>
                <w:szCs w:val="20"/>
                <w:color w:val="auto"/>
              </w:rPr>
            </w:pPr>
            <w:r>
              <w:rPr>
                <w:rFonts w:ascii="Arial" w:cs="Arial" w:eastAsia="Arial" w:hAnsi="Arial"/>
                <w:sz w:val="11"/>
                <w:szCs w:val="11"/>
                <w:b w:val="1"/>
                <w:bCs w:val="1"/>
                <w:color w:val="009BDE"/>
              </w:rPr>
              <w:t>(SCT)</w:t>
            </w:r>
          </w:p>
        </w:tc>
        <w:tc>
          <w:tcPr>
            <w:tcW w:w="240" w:type="dxa"/>
            <w:vAlign w:val="bottom"/>
            <w:shd w:val="clear" w:color="auto" w:fill="CCEBF8"/>
          </w:tcPr>
          <w:p>
            <w:pPr>
              <w:spacing w:after="0"/>
              <w:rPr>
                <w:sz w:val="10"/>
                <w:szCs w:val="10"/>
                <w:color w:val="auto"/>
              </w:rPr>
            </w:pPr>
          </w:p>
        </w:tc>
        <w:tc>
          <w:tcPr>
            <w:tcW w:w="720" w:type="dxa"/>
            <w:vAlign w:val="bottom"/>
            <w:gridSpan w:val="2"/>
            <w:shd w:val="clear" w:color="auto" w:fill="CCEBF8"/>
          </w:tcPr>
          <w:p>
            <w:pPr>
              <w:jc w:val="center"/>
              <w:ind w:right="340"/>
              <w:spacing w:after="0" w:line="121" w:lineRule="exact"/>
              <w:rPr>
                <w:sz w:val="20"/>
                <w:szCs w:val="20"/>
                <w:color w:val="auto"/>
              </w:rPr>
            </w:pPr>
            <w:r>
              <w:rPr>
                <w:rFonts w:ascii="Arial" w:cs="Arial" w:eastAsia="Arial" w:hAnsi="Arial"/>
                <w:sz w:val="11"/>
                <w:szCs w:val="11"/>
                <w:b w:val="1"/>
                <w:bCs w:val="1"/>
                <w:color w:val="009BDE"/>
                <w:w w:val="98"/>
              </w:rPr>
              <w:t>(CAP)</w:t>
            </w:r>
          </w:p>
        </w:tc>
        <w:tc>
          <w:tcPr>
            <w:tcW w:w="820" w:type="dxa"/>
            <w:vAlign w:val="bottom"/>
            <w:shd w:val="clear" w:color="auto" w:fill="CCEBF8"/>
          </w:tcPr>
          <w:p>
            <w:pPr>
              <w:jc w:val="center"/>
              <w:ind w:right="7"/>
              <w:spacing w:after="0" w:line="121" w:lineRule="exact"/>
              <w:rPr>
                <w:sz w:val="20"/>
                <w:szCs w:val="20"/>
                <w:color w:val="auto"/>
              </w:rPr>
            </w:pPr>
            <w:r>
              <w:rPr>
                <w:rFonts w:ascii="Arial" w:cs="Arial" w:eastAsia="Arial" w:hAnsi="Arial"/>
                <w:sz w:val="11"/>
                <w:szCs w:val="11"/>
                <w:b w:val="1"/>
                <w:bCs w:val="1"/>
                <w:color w:val="009BDE"/>
                <w:w w:val="95"/>
              </w:rPr>
              <w:t>(SCT)</w:t>
            </w:r>
          </w:p>
        </w:tc>
        <w:tc>
          <w:tcPr>
            <w:tcW w:w="240" w:type="dxa"/>
            <w:vAlign w:val="bottom"/>
            <w:shd w:val="clear" w:color="auto" w:fill="CCEBF8"/>
          </w:tcPr>
          <w:p>
            <w:pPr>
              <w:spacing w:after="0"/>
              <w:rPr>
                <w:sz w:val="10"/>
                <w:szCs w:val="10"/>
                <w:color w:val="auto"/>
              </w:rPr>
            </w:pPr>
          </w:p>
        </w:tc>
        <w:tc>
          <w:tcPr>
            <w:tcW w:w="640" w:type="dxa"/>
            <w:vAlign w:val="bottom"/>
            <w:gridSpan w:val="2"/>
            <w:shd w:val="clear" w:color="auto" w:fill="CCEBF8"/>
          </w:tcPr>
          <w:p>
            <w:pPr>
              <w:jc w:val="center"/>
              <w:ind w:right="220"/>
              <w:spacing w:after="0" w:line="121" w:lineRule="exact"/>
              <w:rPr>
                <w:sz w:val="20"/>
                <w:szCs w:val="20"/>
                <w:color w:val="auto"/>
              </w:rPr>
            </w:pPr>
            <w:r>
              <w:rPr>
                <w:rFonts w:ascii="Arial" w:cs="Arial" w:eastAsia="Arial" w:hAnsi="Arial"/>
                <w:sz w:val="11"/>
                <w:szCs w:val="11"/>
                <w:b w:val="1"/>
                <w:bCs w:val="1"/>
                <w:color w:val="009BDE"/>
                <w:w w:val="98"/>
              </w:rPr>
              <w:t>(CAP)</w:t>
            </w:r>
          </w:p>
        </w:tc>
        <w:tc>
          <w:tcPr>
            <w:tcW w:w="680" w:type="dxa"/>
            <w:vAlign w:val="bottom"/>
            <w:shd w:val="clear" w:color="auto" w:fill="CCEBF8"/>
          </w:tcPr>
          <w:p>
            <w:pPr>
              <w:jc w:val="center"/>
              <w:spacing w:after="0" w:line="121" w:lineRule="exact"/>
              <w:rPr>
                <w:sz w:val="20"/>
                <w:szCs w:val="20"/>
                <w:color w:val="auto"/>
              </w:rPr>
            </w:pPr>
            <w:r>
              <w:rPr>
                <w:rFonts w:ascii="Arial" w:cs="Arial" w:eastAsia="Arial" w:hAnsi="Arial"/>
                <w:sz w:val="11"/>
                <w:szCs w:val="11"/>
                <w:b w:val="1"/>
                <w:bCs w:val="1"/>
                <w:color w:val="009BDE"/>
                <w:w w:val="97"/>
              </w:rPr>
              <w:t>for Other</w:t>
            </w:r>
          </w:p>
        </w:tc>
        <w:tc>
          <w:tcPr>
            <w:tcW w:w="760" w:type="dxa"/>
            <w:vAlign w:val="bottom"/>
            <w:shd w:val="clear" w:color="auto" w:fill="CCEBF8"/>
          </w:tcPr>
          <w:p>
            <w:pPr>
              <w:jc w:val="center"/>
              <w:ind w:right="7"/>
              <w:spacing w:after="0" w:line="121" w:lineRule="exact"/>
              <w:rPr>
                <w:sz w:val="20"/>
                <w:szCs w:val="20"/>
                <w:color w:val="auto"/>
              </w:rPr>
            </w:pPr>
            <w:r>
              <w:rPr>
                <w:rFonts w:ascii="Arial" w:cs="Arial" w:eastAsia="Arial" w:hAnsi="Arial"/>
                <w:sz w:val="11"/>
                <w:szCs w:val="11"/>
                <w:b w:val="1"/>
                <w:bCs w:val="1"/>
                <w:color w:val="009BDE"/>
              </w:rPr>
              <w:t>Other</w:t>
            </w:r>
          </w:p>
        </w:tc>
        <w:tc>
          <w:tcPr>
            <w:tcW w:w="80" w:type="dxa"/>
            <w:vAlign w:val="bottom"/>
            <w:shd w:val="clear" w:color="auto" w:fill="CCEBF8"/>
          </w:tcPr>
          <w:p>
            <w:pPr>
              <w:spacing w:after="0"/>
              <w:rPr>
                <w:sz w:val="10"/>
                <w:szCs w:val="10"/>
                <w:color w:val="auto"/>
              </w:rPr>
            </w:pPr>
          </w:p>
        </w:tc>
        <w:tc>
          <w:tcPr>
            <w:tcW w:w="380" w:type="dxa"/>
            <w:vAlign w:val="bottom"/>
            <w:shd w:val="clear" w:color="auto" w:fill="CCEBF8"/>
          </w:tcPr>
          <w:p>
            <w:pPr>
              <w:jc w:val="right"/>
              <w:ind w:right="107"/>
              <w:spacing w:after="0" w:line="121" w:lineRule="exact"/>
              <w:rPr>
                <w:sz w:val="20"/>
                <w:szCs w:val="20"/>
                <w:color w:val="auto"/>
              </w:rPr>
            </w:pPr>
            <w:r>
              <w:rPr>
                <w:rFonts w:ascii="Arial" w:cs="Arial" w:eastAsia="Arial" w:hAnsi="Arial"/>
                <w:sz w:val="11"/>
                <w:szCs w:val="11"/>
                <w:b w:val="1"/>
                <w:bCs w:val="1"/>
                <w:color w:val="009BDE"/>
                <w:w w:val="90"/>
              </w:rPr>
              <w:t>TSR</w:t>
            </w:r>
          </w:p>
        </w:tc>
        <w:tc>
          <w:tcPr>
            <w:tcW w:w="800" w:type="dxa"/>
            <w:vAlign w:val="bottom"/>
            <w:gridSpan w:val="2"/>
            <w:shd w:val="clear" w:color="auto" w:fill="CCEBF8"/>
          </w:tcPr>
          <w:p>
            <w:pPr>
              <w:ind w:left="80"/>
              <w:spacing w:after="0" w:line="121" w:lineRule="exact"/>
              <w:rPr>
                <w:sz w:val="20"/>
                <w:szCs w:val="20"/>
                <w:color w:val="auto"/>
              </w:rPr>
            </w:pPr>
            <w:r>
              <w:rPr>
                <w:rFonts w:ascii="Arial" w:cs="Arial" w:eastAsia="Arial" w:hAnsi="Arial"/>
                <w:sz w:val="11"/>
                <w:szCs w:val="11"/>
                <w:b w:val="1"/>
                <w:bCs w:val="1"/>
                <w:color w:val="009BDE"/>
                <w:w w:val="99"/>
              </w:rPr>
              <w:t>Discretionary</w:t>
            </w:r>
          </w:p>
        </w:tc>
        <w:tc>
          <w:tcPr>
            <w:tcW w:w="120" w:type="dxa"/>
            <w:vAlign w:val="bottom"/>
            <w:shd w:val="clear" w:color="auto" w:fill="CCEBF8"/>
          </w:tcPr>
          <w:p>
            <w:pPr>
              <w:spacing w:after="0"/>
              <w:rPr>
                <w:sz w:val="10"/>
                <w:szCs w:val="10"/>
                <w:color w:val="auto"/>
              </w:rPr>
            </w:pPr>
          </w:p>
        </w:tc>
        <w:tc>
          <w:tcPr>
            <w:tcW w:w="840" w:type="dxa"/>
            <w:vAlign w:val="bottom"/>
            <w:shd w:val="clear" w:color="auto" w:fill="CCEBF8"/>
          </w:tcPr>
          <w:p>
            <w:pPr>
              <w:jc w:val="right"/>
              <w:ind w:right="167"/>
              <w:spacing w:after="0" w:line="121" w:lineRule="exact"/>
              <w:rPr>
                <w:sz w:val="20"/>
                <w:szCs w:val="20"/>
                <w:color w:val="auto"/>
              </w:rPr>
            </w:pPr>
            <w:r>
              <w:rPr>
                <w:rFonts w:ascii="Arial" w:cs="Arial" w:eastAsia="Arial" w:hAnsi="Arial"/>
                <w:sz w:val="11"/>
                <w:szCs w:val="11"/>
                <w:b w:val="1"/>
                <w:bCs w:val="1"/>
                <w:color w:val="009BDE"/>
              </w:rPr>
              <w:t>Net Income</w:t>
            </w:r>
          </w:p>
        </w:tc>
        <w:tc>
          <w:tcPr>
            <w:tcW w:w="80" w:type="dxa"/>
            <w:vAlign w:val="bottom"/>
            <w:shd w:val="clear" w:color="auto" w:fill="CCEBF8"/>
          </w:tcPr>
          <w:p>
            <w:pPr>
              <w:spacing w:after="0"/>
              <w:rPr>
                <w:sz w:val="10"/>
                <w:szCs w:val="10"/>
                <w:color w:val="auto"/>
              </w:rPr>
            </w:pPr>
          </w:p>
        </w:tc>
        <w:tc>
          <w:tcPr>
            <w:tcW w:w="760" w:type="dxa"/>
            <w:vAlign w:val="bottom"/>
            <w:shd w:val="clear" w:color="auto" w:fill="CCEBF8"/>
          </w:tcPr>
          <w:p>
            <w:pPr>
              <w:spacing w:after="0"/>
              <w:rPr>
                <w:sz w:val="10"/>
                <w:szCs w:val="10"/>
                <w:color w:val="auto"/>
              </w:rPr>
            </w:pPr>
          </w:p>
        </w:tc>
        <w:tc>
          <w:tcPr>
            <w:tcW w:w="40" w:type="dxa"/>
            <w:vAlign w:val="bottom"/>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040" w:type="dxa"/>
            <w:vAlign w:val="bottom"/>
            <w:shd w:val="clear" w:color="auto" w:fill="CCEBF8"/>
          </w:tcPr>
          <w:p>
            <w:pPr>
              <w:jc w:val="center"/>
              <w:ind w:right="607"/>
              <w:spacing w:after="0"/>
              <w:rPr>
                <w:sz w:val="20"/>
                <w:szCs w:val="20"/>
                <w:color w:val="auto"/>
              </w:rPr>
            </w:pPr>
            <w:r>
              <w:rPr>
                <w:rFonts w:ascii="Arial" w:cs="Arial" w:eastAsia="Arial" w:hAnsi="Arial"/>
                <w:sz w:val="11"/>
                <w:szCs w:val="11"/>
                <w:b w:val="1"/>
                <w:bCs w:val="1"/>
                <w:color w:val="009BDE"/>
                <w:w w:val="91"/>
              </w:rPr>
              <w:t>   Year</w:t>
            </w:r>
            <w:r>
              <w:rPr>
                <w:rFonts w:ascii="Arial" w:cs="Arial" w:eastAsia="Arial" w:hAnsi="Arial"/>
                <w:sz w:val="6"/>
                <w:szCs w:val="6"/>
                <w:b w:val="1"/>
                <w:bCs w:val="1"/>
                <w:color w:val="009BDE"/>
                <w:w w:val="91"/>
              </w:rPr>
              <w:t>(1)</w:t>
            </w:r>
          </w:p>
        </w:tc>
        <w:tc>
          <w:tcPr>
            <w:tcW w:w="100" w:type="dxa"/>
            <w:vAlign w:val="bottom"/>
            <w:shd w:val="clear" w:color="auto" w:fill="CCEBF8"/>
          </w:tcPr>
          <w:p>
            <w:pPr>
              <w:spacing w:after="0"/>
              <w:rPr>
                <w:sz w:val="13"/>
                <w:szCs w:val="13"/>
                <w:color w:val="auto"/>
              </w:rPr>
            </w:pPr>
          </w:p>
        </w:tc>
        <w:tc>
          <w:tcPr>
            <w:tcW w:w="60" w:type="dxa"/>
            <w:vAlign w:val="bottom"/>
            <w:shd w:val="clear" w:color="auto" w:fill="CCEBF8"/>
          </w:tcPr>
          <w:p>
            <w:pPr>
              <w:spacing w:after="0"/>
              <w:rPr>
                <w:sz w:val="13"/>
                <w:szCs w:val="13"/>
                <w:color w:val="auto"/>
              </w:rPr>
            </w:pPr>
          </w:p>
        </w:tc>
        <w:tc>
          <w:tcPr>
            <w:tcW w:w="740" w:type="dxa"/>
            <w:vAlign w:val="bottom"/>
            <w:shd w:val="clear" w:color="auto" w:fill="CCEBF8"/>
          </w:tcPr>
          <w:p>
            <w:pPr>
              <w:jc w:val="center"/>
              <w:ind w:right="87"/>
              <w:spacing w:after="0"/>
              <w:rPr>
                <w:sz w:val="20"/>
                <w:szCs w:val="20"/>
                <w:color w:val="auto"/>
              </w:rPr>
            </w:pPr>
            <w:r>
              <w:rPr>
                <w:rFonts w:ascii="Arial" w:cs="Arial" w:eastAsia="Arial" w:hAnsi="Arial"/>
                <w:sz w:val="11"/>
                <w:szCs w:val="11"/>
                <w:b w:val="1"/>
                <w:bCs w:val="1"/>
                <w:color w:val="009BDE"/>
                <w:w w:val="96"/>
              </w:rPr>
              <w:t>for CEO</w:t>
            </w:r>
          </w:p>
        </w:tc>
        <w:tc>
          <w:tcPr>
            <w:tcW w:w="220" w:type="dxa"/>
            <w:vAlign w:val="bottom"/>
            <w:shd w:val="clear" w:color="auto" w:fill="CCEBF8"/>
          </w:tcPr>
          <w:p>
            <w:pPr>
              <w:spacing w:after="0"/>
              <w:rPr>
                <w:sz w:val="13"/>
                <w:szCs w:val="13"/>
                <w:color w:val="auto"/>
              </w:rPr>
            </w:pPr>
          </w:p>
        </w:tc>
        <w:tc>
          <w:tcPr>
            <w:tcW w:w="640" w:type="dxa"/>
            <w:vAlign w:val="bottom"/>
            <w:gridSpan w:val="2"/>
            <w:shd w:val="clear" w:color="auto" w:fill="CCEBF8"/>
          </w:tcPr>
          <w:p>
            <w:pPr>
              <w:jc w:val="center"/>
              <w:ind w:right="200"/>
              <w:spacing w:after="0"/>
              <w:rPr>
                <w:sz w:val="20"/>
                <w:szCs w:val="20"/>
                <w:color w:val="auto"/>
              </w:rPr>
            </w:pPr>
            <w:r>
              <w:rPr>
                <w:rFonts w:ascii="Arial" w:cs="Arial" w:eastAsia="Arial" w:hAnsi="Arial"/>
                <w:sz w:val="11"/>
                <w:szCs w:val="11"/>
                <w:b w:val="1"/>
                <w:bCs w:val="1"/>
                <w:color w:val="009BDE"/>
                <w:w w:val="96"/>
              </w:rPr>
              <w:t>to CEO</w:t>
            </w:r>
          </w:p>
        </w:tc>
        <w:tc>
          <w:tcPr>
            <w:tcW w:w="100" w:type="dxa"/>
            <w:vAlign w:val="bottom"/>
            <w:shd w:val="clear" w:color="auto" w:fill="CCEBF8"/>
          </w:tcPr>
          <w:p>
            <w:pPr>
              <w:spacing w:after="0"/>
              <w:rPr>
                <w:sz w:val="13"/>
                <w:szCs w:val="13"/>
                <w:color w:val="auto"/>
              </w:rPr>
            </w:pPr>
          </w:p>
        </w:tc>
        <w:tc>
          <w:tcPr>
            <w:tcW w:w="100" w:type="dxa"/>
            <w:vAlign w:val="bottom"/>
            <w:shd w:val="clear" w:color="auto" w:fill="CCEBF8"/>
          </w:tcPr>
          <w:p>
            <w:pPr>
              <w:spacing w:after="0"/>
              <w:rPr>
                <w:sz w:val="13"/>
                <w:szCs w:val="13"/>
                <w:color w:val="auto"/>
              </w:rPr>
            </w:pPr>
          </w:p>
        </w:tc>
        <w:tc>
          <w:tcPr>
            <w:tcW w:w="720" w:type="dxa"/>
            <w:vAlign w:val="bottom"/>
            <w:shd w:val="clear" w:color="auto" w:fill="CCEBF8"/>
          </w:tcPr>
          <w:p>
            <w:pPr>
              <w:jc w:val="center"/>
              <w:ind w:right="127"/>
              <w:spacing w:after="0"/>
              <w:rPr>
                <w:sz w:val="20"/>
                <w:szCs w:val="20"/>
                <w:color w:val="auto"/>
              </w:rPr>
            </w:pPr>
            <w:r>
              <w:rPr>
                <w:rFonts w:ascii="Arial" w:cs="Arial" w:eastAsia="Arial" w:hAnsi="Arial"/>
                <w:sz w:val="11"/>
                <w:szCs w:val="11"/>
                <w:b w:val="1"/>
                <w:bCs w:val="1"/>
                <w:color w:val="009BDE"/>
              </w:rPr>
              <w:t>for CEO</w:t>
            </w:r>
          </w:p>
        </w:tc>
        <w:tc>
          <w:tcPr>
            <w:tcW w:w="240" w:type="dxa"/>
            <w:vAlign w:val="bottom"/>
            <w:shd w:val="clear" w:color="auto" w:fill="CCEBF8"/>
          </w:tcPr>
          <w:p>
            <w:pPr>
              <w:spacing w:after="0"/>
              <w:rPr>
                <w:sz w:val="13"/>
                <w:szCs w:val="13"/>
                <w:color w:val="auto"/>
              </w:rPr>
            </w:pPr>
          </w:p>
        </w:tc>
        <w:tc>
          <w:tcPr>
            <w:tcW w:w="720" w:type="dxa"/>
            <w:vAlign w:val="bottom"/>
            <w:gridSpan w:val="2"/>
            <w:shd w:val="clear" w:color="auto" w:fill="CCEBF8"/>
          </w:tcPr>
          <w:p>
            <w:pPr>
              <w:jc w:val="center"/>
              <w:ind w:right="320"/>
              <w:spacing w:after="0"/>
              <w:rPr>
                <w:sz w:val="20"/>
                <w:szCs w:val="20"/>
                <w:color w:val="auto"/>
              </w:rPr>
            </w:pPr>
            <w:r>
              <w:rPr>
                <w:rFonts w:ascii="Arial" w:cs="Arial" w:eastAsia="Arial" w:hAnsi="Arial"/>
                <w:sz w:val="11"/>
                <w:szCs w:val="11"/>
                <w:b w:val="1"/>
                <w:bCs w:val="1"/>
                <w:color w:val="009BDE"/>
                <w:w w:val="96"/>
              </w:rPr>
              <w:t>to CEO</w:t>
            </w:r>
          </w:p>
        </w:tc>
        <w:tc>
          <w:tcPr>
            <w:tcW w:w="820" w:type="dxa"/>
            <w:vAlign w:val="bottom"/>
            <w:shd w:val="clear" w:color="auto" w:fill="CCEBF8"/>
          </w:tcPr>
          <w:p>
            <w:pPr>
              <w:jc w:val="center"/>
              <w:ind w:right="7"/>
              <w:spacing w:after="0"/>
              <w:rPr>
                <w:sz w:val="20"/>
                <w:szCs w:val="20"/>
                <w:color w:val="auto"/>
              </w:rPr>
            </w:pPr>
            <w:r>
              <w:rPr>
                <w:rFonts w:ascii="Arial" w:cs="Arial" w:eastAsia="Arial" w:hAnsi="Arial"/>
                <w:sz w:val="11"/>
                <w:szCs w:val="11"/>
                <w:b w:val="1"/>
                <w:bCs w:val="1"/>
                <w:color w:val="009BDE"/>
                <w:w w:val="96"/>
              </w:rPr>
              <w:t>for CEO</w:t>
            </w:r>
          </w:p>
        </w:tc>
        <w:tc>
          <w:tcPr>
            <w:tcW w:w="240" w:type="dxa"/>
            <w:vAlign w:val="bottom"/>
            <w:shd w:val="clear" w:color="auto" w:fill="CCEBF8"/>
          </w:tcPr>
          <w:p>
            <w:pPr>
              <w:spacing w:after="0"/>
              <w:rPr>
                <w:sz w:val="13"/>
                <w:szCs w:val="13"/>
                <w:color w:val="auto"/>
              </w:rPr>
            </w:pPr>
          </w:p>
        </w:tc>
        <w:tc>
          <w:tcPr>
            <w:tcW w:w="640" w:type="dxa"/>
            <w:vAlign w:val="bottom"/>
            <w:gridSpan w:val="2"/>
            <w:shd w:val="clear" w:color="auto" w:fill="CCEBF8"/>
          </w:tcPr>
          <w:p>
            <w:pPr>
              <w:jc w:val="center"/>
              <w:ind w:right="240"/>
              <w:spacing w:after="0"/>
              <w:rPr>
                <w:sz w:val="20"/>
                <w:szCs w:val="20"/>
                <w:color w:val="auto"/>
              </w:rPr>
            </w:pPr>
            <w:r>
              <w:rPr>
                <w:rFonts w:ascii="Arial" w:cs="Arial" w:eastAsia="Arial" w:hAnsi="Arial"/>
                <w:sz w:val="11"/>
                <w:szCs w:val="11"/>
                <w:b w:val="1"/>
                <w:bCs w:val="1"/>
                <w:color w:val="009BDE"/>
                <w:w w:val="96"/>
              </w:rPr>
              <w:t>to CEO</w:t>
            </w:r>
          </w:p>
        </w:tc>
        <w:tc>
          <w:tcPr>
            <w:tcW w:w="680" w:type="dxa"/>
            <w:vAlign w:val="bottom"/>
            <w:shd w:val="clear" w:color="auto" w:fill="CCEBF8"/>
          </w:tcPr>
          <w:p>
            <w:pPr>
              <w:jc w:val="center"/>
              <w:spacing w:after="0"/>
              <w:rPr>
                <w:sz w:val="20"/>
                <w:szCs w:val="20"/>
                <w:color w:val="auto"/>
              </w:rPr>
            </w:pPr>
            <w:r>
              <w:rPr>
                <w:rFonts w:ascii="Arial" w:cs="Arial" w:eastAsia="Arial" w:hAnsi="Arial"/>
                <w:sz w:val="11"/>
                <w:szCs w:val="11"/>
                <w:b w:val="1"/>
                <w:bCs w:val="1"/>
                <w:color w:val="009BDE"/>
              </w:rPr>
              <w:t>NEOs</w:t>
            </w:r>
            <w:r>
              <w:rPr>
                <w:rFonts w:ascii="Arial" w:cs="Arial" w:eastAsia="Arial" w:hAnsi="Arial"/>
                <w:sz w:val="6"/>
                <w:szCs w:val="6"/>
                <w:b w:val="1"/>
                <w:bCs w:val="1"/>
                <w:color w:val="009BDE"/>
              </w:rPr>
              <w:t>(3)</w:t>
            </w:r>
          </w:p>
        </w:tc>
        <w:tc>
          <w:tcPr>
            <w:tcW w:w="760" w:type="dxa"/>
            <w:vAlign w:val="bottom"/>
            <w:shd w:val="clear" w:color="auto" w:fill="CCEBF8"/>
          </w:tcPr>
          <w:p>
            <w:pPr>
              <w:jc w:val="center"/>
              <w:ind w:right="7"/>
              <w:spacing w:after="0"/>
              <w:rPr>
                <w:sz w:val="20"/>
                <w:szCs w:val="20"/>
                <w:color w:val="auto"/>
              </w:rPr>
            </w:pPr>
            <w:r>
              <w:rPr>
                <w:rFonts w:ascii="Arial" w:cs="Arial" w:eastAsia="Arial" w:hAnsi="Arial"/>
                <w:sz w:val="11"/>
                <w:szCs w:val="11"/>
                <w:b w:val="1"/>
                <w:bCs w:val="1"/>
                <w:color w:val="009BDE"/>
              </w:rPr>
              <w:t>NEOs</w:t>
            </w:r>
            <w:r>
              <w:rPr>
                <w:rFonts w:ascii="Arial" w:cs="Arial" w:eastAsia="Arial" w:hAnsi="Arial"/>
                <w:sz w:val="6"/>
                <w:szCs w:val="6"/>
                <w:b w:val="1"/>
                <w:bCs w:val="1"/>
                <w:color w:val="009BDE"/>
              </w:rPr>
              <w:t>(3)</w:t>
            </w:r>
          </w:p>
        </w:tc>
        <w:tc>
          <w:tcPr>
            <w:tcW w:w="460" w:type="dxa"/>
            <w:vAlign w:val="bottom"/>
            <w:gridSpan w:val="2"/>
            <w:shd w:val="clear" w:color="auto" w:fill="CCEBF8"/>
          </w:tcPr>
          <w:p>
            <w:pPr>
              <w:jc w:val="right"/>
              <w:ind w:right="67"/>
              <w:spacing w:after="0"/>
              <w:rPr>
                <w:sz w:val="20"/>
                <w:szCs w:val="20"/>
                <w:color w:val="auto"/>
              </w:rPr>
            </w:pPr>
            <w:r>
              <w:rPr>
                <w:rFonts w:ascii="Arial" w:cs="Arial" w:eastAsia="Arial" w:hAnsi="Arial"/>
                <w:sz w:val="11"/>
                <w:szCs w:val="11"/>
                <w:b w:val="1"/>
                <w:bCs w:val="1"/>
                <w:color w:val="009BDE"/>
              </w:rPr>
              <w:t>(HAS)</w:t>
            </w:r>
          </w:p>
        </w:tc>
        <w:tc>
          <w:tcPr>
            <w:tcW w:w="140" w:type="dxa"/>
            <w:vAlign w:val="bottom"/>
            <w:shd w:val="clear" w:color="auto" w:fill="CCEBF8"/>
          </w:tcPr>
          <w:p>
            <w:pPr>
              <w:spacing w:after="0"/>
              <w:rPr>
                <w:sz w:val="13"/>
                <w:szCs w:val="13"/>
                <w:color w:val="auto"/>
              </w:rPr>
            </w:pPr>
          </w:p>
        </w:tc>
        <w:tc>
          <w:tcPr>
            <w:tcW w:w="660" w:type="dxa"/>
            <w:vAlign w:val="bottom"/>
            <w:shd w:val="clear" w:color="auto" w:fill="CCEBF8"/>
          </w:tcPr>
          <w:p>
            <w:pPr>
              <w:jc w:val="center"/>
              <w:ind w:right="47"/>
              <w:spacing w:after="0"/>
              <w:rPr>
                <w:sz w:val="20"/>
                <w:szCs w:val="20"/>
                <w:color w:val="auto"/>
              </w:rPr>
            </w:pPr>
            <w:r>
              <w:rPr>
                <w:rFonts w:ascii="Arial" w:cs="Arial" w:eastAsia="Arial" w:hAnsi="Arial"/>
                <w:sz w:val="11"/>
                <w:szCs w:val="11"/>
                <w:b w:val="1"/>
                <w:bCs w:val="1"/>
                <w:color w:val="009BDE"/>
                <w:w w:val="98"/>
              </w:rPr>
              <w:t>Index)</w:t>
            </w:r>
          </w:p>
        </w:tc>
        <w:tc>
          <w:tcPr>
            <w:tcW w:w="120" w:type="dxa"/>
            <w:vAlign w:val="bottom"/>
            <w:shd w:val="clear" w:color="auto" w:fill="CCEBF8"/>
          </w:tcPr>
          <w:p>
            <w:pPr>
              <w:spacing w:after="0"/>
              <w:rPr>
                <w:sz w:val="13"/>
                <w:szCs w:val="13"/>
                <w:color w:val="auto"/>
              </w:rPr>
            </w:pPr>
          </w:p>
        </w:tc>
        <w:tc>
          <w:tcPr>
            <w:tcW w:w="840" w:type="dxa"/>
            <w:vAlign w:val="bottom"/>
            <w:shd w:val="clear" w:color="auto" w:fill="CCEBF8"/>
          </w:tcPr>
          <w:p>
            <w:pPr>
              <w:jc w:val="right"/>
              <w:ind w:right="267"/>
              <w:spacing w:after="0"/>
              <w:rPr>
                <w:sz w:val="20"/>
                <w:szCs w:val="20"/>
                <w:color w:val="auto"/>
              </w:rPr>
            </w:pPr>
            <w:r>
              <w:rPr>
                <w:rFonts w:ascii="Arial" w:cs="Arial" w:eastAsia="Arial" w:hAnsi="Arial"/>
                <w:sz w:val="11"/>
                <w:szCs w:val="11"/>
                <w:b w:val="1"/>
                <w:bCs w:val="1"/>
                <w:color w:val="009BDE"/>
              </w:rPr>
              <w:t>(GAAP)</w:t>
            </w:r>
          </w:p>
        </w:tc>
        <w:tc>
          <w:tcPr>
            <w:tcW w:w="80" w:type="dxa"/>
            <w:vAlign w:val="bottom"/>
            <w:shd w:val="clear" w:color="auto" w:fill="CCEBF8"/>
          </w:tcPr>
          <w:p>
            <w:pPr>
              <w:spacing w:after="0"/>
              <w:rPr>
                <w:sz w:val="13"/>
                <w:szCs w:val="13"/>
                <w:color w:val="auto"/>
              </w:rPr>
            </w:pPr>
          </w:p>
        </w:tc>
        <w:tc>
          <w:tcPr>
            <w:tcW w:w="800" w:type="dxa"/>
            <w:vAlign w:val="bottom"/>
            <w:gridSpan w:val="2"/>
            <w:shd w:val="clear" w:color="auto" w:fill="CCEBF8"/>
          </w:tcPr>
          <w:p>
            <w:pPr>
              <w:jc w:val="center"/>
              <w:ind w:right="40"/>
              <w:spacing w:after="0"/>
              <w:rPr>
                <w:sz w:val="20"/>
                <w:szCs w:val="20"/>
                <w:color w:val="auto"/>
              </w:rPr>
            </w:pPr>
            <w:r>
              <w:rPr>
                <w:rFonts w:ascii="Arial" w:cs="Arial" w:eastAsia="Arial" w:hAnsi="Arial"/>
                <w:sz w:val="11"/>
                <w:szCs w:val="11"/>
                <w:b w:val="1"/>
                <w:bCs w:val="1"/>
                <w:color w:val="009BDE"/>
                <w:w w:val="95"/>
              </w:rPr>
              <w:t>Net Revenue</w:t>
            </w:r>
          </w:p>
        </w:tc>
        <w:tc>
          <w:tcPr>
            <w:tcW w:w="0" w:type="dxa"/>
            <w:vAlign w:val="bottom"/>
          </w:tcPr>
          <w:p>
            <w:pPr>
              <w:spacing w:after="0"/>
              <w:rPr>
                <w:sz w:val="1"/>
                <w:szCs w:val="1"/>
                <w:color w:val="auto"/>
              </w:rPr>
            </w:pPr>
          </w:p>
        </w:tc>
      </w:tr>
      <w:tr>
        <w:trPr>
          <w:trHeight w:val="120"/>
        </w:trPr>
        <w:tc>
          <w:tcPr>
            <w:tcW w:w="1040" w:type="dxa"/>
            <w:vAlign w:val="bottom"/>
            <w:tcBorders>
              <w:bottom w:val="single" w:sz="8" w:color="009BDE"/>
            </w:tcBorders>
            <w:shd w:val="clear" w:color="auto" w:fill="CCEBF8"/>
          </w:tcPr>
          <w:p>
            <w:pPr>
              <w:spacing w:after="0"/>
              <w:rPr>
                <w:sz w:val="10"/>
                <w:szCs w:val="10"/>
                <w:color w:val="auto"/>
              </w:rPr>
            </w:pPr>
          </w:p>
        </w:tc>
        <w:tc>
          <w:tcPr>
            <w:tcW w:w="100" w:type="dxa"/>
            <w:vAlign w:val="bottom"/>
            <w:tcBorders>
              <w:bottom w:val="single" w:sz="8" w:color="009BDE"/>
            </w:tcBorders>
            <w:shd w:val="clear" w:color="auto" w:fill="CCEBF8"/>
          </w:tcPr>
          <w:p>
            <w:pPr>
              <w:spacing w:after="0"/>
              <w:rPr>
                <w:sz w:val="10"/>
                <w:szCs w:val="10"/>
                <w:color w:val="auto"/>
              </w:rPr>
            </w:pPr>
          </w:p>
        </w:tc>
        <w:tc>
          <w:tcPr>
            <w:tcW w:w="60" w:type="dxa"/>
            <w:vAlign w:val="bottom"/>
            <w:tcBorders>
              <w:bottom w:val="single" w:sz="8" w:color="009BDE"/>
            </w:tcBorders>
            <w:shd w:val="clear" w:color="auto" w:fill="CCEBF8"/>
          </w:tcPr>
          <w:p>
            <w:pPr>
              <w:spacing w:after="0"/>
              <w:rPr>
                <w:sz w:val="10"/>
                <w:szCs w:val="10"/>
                <w:color w:val="auto"/>
              </w:rPr>
            </w:pPr>
          </w:p>
        </w:tc>
        <w:tc>
          <w:tcPr>
            <w:tcW w:w="740" w:type="dxa"/>
            <w:vAlign w:val="bottom"/>
            <w:tcBorders>
              <w:bottom w:val="single" w:sz="8" w:color="009BDE"/>
            </w:tcBorders>
            <w:shd w:val="clear" w:color="auto" w:fill="CCEBF8"/>
          </w:tcPr>
          <w:p>
            <w:pPr>
              <w:spacing w:after="0"/>
              <w:rPr>
                <w:sz w:val="10"/>
                <w:szCs w:val="10"/>
                <w:color w:val="auto"/>
              </w:rPr>
            </w:pPr>
          </w:p>
        </w:tc>
        <w:tc>
          <w:tcPr>
            <w:tcW w:w="220" w:type="dxa"/>
            <w:vAlign w:val="bottom"/>
            <w:tcBorders>
              <w:bottom w:val="single" w:sz="8" w:color="009BDE"/>
            </w:tcBorders>
            <w:shd w:val="clear" w:color="auto" w:fill="CCEBF8"/>
          </w:tcPr>
          <w:p>
            <w:pPr>
              <w:spacing w:after="0"/>
              <w:rPr>
                <w:sz w:val="10"/>
                <w:szCs w:val="10"/>
                <w:color w:val="auto"/>
              </w:rPr>
            </w:pPr>
          </w:p>
        </w:tc>
        <w:tc>
          <w:tcPr>
            <w:tcW w:w="600" w:type="dxa"/>
            <w:vAlign w:val="bottom"/>
            <w:tcBorders>
              <w:bottom w:val="single" w:sz="8" w:color="009BDE"/>
            </w:tcBorders>
            <w:shd w:val="clear" w:color="auto" w:fill="CCEBF8"/>
          </w:tcPr>
          <w:p>
            <w:pPr>
              <w:spacing w:after="0"/>
              <w:rPr>
                <w:sz w:val="10"/>
                <w:szCs w:val="10"/>
                <w:color w:val="auto"/>
              </w:rPr>
            </w:pPr>
          </w:p>
        </w:tc>
        <w:tc>
          <w:tcPr>
            <w:tcW w:w="40" w:type="dxa"/>
            <w:vAlign w:val="bottom"/>
            <w:tcBorders>
              <w:bottom w:val="single" w:sz="8" w:color="009BDE"/>
            </w:tcBorders>
            <w:shd w:val="clear" w:color="auto" w:fill="CCEBF8"/>
          </w:tcPr>
          <w:p>
            <w:pPr>
              <w:spacing w:after="0"/>
              <w:rPr>
                <w:sz w:val="10"/>
                <w:szCs w:val="10"/>
                <w:color w:val="auto"/>
              </w:rPr>
            </w:pPr>
          </w:p>
        </w:tc>
        <w:tc>
          <w:tcPr>
            <w:tcW w:w="100" w:type="dxa"/>
            <w:vAlign w:val="bottom"/>
            <w:tcBorders>
              <w:bottom w:val="single" w:sz="8" w:color="009BDE"/>
            </w:tcBorders>
            <w:shd w:val="clear" w:color="auto" w:fill="CCEBF8"/>
          </w:tcPr>
          <w:p>
            <w:pPr>
              <w:spacing w:after="0"/>
              <w:rPr>
                <w:sz w:val="10"/>
                <w:szCs w:val="10"/>
                <w:color w:val="auto"/>
              </w:rPr>
            </w:pPr>
          </w:p>
        </w:tc>
        <w:tc>
          <w:tcPr>
            <w:tcW w:w="100" w:type="dxa"/>
            <w:vAlign w:val="bottom"/>
            <w:tcBorders>
              <w:bottom w:val="single" w:sz="8" w:color="009BDE"/>
            </w:tcBorders>
            <w:shd w:val="clear" w:color="auto" w:fill="CCEBF8"/>
          </w:tcPr>
          <w:p>
            <w:pPr>
              <w:spacing w:after="0"/>
              <w:rPr>
                <w:sz w:val="10"/>
                <w:szCs w:val="10"/>
                <w:color w:val="auto"/>
              </w:rPr>
            </w:pPr>
          </w:p>
        </w:tc>
        <w:tc>
          <w:tcPr>
            <w:tcW w:w="720" w:type="dxa"/>
            <w:vAlign w:val="bottom"/>
            <w:tcBorders>
              <w:bottom w:val="single" w:sz="8" w:color="009BDE"/>
            </w:tcBorders>
            <w:shd w:val="clear" w:color="auto" w:fill="CCEBF8"/>
          </w:tcPr>
          <w:p>
            <w:pPr>
              <w:spacing w:after="0"/>
              <w:rPr>
                <w:sz w:val="10"/>
                <w:szCs w:val="10"/>
                <w:color w:val="auto"/>
              </w:rPr>
            </w:pPr>
          </w:p>
        </w:tc>
        <w:tc>
          <w:tcPr>
            <w:tcW w:w="240" w:type="dxa"/>
            <w:vAlign w:val="bottom"/>
            <w:tcBorders>
              <w:bottom w:val="single" w:sz="8" w:color="009BDE"/>
            </w:tcBorders>
            <w:shd w:val="clear" w:color="auto" w:fill="CCEBF8"/>
          </w:tcPr>
          <w:p>
            <w:pPr>
              <w:spacing w:after="0"/>
              <w:rPr>
                <w:sz w:val="10"/>
                <w:szCs w:val="10"/>
                <w:color w:val="auto"/>
              </w:rPr>
            </w:pPr>
          </w:p>
        </w:tc>
        <w:tc>
          <w:tcPr>
            <w:tcW w:w="560" w:type="dxa"/>
            <w:vAlign w:val="bottom"/>
            <w:tcBorders>
              <w:bottom w:val="single" w:sz="8" w:color="009BDE"/>
            </w:tcBorders>
            <w:shd w:val="clear" w:color="auto" w:fill="CCEBF8"/>
          </w:tcPr>
          <w:p>
            <w:pPr>
              <w:spacing w:after="0"/>
              <w:rPr>
                <w:sz w:val="10"/>
                <w:szCs w:val="10"/>
                <w:color w:val="auto"/>
              </w:rPr>
            </w:pPr>
          </w:p>
        </w:tc>
        <w:tc>
          <w:tcPr>
            <w:tcW w:w="160" w:type="dxa"/>
            <w:vAlign w:val="bottom"/>
            <w:tcBorders>
              <w:bottom w:val="single" w:sz="8" w:color="009BDE"/>
            </w:tcBorders>
            <w:shd w:val="clear" w:color="auto" w:fill="CCEBF8"/>
          </w:tcPr>
          <w:p>
            <w:pPr>
              <w:spacing w:after="0"/>
              <w:rPr>
                <w:sz w:val="10"/>
                <w:szCs w:val="10"/>
                <w:color w:val="auto"/>
              </w:rPr>
            </w:pPr>
          </w:p>
        </w:tc>
        <w:tc>
          <w:tcPr>
            <w:tcW w:w="820" w:type="dxa"/>
            <w:vAlign w:val="bottom"/>
            <w:tcBorders>
              <w:bottom w:val="single" w:sz="8" w:color="009BDE"/>
            </w:tcBorders>
            <w:shd w:val="clear" w:color="auto" w:fill="CCEBF8"/>
          </w:tcPr>
          <w:p>
            <w:pPr>
              <w:spacing w:after="0"/>
              <w:rPr>
                <w:sz w:val="10"/>
                <w:szCs w:val="10"/>
                <w:color w:val="auto"/>
              </w:rPr>
            </w:pPr>
          </w:p>
        </w:tc>
        <w:tc>
          <w:tcPr>
            <w:tcW w:w="240" w:type="dxa"/>
            <w:vAlign w:val="bottom"/>
            <w:tcBorders>
              <w:bottom w:val="single" w:sz="8" w:color="009BDE"/>
            </w:tcBorders>
            <w:shd w:val="clear" w:color="auto" w:fill="CCEBF8"/>
          </w:tcPr>
          <w:p>
            <w:pPr>
              <w:spacing w:after="0"/>
              <w:rPr>
                <w:sz w:val="10"/>
                <w:szCs w:val="10"/>
                <w:color w:val="auto"/>
              </w:rPr>
            </w:pPr>
          </w:p>
        </w:tc>
        <w:tc>
          <w:tcPr>
            <w:tcW w:w="580" w:type="dxa"/>
            <w:vAlign w:val="bottom"/>
            <w:tcBorders>
              <w:bottom w:val="single" w:sz="8" w:color="009BDE"/>
            </w:tcBorders>
            <w:shd w:val="clear" w:color="auto" w:fill="CCEBF8"/>
          </w:tcPr>
          <w:p>
            <w:pPr>
              <w:spacing w:after="0"/>
              <w:rPr>
                <w:sz w:val="10"/>
                <w:szCs w:val="10"/>
                <w:color w:val="auto"/>
              </w:rPr>
            </w:pPr>
          </w:p>
        </w:tc>
        <w:tc>
          <w:tcPr>
            <w:tcW w:w="60" w:type="dxa"/>
            <w:vAlign w:val="bottom"/>
            <w:tcBorders>
              <w:bottom w:val="single" w:sz="8" w:color="009BDE"/>
            </w:tcBorders>
            <w:shd w:val="clear" w:color="auto" w:fill="CCEBF8"/>
          </w:tcPr>
          <w:p>
            <w:pPr>
              <w:spacing w:after="0"/>
              <w:rPr>
                <w:sz w:val="10"/>
                <w:szCs w:val="10"/>
                <w:color w:val="auto"/>
              </w:rPr>
            </w:pPr>
          </w:p>
        </w:tc>
        <w:tc>
          <w:tcPr>
            <w:tcW w:w="680" w:type="dxa"/>
            <w:vAlign w:val="bottom"/>
            <w:tcBorders>
              <w:bottom w:val="single" w:sz="8" w:color="009BDE"/>
            </w:tcBorders>
            <w:shd w:val="clear" w:color="auto" w:fill="CCEBF8"/>
          </w:tcPr>
          <w:p>
            <w:pPr>
              <w:spacing w:after="0"/>
              <w:rPr>
                <w:sz w:val="10"/>
                <w:szCs w:val="10"/>
                <w:color w:val="auto"/>
              </w:rPr>
            </w:pPr>
          </w:p>
        </w:tc>
        <w:tc>
          <w:tcPr>
            <w:tcW w:w="760" w:type="dxa"/>
            <w:vAlign w:val="bottom"/>
            <w:tcBorders>
              <w:bottom w:val="single" w:sz="8" w:color="009BDE"/>
            </w:tcBorders>
            <w:shd w:val="clear" w:color="auto" w:fill="CCEBF8"/>
          </w:tcPr>
          <w:p>
            <w:pPr>
              <w:spacing w:after="0"/>
              <w:rPr>
                <w:sz w:val="10"/>
                <w:szCs w:val="10"/>
                <w:color w:val="auto"/>
              </w:rPr>
            </w:pPr>
          </w:p>
        </w:tc>
        <w:tc>
          <w:tcPr>
            <w:tcW w:w="460" w:type="dxa"/>
            <w:vAlign w:val="bottom"/>
            <w:tcBorders>
              <w:bottom w:val="single" w:sz="8" w:color="009BDE"/>
            </w:tcBorders>
            <w:gridSpan w:val="2"/>
            <w:shd w:val="clear" w:color="auto" w:fill="CCEBF8"/>
          </w:tcPr>
          <w:p>
            <w:pPr>
              <w:spacing w:after="0"/>
              <w:rPr>
                <w:sz w:val="10"/>
                <w:szCs w:val="10"/>
                <w:color w:val="auto"/>
              </w:rPr>
            </w:pPr>
          </w:p>
        </w:tc>
        <w:tc>
          <w:tcPr>
            <w:tcW w:w="140" w:type="dxa"/>
            <w:vAlign w:val="bottom"/>
            <w:tcBorders>
              <w:bottom w:val="single" w:sz="8" w:color="009BDE"/>
            </w:tcBorders>
            <w:shd w:val="clear" w:color="auto" w:fill="CCEBF8"/>
          </w:tcPr>
          <w:p>
            <w:pPr>
              <w:spacing w:after="0"/>
              <w:rPr>
                <w:sz w:val="10"/>
                <w:szCs w:val="10"/>
                <w:color w:val="auto"/>
              </w:rPr>
            </w:pPr>
          </w:p>
        </w:tc>
        <w:tc>
          <w:tcPr>
            <w:tcW w:w="660" w:type="dxa"/>
            <w:vAlign w:val="bottom"/>
            <w:tcBorders>
              <w:bottom w:val="single" w:sz="8" w:color="009BDE"/>
            </w:tcBorders>
            <w:shd w:val="clear" w:color="auto" w:fill="CCEBF8"/>
          </w:tcPr>
          <w:p>
            <w:pPr>
              <w:spacing w:after="0"/>
              <w:rPr>
                <w:sz w:val="10"/>
                <w:szCs w:val="10"/>
                <w:color w:val="auto"/>
              </w:rPr>
            </w:pPr>
          </w:p>
        </w:tc>
        <w:tc>
          <w:tcPr>
            <w:tcW w:w="120" w:type="dxa"/>
            <w:vAlign w:val="bottom"/>
            <w:tcBorders>
              <w:bottom w:val="single" w:sz="8" w:color="009BDE"/>
            </w:tcBorders>
            <w:shd w:val="clear" w:color="auto" w:fill="CCEBF8"/>
          </w:tcPr>
          <w:p>
            <w:pPr>
              <w:spacing w:after="0"/>
              <w:rPr>
                <w:sz w:val="10"/>
                <w:szCs w:val="10"/>
                <w:color w:val="auto"/>
              </w:rPr>
            </w:pPr>
          </w:p>
        </w:tc>
        <w:tc>
          <w:tcPr>
            <w:tcW w:w="840" w:type="dxa"/>
            <w:vAlign w:val="bottom"/>
            <w:tcBorders>
              <w:bottom w:val="single" w:sz="8" w:color="009BDE"/>
            </w:tcBorders>
            <w:shd w:val="clear" w:color="auto" w:fill="CCEBF8"/>
          </w:tcPr>
          <w:p>
            <w:pPr>
              <w:spacing w:after="0"/>
              <w:rPr>
                <w:sz w:val="10"/>
                <w:szCs w:val="10"/>
                <w:color w:val="auto"/>
              </w:rPr>
            </w:pPr>
          </w:p>
        </w:tc>
        <w:tc>
          <w:tcPr>
            <w:tcW w:w="80" w:type="dxa"/>
            <w:vAlign w:val="bottom"/>
            <w:tcBorders>
              <w:bottom w:val="single" w:sz="8" w:color="009BDE"/>
            </w:tcBorders>
            <w:shd w:val="clear" w:color="auto" w:fill="CCEBF8"/>
          </w:tcPr>
          <w:p>
            <w:pPr>
              <w:spacing w:after="0"/>
              <w:rPr>
                <w:sz w:val="10"/>
                <w:szCs w:val="10"/>
                <w:color w:val="auto"/>
              </w:rPr>
            </w:pPr>
          </w:p>
        </w:tc>
        <w:tc>
          <w:tcPr>
            <w:tcW w:w="760" w:type="dxa"/>
            <w:vAlign w:val="bottom"/>
            <w:tcBorders>
              <w:bottom w:val="single" w:sz="8" w:color="009BDE"/>
            </w:tcBorders>
            <w:shd w:val="clear" w:color="auto" w:fill="CCEBF8"/>
          </w:tcPr>
          <w:p>
            <w:pPr>
              <w:spacing w:after="0"/>
              <w:rPr>
                <w:sz w:val="10"/>
                <w:szCs w:val="10"/>
                <w:color w:val="auto"/>
              </w:rPr>
            </w:pPr>
          </w:p>
        </w:tc>
        <w:tc>
          <w:tcPr>
            <w:tcW w:w="40" w:type="dxa"/>
            <w:vAlign w:val="bottom"/>
            <w:tcBorders>
              <w:bottom w:val="single" w:sz="8" w:color="009BDE"/>
            </w:tcBorders>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040" w:type="dxa"/>
            <w:vAlign w:val="bottom"/>
          </w:tcPr>
          <w:p>
            <w:pPr>
              <w:jc w:val="center"/>
              <w:ind w:right="587"/>
              <w:spacing w:after="0"/>
              <w:rPr>
                <w:sz w:val="20"/>
                <w:szCs w:val="20"/>
                <w:color w:val="auto"/>
              </w:rPr>
            </w:pPr>
            <w:r>
              <w:rPr>
                <w:rFonts w:ascii="Arial" w:cs="Arial" w:eastAsia="Arial" w:hAnsi="Arial"/>
                <w:sz w:val="11"/>
                <w:szCs w:val="11"/>
                <w:color w:val="auto"/>
                <w:w w:val="97"/>
              </w:rPr>
              <w:t>2025</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18,672,521</w:t>
            </w:r>
          </w:p>
        </w:tc>
        <w:tc>
          <w:tcPr>
            <w:tcW w:w="220" w:type="dxa"/>
            <w:vAlign w:val="bottom"/>
          </w:tcPr>
          <w:p>
            <w:pPr>
              <w:ind w:left="8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35,332,347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Arial" w:cs="Arial" w:eastAsia="Arial" w:hAnsi="Arial"/>
                <w:sz w:val="11"/>
                <w:szCs w:val="11"/>
                <w:color w:val="auto"/>
              </w:rPr>
              <w:t>n/a</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n/a</w:t>
            </w:r>
          </w:p>
        </w:tc>
        <w:tc>
          <w:tcPr>
            <w:tcW w:w="820" w:type="dxa"/>
            <w:vAlign w:val="bottom"/>
          </w:tcPr>
          <w:p>
            <w:pPr>
              <w:jc w:val="right"/>
              <w:ind w:right="7"/>
              <w:spacing w:after="0"/>
              <w:rPr>
                <w:sz w:val="20"/>
                <w:szCs w:val="20"/>
                <w:color w:val="auto"/>
              </w:rPr>
            </w:pPr>
            <w:r>
              <w:rPr>
                <w:rFonts w:ascii="Arial" w:cs="Arial" w:eastAsia="Arial" w:hAnsi="Arial"/>
                <w:sz w:val="11"/>
                <w:szCs w:val="11"/>
                <w:color w:val="auto"/>
              </w:rPr>
              <w:t>n/a</w:t>
            </w:r>
          </w:p>
        </w:tc>
        <w:tc>
          <w:tcPr>
            <w:tcW w:w="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80" w:type="dxa"/>
            <w:vAlign w:val="bottom"/>
          </w:tcPr>
          <w:p>
            <w:pPr>
              <w:jc w:val="center"/>
              <w:spacing w:after="0"/>
              <w:rPr>
                <w:sz w:val="20"/>
                <w:szCs w:val="20"/>
                <w:color w:val="auto"/>
              </w:rPr>
            </w:pPr>
            <w:r>
              <w:rPr>
                <w:rFonts w:ascii="Arial" w:cs="Arial" w:eastAsia="Arial" w:hAnsi="Arial"/>
                <w:sz w:val="11"/>
                <w:szCs w:val="11"/>
                <w:color w:val="auto"/>
                <w:w w:val="92"/>
              </w:rPr>
              <w:t>$ 4,409,423</w:t>
            </w:r>
          </w:p>
        </w:tc>
        <w:tc>
          <w:tcPr>
            <w:tcW w:w="760" w:type="dxa"/>
            <w:vAlign w:val="bottom"/>
          </w:tcPr>
          <w:p>
            <w:pPr>
              <w:jc w:val="center"/>
              <w:ind w:right="7"/>
              <w:spacing w:after="0"/>
              <w:rPr>
                <w:sz w:val="20"/>
                <w:szCs w:val="20"/>
                <w:color w:val="auto"/>
              </w:rPr>
            </w:pPr>
            <w:r>
              <w:rPr>
                <w:rFonts w:ascii="Arial" w:cs="Arial" w:eastAsia="Arial" w:hAnsi="Arial"/>
                <w:sz w:val="11"/>
                <w:szCs w:val="11"/>
                <w:color w:val="auto"/>
                <w:w w:val="92"/>
              </w:rPr>
              <w:t>$ 7,841,305</w:t>
            </w:r>
          </w:p>
        </w:tc>
        <w:tc>
          <w:tcPr>
            <w:tcW w:w="460" w:type="dxa"/>
            <w:vAlign w:val="bottom"/>
            <w:gridSpan w:val="2"/>
          </w:tcPr>
          <w:p>
            <w:pPr>
              <w:jc w:val="right"/>
              <w:ind w:right="7"/>
              <w:spacing w:after="0"/>
              <w:rPr>
                <w:sz w:val="20"/>
                <w:szCs w:val="20"/>
                <w:color w:val="auto"/>
              </w:rPr>
            </w:pPr>
            <w:r>
              <w:rPr>
                <w:rFonts w:ascii="Arial" w:cs="Arial" w:eastAsia="Arial" w:hAnsi="Arial"/>
                <w:sz w:val="11"/>
                <w:szCs w:val="11"/>
                <w:color w:val="auto"/>
                <w:w w:val="88"/>
              </w:rPr>
              <w:t>$ 108.23</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151.09</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7"/>
              <w:spacing w:after="0"/>
              <w:rPr>
                <w:sz w:val="20"/>
                <w:szCs w:val="20"/>
                <w:color w:val="auto"/>
              </w:rPr>
            </w:pPr>
            <w:r>
              <w:rPr>
                <w:rFonts w:ascii="Arial" w:cs="Arial" w:eastAsia="Arial" w:hAnsi="Arial"/>
                <w:sz w:val="11"/>
                <w:szCs w:val="11"/>
                <w:color w:val="auto"/>
              </w:rPr>
              <w:t>(322,400,000)</w:t>
            </w:r>
          </w:p>
        </w:tc>
        <w:tc>
          <w:tcPr>
            <w:tcW w:w="840" w:type="dxa"/>
            <w:vAlign w:val="bottom"/>
            <w:gridSpan w:val="2"/>
          </w:tcPr>
          <w:p>
            <w:pPr>
              <w:jc w:val="center"/>
              <w:ind w:left="27"/>
              <w:spacing w:after="0"/>
              <w:rPr>
                <w:sz w:val="20"/>
                <w:szCs w:val="20"/>
                <w:color w:val="auto"/>
              </w:rPr>
            </w:pPr>
            <w:r>
              <w:rPr>
                <w:rFonts w:ascii="Arial" w:cs="Arial" w:eastAsia="Arial" w:hAnsi="Arial"/>
                <w:sz w:val="11"/>
                <w:szCs w:val="11"/>
                <w:color w:val="auto"/>
                <w:w w:val="95"/>
              </w:rPr>
              <w:t>$ 4,701,300,000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04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6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4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6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8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40" w:type="dxa"/>
            <w:vAlign w:val="bottom"/>
            <w:tcBorders>
              <w:bottom w:val="single" w:sz="8" w:color="009BDE"/>
            </w:tcBorders>
          </w:tcPr>
          <w:p>
            <w:pPr>
              <w:spacing w:after="0"/>
              <w:rPr>
                <w:sz w:val="8"/>
                <w:szCs w:val="8"/>
                <w:color w:val="auto"/>
              </w:rPr>
            </w:pPr>
          </w:p>
        </w:tc>
        <w:tc>
          <w:tcPr>
            <w:tcW w:w="66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8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4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040" w:type="dxa"/>
            <w:vAlign w:val="bottom"/>
          </w:tcPr>
          <w:p>
            <w:pPr>
              <w:jc w:val="center"/>
              <w:ind w:right="587"/>
              <w:spacing w:after="0"/>
              <w:rPr>
                <w:sz w:val="20"/>
                <w:szCs w:val="20"/>
                <w:color w:val="auto"/>
              </w:rPr>
            </w:pPr>
            <w:r>
              <w:rPr>
                <w:rFonts w:ascii="Arial" w:cs="Arial" w:eastAsia="Arial" w:hAnsi="Arial"/>
                <w:sz w:val="11"/>
                <w:szCs w:val="11"/>
                <w:color w:val="auto"/>
                <w:w w:val="97"/>
              </w:rPr>
              <w:t>2024</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16,841,413</w:t>
            </w:r>
          </w:p>
        </w:tc>
        <w:tc>
          <w:tcPr>
            <w:tcW w:w="220" w:type="dxa"/>
            <w:vAlign w:val="bottom"/>
          </w:tcPr>
          <w:p>
            <w:pPr>
              <w:ind w:left="8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16,242,609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Arial" w:cs="Arial" w:eastAsia="Arial" w:hAnsi="Arial"/>
                <w:sz w:val="11"/>
                <w:szCs w:val="11"/>
                <w:color w:val="auto"/>
              </w:rPr>
              <w:t>n/a</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n/a</w:t>
            </w:r>
          </w:p>
        </w:tc>
        <w:tc>
          <w:tcPr>
            <w:tcW w:w="820" w:type="dxa"/>
            <w:vAlign w:val="bottom"/>
          </w:tcPr>
          <w:p>
            <w:pPr>
              <w:jc w:val="right"/>
              <w:ind w:right="7"/>
              <w:spacing w:after="0"/>
              <w:rPr>
                <w:sz w:val="20"/>
                <w:szCs w:val="20"/>
                <w:color w:val="auto"/>
              </w:rPr>
            </w:pPr>
            <w:r>
              <w:rPr>
                <w:rFonts w:ascii="Arial" w:cs="Arial" w:eastAsia="Arial" w:hAnsi="Arial"/>
                <w:sz w:val="11"/>
                <w:szCs w:val="11"/>
                <w:color w:val="auto"/>
              </w:rPr>
              <w:t>n/a</w:t>
            </w:r>
          </w:p>
        </w:tc>
        <w:tc>
          <w:tcPr>
            <w:tcW w:w="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80" w:type="dxa"/>
            <w:vAlign w:val="bottom"/>
          </w:tcPr>
          <w:p>
            <w:pPr>
              <w:jc w:val="center"/>
              <w:spacing w:after="0"/>
              <w:rPr>
                <w:sz w:val="20"/>
                <w:szCs w:val="20"/>
                <w:color w:val="auto"/>
              </w:rPr>
            </w:pPr>
            <w:r>
              <w:rPr>
                <w:rFonts w:ascii="Arial" w:cs="Arial" w:eastAsia="Arial" w:hAnsi="Arial"/>
                <w:sz w:val="11"/>
                <w:szCs w:val="11"/>
                <w:color w:val="auto"/>
                <w:w w:val="92"/>
              </w:rPr>
              <w:t>$ 5,151,928</w:t>
            </w:r>
          </w:p>
        </w:tc>
        <w:tc>
          <w:tcPr>
            <w:tcW w:w="760" w:type="dxa"/>
            <w:vAlign w:val="bottom"/>
          </w:tcPr>
          <w:p>
            <w:pPr>
              <w:jc w:val="center"/>
              <w:ind w:right="7"/>
              <w:spacing w:after="0"/>
              <w:rPr>
                <w:sz w:val="20"/>
                <w:szCs w:val="20"/>
                <w:color w:val="auto"/>
              </w:rPr>
            </w:pPr>
            <w:r>
              <w:rPr>
                <w:rFonts w:ascii="Arial" w:cs="Arial" w:eastAsia="Arial" w:hAnsi="Arial"/>
                <w:sz w:val="11"/>
                <w:szCs w:val="11"/>
                <w:color w:val="auto"/>
                <w:w w:val="92"/>
              </w:rPr>
              <w:t>$ 5,562,148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ind w:right="7"/>
              <w:spacing w:after="0"/>
              <w:rPr>
                <w:sz w:val="20"/>
                <w:szCs w:val="20"/>
                <w:color w:val="auto"/>
              </w:rPr>
            </w:pPr>
            <w:r>
              <w:rPr>
                <w:rFonts w:ascii="Arial" w:cs="Arial" w:eastAsia="Arial" w:hAnsi="Arial"/>
                <w:sz w:val="11"/>
                <w:szCs w:val="11"/>
                <w:color w:val="auto"/>
              </w:rPr>
              <w:t>71.48</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142.03</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7"/>
              <w:spacing w:after="0"/>
              <w:rPr>
                <w:sz w:val="20"/>
                <w:szCs w:val="20"/>
                <w:color w:val="auto"/>
              </w:rPr>
            </w:pPr>
            <w:r>
              <w:rPr>
                <w:rFonts w:ascii="Arial" w:cs="Arial" w:eastAsia="Arial" w:hAnsi="Arial"/>
                <w:sz w:val="11"/>
                <w:szCs w:val="11"/>
                <w:color w:val="auto"/>
              </w:rPr>
              <w:t>385,600,000</w:t>
            </w:r>
          </w:p>
        </w:tc>
        <w:tc>
          <w:tcPr>
            <w:tcW w:w="840" w:type="dxa"/>
            <w:vAlign w:val="bottom"/>
            <w:gridSpan w:val="2"/>
          </w:tcPr>
          <w:p>
            <w:pPr>
              <w:jc w:val="center"/>
              <w:ind w:left="27"/>
              <w:spacing w:after="0"/>
              <w:rPr>
                <w:sz w:val="20"/>
                <w:szCs w:val="20"/>
                <w:color w:val="auto"/>
              </w:rPr>
            </w:pPr>
            <w:r>
              <w:rPr>
                <w:rFonts w:ascii="Arial" w:cs="Arial" w:eastAsia="Arial" w:hAnsi="Arial"/>
                <w:sz w:val="11"/>
                <w:szCs w:val="11"/>
                <w:color w:val="auto"/>
                <w:w w:val="95"/>
              </w:rPr>
              <w:t>$ 4,135,500,000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04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6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4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6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8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40" w:type="dxa"/>
            <w:vAlign w:val="bottom"/>
            <w:tcBorders>
              <w:bottom w:val="single" w:sz="8" w:color="009BDE"/>
            </w:tcBorders>
          </w:tcPr>
          <w:p>
            <w:pPr>
              <w:spacing w:after="0"/>
              <w:rPr>
                <w:sz w:val="8"/>
                <w:szCs w:val="8"/>
                <w:color w:val="auto"/>
              </w:rPr>
            </w:pPr>
          </w:p>
        </w:tc>
        <w:tc>
          <w:tcPr>
            <w:tcW w:w="66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8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4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040" w:type="dxa"/>
            <w:vAlign w:val="bottom"/>
          </w:tcPr>
          <w:p>
            <w:pPr>
              <w:jc w:val="center"/>
              <w:ind w:right="587"/>
              <w:spacing w:after="0"/>
              <w:rPr>
                <w:sz w:val="20"/>
                <w:szCs w:val="20"/>
                <w:color w:val="auto"/>
              </w:rPr>
            </w:pPr>
            <w:r>
              <w:rPr>
                <w:rFonts w:ascii="Arial" w:cs="Arial" w:eastAsia="Arial" w:hAnsi="Arial"/>
                <w:sz w:val="11"/>
                <w:szCs w:val="11"/>
                <w:color w:val="auto"/>
                <w:w w:val="97"/>
              </w:rPr>
              <w:t>2023</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15,110,869</w:t>
            </w:r>
          </w:p>
        </w:tc>
        <w:tc>
          <w:tcPr>
            <w:tcW w:w="220" w:type="dxa"/>
            <w:vAlign w:val="bottom"/>
          </w:tcPr>
          <w:p>
            <w:pPr>
              <w:ind w:left="8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14,122,972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Arial" w:cs="Arial" w:eastAsia="Arial" w:hAnsi="Arial"/>
                <w:sz w:val="11"/>
                <w:szCs w:val="11"/>
                <w:color w:val="auto"/>
              </w:rPr>
              <w:t>n/a</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n/a</w:t>
            </w:r>
          </w:p>
        </w:tc>
        <w:tc>
          <w:tcPr>
            <w:tcW w:w="820" w:type="dxa"/>
            <w:vAlign w:val="bottom"/>
          </w:tcPr>
          <w:p>
            <w:pPr>
              <w:jc w:val="right"/>
              <w:ind w:right="7"/>
              <w:spacing w:after="0"/>
              <w:rPr>
                <w:sz w:val="20"/>
                <w:szCs w:val="20"/>
                <w:color w:val="auto"/>
              </w:rPr>
            </w:pPr>
            <w:r>
              <w:rPr>
                <w:rFonts w:ascii="Arial" w:cs="Arial" w:eastAsia="Arial" w:hAnsi="Arial"/>
                <w:sz w:val="11"/>
                <w:szCs w:val="11"/>
                <w:color w:val="auto"/>
              </w:rPr>
              <w:t>n/a</w:t>
            </w:r>
          </w:p>
        </w:tc>
        <w:tc>
          <w:tcPr>
            <w:tcW w:w="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80" w:type="dxa"/>
            <w:vAlign w:val="bottom"/>
          </w:tcPr>
          <w:p>
            <w:pPr>
              <w:jc w:val="center"/>
              <w:spacing w:after="0"/>
              <w:rPr>
                <w:sz w:val="20"/>
                <w:szCs w:val="20"/>
                <w:color w:val="auto"/>
              </w:rPr>
            </w:pPr>
            <w:r>
              <w:rPr>
                <w:rFonts w:ascii="Arial" w:cs="Arial" w:eastAsia="Arial" w:hAnsi="Arial"/>
                <w:sz w:val="11"/>
                <w:szCs w:val="11"/>
                <w:color w:val="auto"/>
                <w:w w:val="92"/>
              </w:rPr>
              <w:t>$ 5,507,043</w:t>
            </w:r>
          </w:p>
        </w:tc>
        <w:tc>
          <w:tcPr>
            <w:tcW w:w="760" w:type="dxa"/>
            <w:vAlign w:val="bottom"/>
          </w:tcPr>
          <w:p>
            <w:pPr>
              <w:jc w:val="center"/>
              <w:ind w:right="7"/>
              <w:spacing w:after="0"/>
              <w:rPr>
                <w:sz w:val="20"/>
                <w:szCs w:val="20"/>
                <w:color w:val="auto"/>
              </w:rPr>
            </w:pPr>
            <w:r>
              <w:rPr>
                <w:rFonts w:ascii="Arial" w:cs="Arial" w:eastAsia="Arial" w:hAnsi="Arial"/>
                <w:sz w:val="11"/>
                <w:szCs w:val="11"/>
                <w:color w:val="auto"/>
                <w:w w:val="92"/>
              </w:rPr>
              <w:t>$ 3,166,764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ind w:right="7"/>
              <w:spacing w:after="0"/>
              <w:rPr>
                <w:sz w:val="20"/>
                <w:szCs w:val="20"/>
                <w:color w:val="auto"/>
              </w:rPr>
            </w:pPr>
            <w:r>
              <w:rPr>
                <w:rFonts w:ascii="Arial" w:cs="Arial" w:eastAsia="Arial" w:hAnsi="Arial"/>
                <w:sz w:val="11"/>
                <w:szCs w:val="11"/>
                <w:color w:val="auto"/>
              </w:rPr>
              <w:t>61.41</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106.58</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7"/>
              <w:spacing w:after="0"/>
              <w:rPr>
                <w:sz w:val="20"/>
                <w:szCs w:val="20"/>
                <w:color w:val="auto"/>
              </w:rPr>
            </w:pPr>
            <w:r>
              <w:rPr>
                <w:rFonts w:ascii="Arial" w:cs="Arial" w:eastAsia="Arial" w:hAnsi="Arial"/>
                <w:sz w:val="11"/>
                <w:szCs w:val="11"/>
                <w:color w:val="auto"/>
                <w:w w:val="95"/>
              </w:rPr>
              <w:t>(1,489,300,000)</w:t>
            </w:r>
          </w:p>
        </w:tc>
        <w:tc>
          <w:tcPr>
            <w:tcW w:w="840" w:type="dxa"/>
            <w:vAlign w:val="bottom"/>
            <w:gridSpan w:val="2"/>
          </w:tcPr>
          <w:p>
            <w:pPr>
              <w:jc w:val="center"/>
              <w:ind w:left="27"/>
              <w:spacing w:after="0"/>
              <w:rPr>
                <w:sz w:val="20"/>
                <w:szCs w:val="20"/>
                <w:color w:val="auto"/>
              </w:rPr>
            </w:pPr>
            <w:r>
              <w:rPr>
                <w:rFonts w:ascii="Arial" w:cs="Arial" w:eastAsia="Arial" w:hAnsi="Arial"/>
                <w:sz w:val="11"/>
                <w:szCs w:val="11"/>
                <w:color w:val="auto"/>
                <w:w w:val="95"/>
              </w:rPr>
              <w:t>$ 5,003,326,000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04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6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4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6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8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40" w:type="dxa"/>
            <w:vAlign w:val="bottom"/>
            <w:tcBorders>
              <w:bottom w:val="single" w:sz="8" w:color="009BDE"/>
            </w:tcBorders>
          </w:tcPr>
          <w:p>
            <w:pPr>
              <w:spacing w:after="0"/>
              <w:rPr>
                <w:sz w:val="8"/>
                <w:szCs w:val="8"/>
                <w:color w:val="auto"/>
              </w:rPr>
            </w:pPr>
          </w:p>
        </w:tc>
        <w:tc>
          <w:tcPr>
            <w:tcW w:w="66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8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4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040" w:type="dxa"/>
            <w:vAlign w:val="bottom"/>
          </w:tcPr>
          <w:p>
            <w:pPr>
              <w:jc w:val="center"/>
              <w:ind w:right="587"/>
              <w:spacing w:after="0"/>
              <w:rPr>
                <w:sz w:val="20"/>
                <w:szCs w:val="20"/>
                <w:color w:val="auto"/>
              </w:rPr>
            </w:pPr>
            <w:r>
              <w:rPr>
                <w:rFonts w:ascii="Arial" w:cs="Arial" w:eastAsia="Arial" w:hAnsi="Arial"/>
                <w:sz w:val="11"/>
                <w:szCs w:val="11"/>
                <w:color w:val="auto"/>
                <w:w w:val="97"/>
              </w:rPr>
              <w:t>2022</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9,443,047</w:t>
            </w:r>
          </w:p>
        </w:tc>
        <w:tc>
          <w:tcPr>
            <w:tcW w:w="220" w:type="dxa"/>
            <w:vAlign w:val="bottom"/>
          </w:tcPr>
          <w:p>
            <w:pPr>
              <w:ind w:left="8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3,460,022</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27"/>
              <w:spacing w:after="0"/>
              <w:rPr>
                <w:sz w:val="20"/>
                <w:szCs w:val="20"/>
                <w:color w:val="auto"/>
              </w:rPr>
            </w:pPr>
            <w:r>
              <w:rPr>
                <w:rFonts w:ascii="Arial" w:cs="Arial" w:eastAsia="Arial" w:hAnsi="Arial"/>
                <w:sz w:val="11"/>
                <w:szCs w:val="11"/>
                <w:color w:val="auto"/>
              </w:rPr>
              <w:t>270,000</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(574,022)</w:t>
            </w:r>
          </w:p>
        </w:tc>
        <w:tc>
          <w:tcPr>
            <w:tcW w:w="820" w:type="dxa"/>
            <w:vAlign w:val="bottom"/>
          </w:tcPr>
          <w:p>
            <w:pPr>
              <w:jc w:val="right"/>
              <w:ind w:right="7"/>
              <w:spacing w:after="0"/>
              <w:rPr>
                <w:sz w:val="20"/>
                <w:szCs w:val="20"/>
                <w:color w:val="auto"/>
              </w:rPr>
            </w:pPr>
            <w:r>
              <w:rPr>
                <w:rFonts w:ascii="Arial" w:cs="Arial" w:eastAsia="Arial" w:hAnsi="Arial"/>
                <w:sz w:val="11"/>
                <w:szCs w:val="11"/>
                <w:color w:val="auto"/>
              </w:rPr>
              <w:t>n/a</w:t>
            </w:r>
          </w:p>
        </w:tc>
        <w:tc>
          <w:tcPr>
            <w:tcW w:w="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80" w:type="dxa"/>
            <w:vAlign w:val="bottom"/>
          </w:tcPr>
          <w:p>
            <w:pPr>
              <w:jc w:val="center"/>
              <w:spacing w:after="0"/>
              <w:rPr>
                <w:sz w:val="20"/>
                <w:szCs w:val="20"/>
                <w:color w:val="auto"/>
              </w:rPr>
            </w:pPr>
            <w:r>
              <w:rPr>
                <w:rFonts w:ascii="Arial" w:cs="Arial" w:eastAsia="Arial" w:hAnsi="Arial"/>
                <w:sz w:val="11"/>
                <w:szCs w:val="11"/>
                <w:color w:val="auto"/>
                <w:w w:val="92"/>
              </w:rPr>
              <w:t>$ 7,444,885</w:t>
            </w:r>
          </w:p>
        </w:tc>
        <w:tc>
          <w:tcPr>
            <w:tcW w:w="760" w:type="dxa"/>
            <w:vAlign w:val="bottom"/>
          </w:tcPr>
          <w:p>
            <w:pPr>
              <w:jc w:val="center"/>
              <w:ind w:right="7"/>
              <w:spacing w:after="0"/>
              <w:rPr>
                <w:sz w:val="20"/>
                <w:szCs w:val="20"/>
                <w:color w:val="auto"/>
              </w:rPr>
            </w:pPr>
            <w:r>
              <w:rPr>
                <w:rFonts w:ascii="Arial" w:cs="Arial" w:eastAsia="Arial" w:hAnsi="Arial"/>
                <w:sz w:val="11"/>
                <w:szCs w:val="11"/>
                <w:color w:val="auto"/>
                <w:w w:val="92"/>
              </w:rPr>
              <w:t>$ 2,209,062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ind w:right="7"/>
              <w:spacing w:after="0"/>
              <w:rPr>
                <w:sz w:val="20"/>
                <w:szCs w:val="20"/>
                <w:color w:val="auto"/>
              </w:rPr>
            </w:pPr>
            <w:r>
              <w:rPr>
                <w:rFonts w:ascii="Arial" w:cs="Arial" w:eastAsia="Arial" w:hAnsi="Arial"/>
                <w:sz w:val="11"/>
                <w:szCs w:val="11"/>
                <w:color w:val="auto"/>
              </w:rPr>
              <w:t>66.55</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78.07</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7"/>
              <w:spacing w:after="0"/>
              <w:rPr>
                <w:sz w:val="20"/>
                <w:szCs w:val="20"/>
                <w:color w:val="auto"/>
              </w:rPr>
            </w:pPr>
            <w:r>
              <w:rPr>
                <w:rFonts w:ascii="Arial" w:cs="Arial" w:eastAsia="Arial" w:hAnsi="Arial"/>
                <w:sz w:val="11"/>
                <w:szCs w:val="11"/>
                <w:color w:val="auto"/>
              </w:rPr>
              <w:t>203,500,000</w:t>
            </w:r>
          </w:p>
        </w:tc>
        <w:tc>
          <w:tcPr>
            <w:tcW w:w="840" w:type="dxa"/>
            <w:vAlign w:val="bottom"/>
            <w:gridSpan w:val="2"/>
          </w:tcPr>
          <w:p>
            <w:pPr>
              <w:jc w:val="center"/>
              <w:ind w:left="27"/>
              <w:spacing w:after="0"/>
              <w:rPr>
                <w:sz w:val="20"/>
                <w:szCs w:val="20"/>
                <w:color w:val="auto"/>
              </w:rPr>
            </w:pPr>
            <w:r>
              <w:rPr>
                <w:rFonts w:ascii="Arial" w:cs="Arial" w:eastAsia="Arial" w:hAnsi="Arial"/>
                <w:sz w:val="11"/>
                <w:szCs w:val="11"/>
                <w:color w:val="auto"/>
                <w:w w:val="95"/>
              </w:rPr>
              <w:t>$ 5,856,700,000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04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6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4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6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gridSpan w:val="2"/>
          </w:tcPr>
          <w:p>
            <w:pPr>
              <w:spacing w:after="0"/>
              <w:rPr>
                <w:sz w:val="8"/>
                <w:szCs w:val="8"/>
                <w:color w:val="auto"/>
              </w:rPr>
            </w:pPr>
          </w:p>
        </w:tc>
        <w:tc>
          <w:tcPr>
            <w:tcW w:w="140" w:type="dxa"/>
            <w:vAlign w:val="bottom"/>
            <w:tcBorders>
              <w:bottom w:val="single" w:sz="8" w:color="009BDE"/>
            </w:tcBorders>
          </w:tcPr>
          <w:p>
            <w:pPr>
              <w:spacing w:after="0"/>
              <w:rPr>
                <w:sz w:val="8"/>
                <w:szCs w:val="8"/>
                <w:color w:val="auto"/>
              </w:rPr>
            </w:pPr>
          </w:p>
        </w:tc>
        <w:tc>
          <w:tcPr>
            <w:tcW w:w="66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8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4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040" w:type="dxa"/>
            <w:vAlign w:val="bottom"/>
          </w:tcPr>
          <w:p>
            <w:pPr>
              <w:jc w:val="center"/>
              <w:ind w:right="587"/>
              <w:spacing w:after="0"/>
              <w:rPr>
                <w:sz w:val="20"/>
                <w:szCs w:val="20"/>
                <w:color w:val="auto"/>
              </w:rPr>
            </w:pPr>
            <w:r>
              <w:rPr>
                <w:rFonts w:ascii="Arial" w:cs="Arial" w:eastAsia="Arial" w:hAnsi="Arial"/>
                <w:sz w:val="11"/>
                <w:szCs w:val="11"/>
                <w:color w:val="auto"/>
                <w:w w:val="97"/>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n/a</w:t>
            </w: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27"/>
              <w:spacing w:after="0"/>
              <w:rPr>
                <w:sz w:val="20"/>
                <w:szCs w:val="20"/>
                <w:color w:val="auto"/>
              </w:rPr>
            </w:pPr>
            <w:r>
              <w:rPr>
                <w:rFonts w:ascii="Arial" w:cs="Arial" w:eastAsia="Arial" w:hAnsi="Arial"/>
                <w:sz w:val="11"/>
                <w:szCs w:val="11"/>
                <w:color w:val="auto"/>
              </w:rPr>
              <w:t>3,130,233</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3,198,778</w:t>
            </w:r>
          </w:p>
        </w:tc>
        <w:tc>
          <w:tcPr>
            <w:tcW w:w="820" w:type="dxa"/>
            <w:vAlign w:val="bottom"/>
          </w:tcPr>
          <w:p>
            <w:pPr>
              <w:jc w:val="right"/>
              <w:ind w:right="7"/>
              <w:spacing w:after="0"/>
              <w:rPr>
                <w:sz w:val="20"/>
                <w:szCs w:val="20"/>
                <w:color w:val="auto"/>
              </w:rPr>
            </w:pPr>
            <w:r>
              <w:rPr>
                <w:rFonts w:ascii="Arial" w:cs="Arial" w:eastAsia="Arial" w:hAnsi="Arial"/>
                <w:sz w:val="11"/>
                <w:szCs w:val="11"/>
                <w:color w:val="auto"/>
              </w:rPr>
              <w:t>$   23,714,681</w:t>
            </w:r>
          </w:p>
        </w:tc>
        <w:tc>
          <w:tcPr>
            <w:tcW w:w="24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29,079,175</w:t>
            </w:r>
          </w:p>
        </w:tc>
        <w:tc>
          <w:tcPr>
            <w:tcW w:w="680" w:type="dxa"/>
            <w:vAlign w:val="bottom"/>
          </w:tcPr>
          <w:p>
            <w:pPr>
              <w:jc w:val="center"/>
              <w:spacing w:after="0"/>
              <w:rPr>
                <w:sz w:val="20"/>
                <w:szCs w:val="20"/>
                <w:color w:val="auto"/>
              </w:rPr>
            </w:pPr>
            <w:r>
              <w:rPr>
                <w:rFonts w:ascii="Arial" w:cs="Arial" w:eastAsia="Arial" w:hAnsi="Arial"/>
                <w:sz w:val="11"/>
                <w:szCs w:val="11"/>
                <w:color w:val="auto"/>
                <w:w w:val="92"/>
              </w:rPr>
              <w:t>$ 6,265,507</w:t>
            </w:r>
          </w:p>
        </w:tc>
        <w:tc>
          <w:tcPr>
            <w:tcW w:w="760" w:type="dxa"/>
            <w:vAlign w:val="bottom"/>
          </w:tcPr>
          <w:p>
            <w:pPr>
              <w:jc w:val="center"/>
              <w:ind w:right="7"/>
              <w:spacing w:after="0"/>
              <w:rPr>
                <w:sz w:val="20"/>
                <w:szCs w:val="20"/>
                <w:color w:val="auto"/>
              </w:rPr>
            </w:pPr>
            <w:r>
              <w:rPr>
                <w:rFonts w:ascii="Arial" w:cs="Arial" w:eastAsia="Arial" w:hAnsi="Arial"/>
                <w:sz w:val="11"/>
                <w:szCs w:val="11"/>
                <w:color w:val="auto"/>
                <w:w w:val="92"/>
              </w:rPr>
              <w:t>$ 7,724,029</w:t>
            </w:r>
          </w:p>
        </w:tc>
        <w:tc>
          <w:tcPr>
            <w:tcW w:w="460" w:type="dxa"/>
            <w:vAlign w:val="bottom"/>
            <w:gridSpan w:val="2"/>
          </w:tcPr>
          <w:p>
            <w:pPr>
              <w:jc w:val="right"/>
              <w:ind w:right="7"/>
              <w:spacing w:after="0"/>
              <w:rPr>
                <w:sz w:val="20"/>
                <w:szCs w:val="20"/>
                <w:color w:val="auto"/>
              </w:rPr>
            </w:pPr>
            <w:r>
              <w:rPr>
                <w:rFonts w:ascii="Arial" w:cs="Arial" w:eastAsia="Arial" w:hAnsi="Arial"/>
                <w:sz w:val="11"/>
                <w:szCs w:val="11"/>
                <w:color w:val="auto"/>
                <w:w w:val="88"/>
              </w:rPr>
              <w:t>$ 108.11</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118.79</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7"/>
              <w:spacing w:after="0"/>
              <w:rPr>
                <w:sz w:val="20"/>
                <w:szCs w:val="20"/>
                <w:color w:val="auto"/>
              </w:rPr>
            </w:pPr>
            <w:r>
              <w:rPr>
                <w:rFonts w:ascii="Arial" w:cs="Arial" w:eastAsia="Arial" w:hAnsi="Arial"/>
                <w:sz w:val="11"/>
                <w:szCs w:val="11"/>
                <w:color w:val="auto"/>
              </w:rPr>
              <w:t>428,700,000</w:t>
            </w:r>
          </w:p>
        </w:tc>
        <w:tc>
          <w:tcPr>
            <w:tcW w:w="840" w:type="dxa"/>
            <w:vAlign w:val="bottom"/>
            <w:gridSpan w:val="2"/>
          </w:tcPr>
          <w:p>
            <w:pPr>
              <w:jc w:val="center"/>
              <w:ind w:left="27"/>
              <w:spacing w:after="0"/>
              <w:rPr>
                <w:sz w:val="20"/>
                <w:szCs w:val="20"/>
                <w:color w:val="auto"/>
              </w:rPr>
            </w:pPr>
            <w:r>
              <w:rPr>
                <w:rFonts w:ascii="Arial" w:cs="Arial" w:eastAsia="Arial" w:hAnsi="Arial"/>
                <w:sz w:val="11"/>
                <w:szCs w:val="11"/>
                <w:color w:val="auto"/>
                <w:w w:val="95"/>
              </w:rPr>
              <w:t>$ 6,420,400,000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04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6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4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6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8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40" w:type="dxa"/>
            <w:vAlign w:val="bottom"/>
            <w:tcBorders>
              <w:bottom w:val="single" w:sz="8" w:color="009BDE"/>
            </w:tcBorders>
          </w:tcPr>
          <w:p>
            <w:pPr>
              <w:spacing w:after="0"/>
              <w:rPr>
                <w:sz w:val="8"/>
                <w:szCs w:val="8"/>
                <w:color w:val="auto"/>
              </w:rPr>
            </w:pPr>
          </w:p>
        </w:tc>
        <w:tc>
          <w:tcPr>
            <w:tcW w:w="66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8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4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9060" w:type="dxa"/>
            <w:vAlign w:val="bottom"/>
            <w:tcBorders>
              <w:bottom w:val="single" w:sz="8" w:color="CCEBF8"/>
            </w:tcBorders>
            <w:shd w:val="clear" w:color="auto" w:fill="CCEBF8"/>
          </w:tcPr>
          <w:p>
            <w:pPr>
              <w:spacing w:after="0"/>
              <w:rPr>
                <w:sz w:val="19"/>
                <w:szCs w:val="19"/>
                <w:color w:val="auto"/>
              </w:rPr>
            </w:pPr>
          </w:p>
        </w:tc>
        <w:tc>
          <w:tcPr>
            <w:tcW w:w="100" w:type="dxa"/>
            <w:vAlign w:val="bottom"/>
            <w:tcBorders>
              <w:bottom w:val="single" w:sz="8" w:color="CCEBF8"/>
            </w:tcBorders>
            <w:shd w:val="clear" w:color="auto" w:fill="CCEBF8"/>
          </w:tcPr>
          <w:p>
            <w:pPr>
              <w:spacing w:after="0"/>
              <w:rPr>
                <w:sz w:val="19"/>
                <w:szCs w:val="19"/>
                <w:color w:val="auto"/>
              </w:rPr>
            </w:pPr>
          </w:p>
        </w:tc>
        <w:tc>
          <w:tcPr>
            <w:tcW w:w="120" w:type="dxa"/>
            <w:vAlign w:val="bottom"/>
            <w:tcBorders>
              <w:bottom w:val="single" w:sz="8" w:color="009BDE"/>
            </w:tcBorders>
            <w:shd w:val="clear" w:color="auto" w:fill="CCEBF8"/>
          </w:tcPr>
          <w:p>
            <w:pPr>
              <w:spacing w:after="0"/>
              <w:rPr>
                <w:sz w:val="19"/>
                <w:szCs w:val="19"/>
                <w:color w:val="auto"/>
              </w:rPr>
            </w:pPr>
          </w:p>
        </w:tc>
        <w:tc>
          <w:tcPr>
            <w:tcW w:w="920" w:type="dxa"/>
            <w:vAlign w:val="bottom"/>
            <w:tcBorders>
              <w:bottom w:val="single" w:sz="8" w:color="009BDE"/>
            </w:tcBorders>
            <w:gridSpan w:val="2"/>
            <w:shd w:val="clear" w:color="auto" w:fill="CCEBF8"/>
          </w:tcPr>
          <w:p>
            <w:pPr>
              <w:jc w:val="right"/>
              <w:spacing w:after="0"/>
              <w:rPr>
                <w:sz w:val="20"/>
                <w:szCs w:val="20"/>
                <w:color w:val="auto"/>
              </w:rPr>
            </w:pPr>
            <w:r>
              <w:rPr>
                <w:rFonts w:ascii="Arial" w:cs="Arial" w:eastAsia="Arial" w:hAnsi="Arial"/>
                <w:sz w:val="12"/>
                <w:szCs w:val="12"/>
                <w:b w:val="1"/>
                <w:bCs w:val="1"/>
                <w:color w:val="009BDE"/>
              </w:rPr>
              <w:t>2025</w:t>
            </w:r>
            <w:r>
              <w:rPr>
                <w:rFonts w:ascii="Arial" w:cs="Arial" w:eastAsia="Arial" w:hAnsi="Arial"/>
                <w:sz w:val="15"/>
                <w:szCs w:val="15"/>
                <w:b w:val="1"/>
                <w:bCs w:val="1"/>
                <w:color w:val="009BDE"/>
                <w:vertAlign w:val="superscript"/>
              </w:rPr>
              <w:t>(2)</w:t>
            </w:r>
          </w:p>
        </w:tc>
        <w:tc>
          <w:tcPr>
            <w:tcW w:w="720" w:type="dxa"/>
            <w:vAlign w:val="bottom"/>
            <w:tcBorders>
              <w:bottom w:val="single" w:sz="8" w:color="009BDE"/>
            </w:tcBorders>
            <w:shd w:val="clear" w:color="auto" w:fill="CCEBF8"/>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9060" w:type="dxa"/>
            <w:vAlign w:val="bottom"/>
            <w:vMerge w:val="restart"/>
            <w:shd w:val="clear" w:color="auto" w:fill="CCEBF8"/>
          </w:tcPr>
          <w:p>
            <w:pPr>
              <w:spacing w:after="0"/>
              <w:rPr>
                <w:sz w:val="20"/>
                <w:szCs w:val="20"/>
                <w:color w:val="auto"/>
              </w:rPr>
            </w:pPr>
            <w:r>
              <w:rPr>
                <w:rFonts w:ascii="Arial" w:cs="Arial" w:eastAsia="Arial" w:hAnsi="Arial"/>
                <w:sz w:val="12"/>
                <w:szCs w:val="12"/>
                <w:b w:val="1"/>
                <w:bCs w:val="1"/>
                <w:color w:val="009BDE"/>
              </w:rPr>
              <w:t>  Adjustments</w:t>
            </w:r>
            <w:r>
              <w:rPr>
                <w:rFonts w:ascii="Arial" w:cs="Arial" w:eastAsia="Arial" w:hAnsi="Arial"/>
                <w:sz w:val="15"/>
                <w:szCs w:val="15"/>
                <w:b w:val="1"/>
                <w:bCs w:val="1"/>
                <w:color w:val="009BDE"/>
                <w:vertAlign w:val="superscript"/>
              </w:rPr>
              <w:t>(1)</w:t>
            </w:r>
          </w:p>
        </w:tc>
        <w:tc>
          <w:tcPr>
            <w:tcW w:w="100" w:type="dxa"/>
            <w:vAlign w:val="bottom"/>
            <w:shd w:val="clear" w:color="auto" w:fill="CCEBF8"/>
          </w:tcPr>
          <w:p>
            <w:pPr>
              <w:spacing w:after="0"/>
              <w:rPr>
                <w:sz w:val="14"/>
                <w:szCs w:val="14"/>
                <w:color w:val="auto"/>
              </w:rPr>
            </w:pPr>
          </w:p>
        </w:tc>
        <w:tc>
          <w:tcPr>
            <w:tcW w:w="120" w:type="dxa"/>
            <w:vAlign w:val="bottom"/>
            <w:shd w:val="clear" w:color="auto" w:fill="CCEBF8"/>
          </w:tcPr>
          <w:p>
            <w:pPr>
              <w:spacing w:after="0"/>
              <w:rPr>
                <w:sz w:val="14"/>
                <w:szCs w:val="14"/>
                <w:color w:val="auto"/>
              </w:rPr>
            </w:pPr>
          </w:p>
        </w:tc>
        <w:tc>
          <w:tcPr>
            <w:tcW w:w="740" w:type="dxa"/>
            <w:vAlign w:val="bottom"/>
            <w:shd w:val="clear" w:color="auto" w:fill="CCEBF8"/>
          </w:tcPr>
          <w:p>
            <w:pPr>
              <w:jc w:val="right"/>
              <w:ind w:right="265"/>
              <w:spacing w:after="0"/>
              <w:rPr>
                <w:sz w:val="20"/>
                <w:szCs w:val="20"/>
                <w:color w:val="auto"/>
              </w:rPr>
            </w:pPr>
            <w:r>
              <w:rPr>
                <w:rFonts w:ascii="Arial" w:cs="Arial" w:eastAsia="Arial" w:hAnsi="Arial"/>
                <w:sz w:val="12"/>
                <w:szCs w:val="12"/>
                <w:b w:val="1"/>
                <w:bCs w:val="1"/>
                <w:color w:val="009BDE"/>
              </w:rPr>
              <w:t>CEO</w:t>
            </w:r>
          </w:p>
        </w:tc>
        <w:tc>
          <w:tcPr>
            <w:tcW w:w="180" w:type="dxa"/>
            <w:vAlign w:val="bottom"/>
            <w:shd w:val="clear" w:color="auto" w:fill="CCEBF8"/>
          </w:tcPr>
          <w:p>
            <w:pPr>
              <w:spacing w:after="0"/>
              <w:rPr>
                <w:sz w:val="14"/>
                <w:szCs w:val="14"/>
                <w:color w:val="auto"/>
              </w:rPr>
            </w:pPr>
          </w:p>
        </w:tc>
        <w:tc>
          <w:tcPr>
            <w:tcW w:w="720" w:type="dxa"/>
            <w:vAlign w:val="bottom"/>
            <w:shd w:val="clear" w:color="auto" w:fill="CCEBF8"/>
          </w:tcPr>
          <w:p>
            <w:pPr>
              <w:jc w:val="right"/>
              <w:ind w:right="265"/>
              <w:spacing w:after="0"/>
              <w:rPr>
                <w:sz w:val="20"/>
                <w:szCs w:val="20"/>
                <w:color w:val="auto"/>
              </w:rPr>
            </w:pPr>
            <w:r>
              <w:rPr>
                <w:rFonts w:ascii="Arial" w:cs="Arial" w:eastAsia="Arial" w:hAnsi="Arial"/>
                <w:sz w:val="12"/>
                <w:szCs w:val="12"/>
                <w:b w:val="1"/>
                <w:bCs w:val="1"/>
                <w:color w:val="009BDE"/>
              </w:rPr>
              <w:t>Other</w:t>
            </w:r>
          </w:p>
        </w:tc>
        <w:tc>
          <w:tcPr>
            <w:tcW w:w="0" w:type="dxa"/>
            <w:vAlign w:val="bottom"/>
          </w:tcPr>
          <w:p>
            <w:pPr>
              <w:spacing w:after="0"/>
              <w:rPr>
                <w:sz w:val="1"/>
                <w:szCs w:val="1"/>
                <w:color w:val="auto"/>
              </w:rPr>
            </w:pPr>
          </w:p>
        </w:tc>
      </w:tr>
      <w:tr>
        <w:trPr>
          <w:trHeight w:val="227"/>
        </w:trPr>
        <w:tc>
          <w:tcPr>
            <w:tcW w:w="9060" w:type="dxa"/>
            <w:vAlign w:val="bottom"/>
            <w:vMerge w:val="continue"/>
            <w:shd w:val="clear" w:color="auto" w:fill="CCEBF8"/>
          </w:tcPr>
          <w:p>
            <w:pPr>
              <w:spacing w:after="0"/>
              <w:rPr>
                <w:sz w:val="19"/>
                <w:szCs w:val="19"/>
                <w:color w:val="auto"/>
              </w:rPr>
            </w:pPr>
          </w:p>
        </w:tc>
        <w:tc>
          <w:tcPr>
            <w:tcW w:w="100" w:type="dxa"/>
            <w:vAlign w:val="bottom"/>
            <w:shd w:val="clear" w:color="auto" w:fill="CCEBF8"/>
          </w:tcPr>
          <w:p>
            <w:pPr>
              <w:spacing w:after="0"/>
              <w:rPr>
                <w:sz w:val="19"/>
                <w:szCs w:val="19"/>
                <w:color w:val="auto"/>
              </w:rPr>
            </w:pPr>
          </w:p>
        </w:tc>
        <w:tc>
          <w:tcPr>
            <w:tcW w:w="120" w:type="dxa"/>
            <w:vAlign w:val="bottom"/>
            <w:shd w:val="clear" w:color="auto" w:fill="CCEBF8"/>
          </w:tcPr>
          <w:p>
            <w:pPr>
              <w:spacing w:after="0"/>
              <w:rPr>
                <w:sz w:val="19"/>
                <w:szCs w:val="19"/>
                <w:color w:val="auto"/>
              </w:rPr>
            </w:pPr>
          </w:p>
        </w:tc>
        <w:tc>
          <w:tcPr>
            <w:tcW w:w="740" w:type="dxa"/>
            <w:vAlign w:val="bottom"/>
            <w:shd w:val="clear" w:color="auto" w:fill="CCEBF8"/>
          </w:tcPr>
          <w:p>
            <w:pPr>
              <w:jc w:val="right"/>
              <w:ind w:right="185"/>
              <w:spacing w:after="0"/>
              <w:rPr>
                <w:sz w:val="20"/>
                <w:szCs w:val="20"/>
                <w:color w:val="auto"/>
              </w:rPr>
            </w:pPr>
            <w:r>
              <w:rPr>
                <w:rFonts w:ascii="Arial" w:cs="Arial" w:eastAsia="Arial" w:hAnsi="Arial"/>
                <w:sz w:val="12"/>
                <w:szCs w:val="12"/>
                <w:b w:val="1"/>
                <w:bCs w:val="1"/>
                <w:color w:val="009BDE"/>
              </w:rPr>
              <w:t>(Cocks)</w:t>
            </w:r>
          </w:p>
        </w:tc>
        <w:tc>
          <w:tcPr>
            <w:tcW w:w="180" w:type="dxa"/>
            <w:vAlign w:val="bottom"/>
            <w:shd w:val="clear" w:color="auto" w:fill="CCEBF8"/>
          </w:tcPr>
          <w:p>
            <w:pPr>
              <w:spacing w:after="0"/>
              <w:rPr>
                <w:sz w:val="19"/>
                <w:szCs w:val="19"/>
                <w:color w:val="auto"/>
              </w:rPr>
            </w:pPr>
          </w:p>
        </w:tc>
        <w:tc>
          <w:tcPr>
            <w:tcW w:w="720" w:type="dxa"/>
            <w:vAlign w:val="bottom"/>
            <w:shd w:val="clear" w:color="auto" w:fill="CCEBF8"/>
          </w:tcPr>
          <w:p>
            <w:pPr>
              <w:jc w:val="right"/>
              <w:ind w:right="205"/>
              <w:spacing w:after="0"/>
              <w:rPr>
                <w:sz w:val="20"/>
                <w:szCs w:val="20"/>
                <w:color w:val="auto"/>
              </w:rPr>
            </w:pPr>
            <w:r>
              <w:rPr>
                <w:rFonts w:ascii="Arial" w:cs="Arial" w:eastAsia="Arial" w:hAnsi="Arial"/>
                <w:sz w:val="12"/>
                <w:szCs w:val="12"/>
                <w:b w:val="1"/>
                <w:bCs w:val="1"/>
                <w:color w:val="009BDE"/>
                <w:w w:val="97"/>
              </w:rPr>
              <w:t>NEOs</w:t>
            </w:r>
            <w:r>
              <w:rPr>
                <w:rFonts w:ascii="Arial" w:cs="Arial" w:eastAsia="Arial" w:hAnsi="Arial"/>
                <w:sz w:val="15"/>
                <w:szCs w:val="15"/>
                <w:b w:val="1"/>
                <w:bCs w:val="1"/>
                <w:color w:val="009BDE"/>
                <w:w w:val="97"/>
                <w:vertAlign w:val="superscript"/>
              </w:rPr>
              <w:t>(3)</w:t>
            </w:r>
          </w:p>
        </w:tc>
        <w:tc>
          <w:tcPr>
            <w:tcW w:w="0" w:type="dxa"/>
            <w:vAlign w:val="bottom"/>
          </w:tcPr>
          <w:p>
            <w:pPr>
              <w:spacing w:after="0"/>
              <w:rPr>
                <w:sz w:val="1"/>
                <w:szCs w:val="1"/>
                <w:color w:val="auto"/>
              </w:rPr>
            </w:pPr>
          </w:p>
        </w:tc>
      </w:tr>
      <w:tr>
        <w:trPr>
          <w:trHeight w:val="67"/>
        </w:trPr>
        <w:tc>
          <w:tcPr>
            <w:tcW w:w="9060" w:type="dxa"/>
            <w:vAlign w:val="bottom"/>
            <w:tcBorders>
              <w:bottom w:val="single" w:sz="8" w:color="009BDE"/>
            </w:tcBorders>
            <w:shd w:val="clear" w:color="auto" w:fill="CCEBF8"/>
          </w:tcPr>
          <w:p>
            <w:pPr>
              <w:spacing w:after="0"/>
              <w:rPr>
                <w:sz w:val="5"/>
                <w:szCs w:val="5"/>
                <w:color w:val="auto"/>
              </w:rPr>
            </w:pPr>
          </w:p>
        </w:tc>
        <w:tc>
          <w:tcPr>
            <w:tcW w:w="100" w:type="dxa"/>
            <w:vAlign w:val="bottom"/>
            <w:tcBorders>
              <w:bottom w:val="single" w:sz="8" w:color="009BDE"/>
            </w:tcBorders>
            <w:shd w:val="clear" w:color="auto" w:fill="CCEBF8"/>
          </w:tcPr>
          <w:p>
            <w:pPr>
              <w:spacing w:after="0"/>
              <w:rPr>
                <w:sz w:val="5"/>
                <w:szCs w:val="5"/>
                <w:color w:val="auto"/>
              </w:rPr>
            </w:pPr>
          </w:p>
        </w:tc>
        <w:tc>
          <w:tcPr>
            <w:tcW w:w="120" w:type="dxa"/>
            <w:vAlign w:val="bottom"/>
            <w:tcBorders>
              <w:bottom w:val="single" w:sz="8" w:color="009BDE"/>
            </w:tcBorders>
            <w:shd w:val="clear" w:color="auto" w:fill="CCEBF8"/>
          </w:tcPr>
          <w:p>
            <w:pPr>
              <w:spacing w:after="0"/>
              <w:rPr>
                <w:sz w:val="5"/>
                <w:szCs w:val="5"/>
                <w:color w:val="auto"/>
              </w:rPr>
            </w:pPr>
          </w:p>
        </w:tc>
        <w:tc>
          <w:tcPr>
            <w:tcW w:w="740" w:type="dxa"/>
            <w:vAlign w:val="bottom"/>
            <w:tcBorders>
              <w:bottom w:val="single" w:sz="8" w:color="009BDE"/>
            </w:tcBorders>
            <w:shd w:val="clear" w:color="auto" w:fill="CCEBF8"/>
          </w:tcPr>
          <w:p>
            <w:pPr>
              <w:spacing w:after="0"/>
              <w:rPr>
                <w:sz w:val="5"/>
                <w:szCs w:val="5"/>
                <w:color w:val="auto"/>
              </w:rPr>
            </w:pPr>
          </w:p>
        </w:tc>
        <w:tc>
          <w:tcPr>
            <w:tcW w:w="180" w:type="dxa"/>
            <w:vAlign w:val="bottom"/>
            <w:tcBorders>
              <w:bottom w:val="single" w:sz="8" w:color="009BDE"/>
            </w:tcBorders>
            <w:shd w:val="clear" w:color="auto" w:fill="CCEBF8"/>
          </w:tcPr>
          <w:p>
            <w:pPr>
              <w:spacing w:after="0"/>
              <w:rPr>
                <w:sz w:val="5"/>
                <w:szCs w:val="5"/>
                <w:color w:val="auto"/>
              </w:rPr>
            </w:pPr>
          </w:p>
        </w:tc>
        <w:tc>
          <w:tcPr>
            <w:tcW w:w="720" w:type="dxa"/>
            <w:vAlign w:val="bottom"/>
            <w:tcBorders>
              <w:bottom w:val="single" w:sz="8" w:color="009BDE"/>
            </w:tcBorders>
            <w:shd w:val="clear" w:color="auto" w:fill="CCEBF8"/>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9060" w:type="dxa"/>
            <w:vAlign w:val="bottom"/>
          </w:tcPr>
          <w:p>
            <w:pPr>
              <w:ind w:left="80"/>
              <w:spacing w:after="0"/>
              <w:rPr>
                <w:sz w:val="20"/>
                <w:szCs w:val="20"/>
                <w:color w:val="auto"/>
              </w:rPr>
            </w:pPr>
            <w:r>
              <w:rPr>
                <w:rFonts w:ascii="Arial" w:cs="Arial" w:eastAsia="Arial" w:hAnsi="Arial"/>
                <w:sz w:val="11"/>
                <w:szCs w:val="11"/>
                <w:b w:val="1"/>
                <w:bCs w:val="1"/>
                <w:color w:val="auto"/>
              </w:rPr>
              <w:t>Total from Summary Compensation Table</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18,672,521</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5"/>
              <w:spacing w:after="0"/>
              <w:rPr>
                <w:sz w:val="20"/>
                <w:szCs w:val="20"/>
                <w:color w:val="auto"/>
              </w:rPr>
            </w:pPr>
            <w:r>
              <w:rPr>
                <w:rFonts w:ascii="Arial" w:cs="Arial" w:eastAsia="Arial" w:hAnsi="Arial"/>
                <w:sz w:val="11"/>
                <w:szCs w:val="11"/>
                <w:color w:val="auto"/>
              </w:rPr>
              <w:t>4,409,423</w:t>
            </w:r>
          </w:p>
        </w:tc>
        <w:tc>
          <w:tcPr>
            <w:tcW w:w="0" w:type="dxa"/>
            <w:vAlign w:val="bottom"/>
          </w:tcPr>
          <w:p>
            <w:pPr>
              <w:spacing w:after="0"/>
              <w:rPr>
                <w:sz w:val="1"/>
                <w:szCs w:val="1"/>
                <w:color w:val="auto"/>
              </w:rPr>
            </w:pPr>
          </w:p>
        </w:tc>
      </w:tr>
      <w:tr>
        <w:trPr>
          <w:trHeight w:val="94"/>
        </w:trPr>
        <w:tc>
          <w:tcPr>
            <w:tcW w:w="90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9060" w:type="dxa"/>
            <w:vAlign w:val="bottom"/>
          </w:tcPr>
          <w:p>
            <w:pPr>
              <w:ind w:left="80"/>
              <w:spacing w:after="0"/>
              <w:rPr>
                <w:sz w:val="20"/>
                <w:szCs w:val="20"/>
                <w:color w:val="auto"/>
              </w:rPr>
            </w:pPr>
            <w:r>
              <w:rPr>
                <w:rFonts w:ascii="Arial" w:cs="Arial" w:eastAsia="Arial" w:hAnsi="Arial"/>
                <w:sz w:val="11"/>
                <w:szCs w:val="11"/>
                <w:b w:val="1"/>
                <w:bCs w:val="1"/>
                <w:color w:val="auto"/>
              </w:rPr>
              <w:t>Adjustments for defined benefit and actuarial plans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90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9060" w:type="dxa"/>
            <w:vAlign w:val="bottom"/>
          </w:tcPr>
          <w:p>
            <w:pPr>
              <w:ind w:left="80"/>
              <w:spacing w:after="0"/>
              <w:rPr>
                <w:sz w:val="20"/>
                <w:szCs w:val="20"/>
                <w:color w:val="auto"/>
              </w:rPr>
            </w:pPr>
            <w:r>
              <w:rPr>
                <w:rFonts w:ascii="Arial" w:cs="Arial" w:eastAsia="Arial" w:hAnsi="Arial"/>
                <w:sz w:val="11"/>
                <w:szCs w:val="11"/>
                <w:color w:val="auto"/>
              </w:rPr>
              <w:t>Subtract: Pension Value Reported in SCT</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0"/>
        </w:trPr>
        <w:tc>
          <w:tcPr>
            <w:tcW w:w="90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9060" w:type="dxa"/>
            <w:vAlign w:val="bottom"/>
          </w:tcPr>
          <w:p>
            <w:pPr>
              <w:ind w:left="80"/>
              <w:spacing w:after="0"/>
              <w:rPr>
                <w:sz w:val="20"/>
                <w:szCs w:val="20"/>
                <w:color w:val="auto"/>
              </w:rPr>
            </w:pPr>
            <w:r>
              <w:rPr>
                <w:rFonts w:ascii="Arial" w:cs="Arial" w:eastAsia="Arial" w:hAnsi="Arial"/>
                <w:sz w:val="11"/>
                <w:szCs w:val="11"/>
                <w:color w:val="auto"/>
              </w:rPr>
              <w:t>Add: Pension value attributable to current year’s service and any change in pension value attributable to plan amendments made in the current year</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0"/>
        </w:trPr>
        <w:tc>
          <w:tcPr>
            <w:tcW w:w="90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9060" w:type="dxa"/>
            <w:vAlign w:val="bottom"/>
          </w:tcPr>
          <w:p>
            <w:pPr>
              <w:ind w:left="80"/>
              <w:spacing w:after="0"/>
              <w:rPr>
                <w:sz w:val="20"/>
                <w:szCs w:val="20"/>
                <w:color w:val="auto"/>
              </w:rPr>
            </w:pPr>
            <w:r>
              <w:rPr>
                <w:rFonts w:ascii="Arial" w:cs="Arial" w:eastAsia="Arial" w:hAnsi="Arial"/>
                <w:sz w:val="11"/>
                <w:szCs w:val="11"/>
                <w:b w:val="1"/>
                <w:bCs w:val="1"/>
                <w:color w:val="auto"/>
              </w:rPr>
              <w:t>Total Impact: Adjustments for defined benefit and actuarial plans</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4"/>
        </w:trPr>
        <w:tc>
          <w:tcPr>
            <w:tcW w:w="90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9060" w:type="dxa"/>
            <w:vAlign w:val="bottom"/>
          </w:tcPr>
          <w:p>
            <w:pPr>
              <w:ind w:left="80"/>
              <w:spacing w:after="0"/>
              <w:rPr>
                <w:sz w:val="20"/>
                <w:szCs w:val="20"/>
                <w:color w:val="auto"/>
              </w:rPr>
            </w:pPr>
            <w:r>
              <w:rPr>
                <w:rFonts w:ascii="Arial" w:cs="Arial" w:eastAsia="Arial" w:hAnsi="Arial"/>
                <w:sz w:val="11"/>
                <w:szCs w:val="11"/>
                <w:b w:val="1"/>
                <w:bCs w:val="1"/>
                <w:color w:val="auto"/>
              </w:rPr>
              <w:t>Adjustments for stock and options awards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90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9060" w:type="dxa"/>
            <w:vAlign w:val="bottom"/>
          </w:tcPr>
          <w:p>
            <w:pPr>
              <w:ind w:left="80"/>
              <w:spacing w:after="0"/>
              <w:rPr>
                <w:sz w:val="20"/>
                <w:szCs w:val="20"/>
                <w:color w:val="auto"/>
              </w:rPr>
            </w:pPr>
            <w:r>
              <w:rPr>
                <w:rFonts w:ascii="Arial" w:cs="Arial" w:eastAsia="Arial" w:hAnsi="Arial"/>
                <w:sz w:val="11"/>
                <w:szCs w:val="11"/>
                <w:color w:val="auto"/>
              </w:rPr>
              <w:t>Subtract: SCT Amounts</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(10,500,099)</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25"/>
              <w:spacing w:after="0"/>
              <w:rPr>
                <w:sz w:val="20"/>
                <w:szCs w:val="20"/>
                <w:color w:val="auto"/>
              </w:rPr>
            </w:pPr>
            <w:r>
              <w:rPr>
                <w:rFonts w:ascii="Arial" w:cs="Arial" w:eastAsia="Arial" w:hAnsi="Arial"/>
                <w:sz w:val="11"/>
                <w:szCs w:val="11"/>
                <w:color w:val="auto"/>
              </w:rPr>
              <w:t>(2,128,194)</w:t>
            </w:r>
          </w:p>
        </w:tc>
        <w:tc>
          <w:tcPr>
            <w:tcW w:w="0" w:type="dxa"/>
            <w:vAlign w:val="bottom"/>
          </w:tcPr>
          <w:p>
            <w:pPr>
              <w:spacing w:after="0"/>
              <w:rPr>
                <w:sz w:val="1"/>
                <w:szCs w:val="1"/>
                <w:color w:val="auto"/>
              </w:rPr>
            </w:pPr>
          </w:p>
        </w:tc>
      </w:tr>
      <w:tr>
        <w:trPr>
          <w:trHeight w:val="100"/>
        </w:trPr>
        <w:tc>
          <w:tcPr>
            <w:tcW w:w="90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9060" w:type="dxa"/>
            <w:vAlign w:val="bottom"/>
          </w:tcPr>
          <w:p>
            <w:pPr>
              <w:ind w:left="80"/>
              <w:spacing w:after="0"/>
              <w:rPr>
                <w:sz w:val="20"/>
                <w:szCs w:val="20"/>
                <w:color w:val="auto"/>
              </w:rPr>
            </w:pPr>
            <w:r>
              <w:rPr>
                <w:rFonts w:ascii="Arial" w:cs="Arial" w:eastAsia="Arial" w:hAnsi="Arial"/>
                <w:sz w:val="11"/>
                <w:szCs w:val="11"/>
                <w:color w:val="auto"/>
              </w:rPr>
              <w:t>Add: Fair value at year-end of any equity awards granted in the covered FY that are outstanding and unvested as of the end of the covered FY</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14,945,341</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5"/>
              <w:spacing w:after="0"/>
              <w:rPr>
                <w:sz w:val="20"/>
                <w:szCs w:val="20"/>
                <w:color w:val="auto"/>
              </w:rPr>
            </w:pPr>
            <w:r>
              <w:rPr>
                <w:rFonts w:ascii="Arial" w:cs="Arial" w:eastAsia="Arial" w:hAnsi="Arial"/>
                <w:sz w:val="11"/>
                <w:szCs w:val="11"/>
                <w:color w:val="auto"/>
              </w:rPr>
              <w:t>3,029,085</w:t>
            </w:r>
          </w:p>
        </w:tc>
        <w:tc>
          <w:tcPr>
            <w:tcW w:w="0" w:type="dxa"/>
            <w:vAlign w:val="bottom"/>
          </w:tcPr>
          <w:p>
            <w:pPr>
              <w:spacing w:after="0"/>
              <w:rPr>
                <w:sz w:val="1"/>
                <w:szCs w:val="1"/>
                <w:color w:val="auto"/>
              </w:rPr>
            </w:pPr>
          </w:p>
        </w:tc>
      </w:tr>
      <w:tr>
        <w:trPr>
          <w:trHeight w:val="100"/>
        </w:trPr>
        <w:tc>
          <w:tcPr>
            <w:tcW w:w="90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9060" w:type="dxa"/>
            <w:vAlign w:val="bottom"/>
          </w:tcPr>
          <w:p>
            <w:pPr>
              <w:ind w:left="80"/>
              <w:spacing w:after="0"/>
              <w:rPr>
                <w:sz w:val="20"/>
                <w:szCs w:val="20"/>
                <w:color w:val="auto"/>
              </w:rPr>
            </w:pPr>
            <w:r>
              <w:rPr>
                <w:rFonts w:ascii="Arial" w:cs="Arial" w:eastAsia="Arial" w:hAnsi="Arial"/>
                <w:sz w:val="11"/>
                <w:szCs w:val="11"/>
                <w:color w:val="auto"/>
              </w:rPr>
              <w:t>+/-: Year-over-Year change in fair value of awards granted in any prior fiscal year that are outstanding and unvested at year end</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10,994,607</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5"/>
              <w:spacing w:after="0"/>
              <w:rPr>
                <w:sz w:val="20"/>
                <w:szCs w:val="20"/>
                <w:color w:val="auto"/>
              </w:rPr>
            </w:pPr>
            <w:r>
              <w:rPr>
                <w:rFonts w:ascii="Arial" w:cs="Arial" w:eastAsia="Arial" w:hAnsi="Arial"/>
                <w:sz w:val="11"/>
                <w:szCs w:val="11"/>
                <w:color w:val="auto"/>
              </w:rPr>
              <w:t>2,186,347</w:t>
            </w:r>
          </w:p>
        </w:tc>
        <w:tc>
          <w:tcPr>
            <w:tcW w:w="0" w:type="dxa"/>
            <w:vAlign w:val="bottom"/>
          </w:tcPr>
          <w:p>
            <w:pPr>
              <w:spacing w:after="0"/>
              <w:rPr>
                <w:sz w:val="1"/>
                <w:szCs w:val="1"/>
                <w:color w:val="auto"/>
              </w:rPr>
            </w:pPr>
          </w:p>
        </w:tc>
      </w:tr>
      <w:tr>
        <w:trPr>
          <w:trHeight w:val="100"/>
        </w:trPr>
        <w:tc>
          <w:tcPr>
            <w:tcW w:w="90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9060" w:type="dxa"/>
            <w:vAlign w:val="bottom"/>
          </w:tcPr>
          <w:p>
            <w:pPr>
              <w:ind w:left="80"/>
              <w:spacing w:after="0"/>
              <w:rPr>
                <w:sz w:val="20"/>
                <w:szCs w:val="20"/>
                <w:color w:val="auto"/>
              </w:rPr>
            </w:pPr>
            <w:r>
              <w:rPr>
                <w:rFonts w:ascii="Arial" w:cs="Arial" w:eastAsia="Arial" w:hAnsi="Arial"/>
                <w:sz w:val="11"/>
                <w:szCs w:val="11"/>
                <w:color w:val="auto"/>
              </w:rPr>
              <w:t>Add: Vesting date fair value of awards granted and vesting during such year</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0"/>
        </w:trPr>
        <w:tc>
          <w:tcPr>
            <w:tcW w:w="90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9060" w:type="dxa"/>
            <w:vAlign w:val="bottom"/>
          </w:tcPr>
          <w:p>
            <w:pPr>
              <w:ind w:left="80"/>
              <w:spacing w:after="0"/>
              <w:rPr>
                <w:sz w:val="20"/>
                <w:szCs w:val="20"/>
                <w:color w:val="auto"/>
              </w:rPr>
            </w:pPr>
            <w:r>
              <w:rPr>
                <w:rFonts w:ascii="Arial" w:cs="Arial" w:eastAsia="Arial" w:hAnsi="Arial"/>
                <w:sz w:val="11"/>
                <w:szCs w:val="11"/>
                <w:color w:val="auto"/>
                <w:w w:val="99"/>
              </w:rPr>
              <w:t>+/-: Change as of the vesting date (from the end of the prior fiscal year) in fair value of awards granted in any prior fiscal year for which vesting conditions were satisfied during such year</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1,219,976</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5"/>
              <w:spacing w:after="0"/>
              <w:rPr>
                <w:sz w:val="20"/>
                <w:szCs w:val="20"/>
                <w:color w:val="auto"/>
              </w:rPr>
            </w:pPr>
            <w:r>
              <w:rPr>
                <w:rFonts w:ascii="Arial" w:cs="Arial" w:eastAsia="Arial" w:hAnsi="Arial"/>
                <w:sz w:val="11"/>
                <w:szCs w:val="11"/>
                <w:color w:val="auto"/>
              </w:rPr>
              <w:t>344,644</w:t>
            </w:r>
          </w:p>
        </w:tc>
        <w:tc>
          <w:tcPr>
            <w:tcW w:w="0" w:type="dxa"/>
            <w:vAlign w:val="bottom"/>
          </w:tcPr>
          <w:p>
            <w:pPr>
              <w:spacing w:after="0"/>
              <w:rPr>
                <w:sz w:val="1"/>
                <w:szCs w:val="1"/>
                <w:color w:val="auto"/>
              </w:rPr>
            </w:pPr>
          </w:p>
        </w:tc>
      </w:tr>
      <w:tr>
        <w:trPr>
          <w:trHeight w:val="100"/>
        </w:trPr>
        <w:tc>
          <w:tcPr>
            <w:tcW w:w="90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9060" w:type="dxa"/>
            <w:vAlign w:val="bottom"/>
          </w:tcPr>
          <w:p>
            <w:pPr>
              <w:ind w:left="80"/>
              <w:spacing w:after="0"/>
              <w:rPr>
                <w:sz w:val="20"/>
                <w:szCs w:val="20"/>
                <w:color w:val="auto"/>
              </w:rPr>
            </w:pPr>
            <w:r>
              <w:rPr>
                <w:rFonts w:ascii="Arial" w:cs="Arial" w:eastAsia="Arial" w:hAnsi="Arial"/>
                <w:sz w:val="11"/>
                <w:szCs w:val="11"/>
                <w:color w:val="auto"/>
              </w:rPr>
              <w:t>Subtract: Forfeited Awards</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0"/>
        </w:trPr>
        <w:tc>
          <w:tcPr>
            <w:tcW w:w="90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9060" w:type="dxa"/>
            <w:vAlign w:val="bottom"/>
          </w:tcPr>
          <w:p>
            <w:pPr>
              <w:ind w:left="80"/>
              <w:spacing w:after="0"/>
              <w:rPr>
                <w:sz w:val="20"/>
                <w:szCs w:val="20"/>
                <w:color w:val="auto"/>
              </w:rPr>
            </w:pPr>
            <w:r>
              <w:rPr>
                <w:rFonts w:ascii="Arial" w:cs="Arial" w:eastAsia="Arial" w:hAnsi="Arial"/>
                <w:sz w:val="11"/>
                <w:szCs w:val="11"/>
                <w:b w:val="1"/>
                <w:bCs w:val="1"/>
                <w:color w:val="auto"/>
              </w:rPr>
              <w:t>Total Impact: Adjustments for stock and option awards</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16,659,825</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5"/>
              <w:spacing w:after="0"/>
              <w:rPr>
                <w:sz w:val="20"/>
                <w:szCs w:val="20"/>
                <w:color w:val="auto"/>
              </w:rPr>
            </w:pPr>
            <w:r>
              <w:rPr>
                <w:rFonts w:ascii="Arial" w:cs="Arial" w:eastAsia="Arial" w:hAnsi="Arial"/>
                <w:sz w:val="11"/>
                <w:szCs w:val="11"/>
                <w:color w:val="auto"/>
              </w:rPr>
              <w:t>3,431,882</w:t>
            </w:r>
          </w:p>
        </w:tc>
        <w:tc>
          <w:tcPr>
            <w:tcW w:w="0" w:type="dxa"/>
            <w:vAlign w:val="bottom"/>
          </w:tcPr>
          <w:p>
            <w:pPr>
              <w:spacing w:after="0"/>
              <w:rPr>
                <w:sz w:val="1"/>
                <w:szCs w:val="1"/>
                <w:color w:val="auto"/>
              </w:rPr>
            </w:pPr>
          </w:p>
        </w:tc>
      </w:tr>
      <w:tr>
        <w:trPr>
          <w:trHeight w:val="94"/>
        </w:trPr>
        <w:tc>
          <w:tcPr>
            <w:tcW w:w="90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9060" w:type="dxa"/>
            <w:vAlign w:val="bottom"/>
          </w:tcPr>
          <w:p>
            <w:pPr>
              <w:ind w:left="80"/>
              <w:spacing w:after="0"/>
              <w:rPr>
                <w:sz w:val="20"/>
                <w:szCs w:val="20"/>
                <w:color w:val="auto"/>
              </w:rPr>
            </w:pPr>
            <w:r>
              <w:rPr>
                <w:rFonts w:ascii="Arial" w:cs="Arial" w:eastAsia="Arial" w:hAnsi="Arial"/>
                <w:sz w:val="11"/>
                <w:szCs w:val="11"/>
                <w:b w:val="1"/>
                <w:bCs w:val="1"/>
                <w:color w:val="auto"/>
              </w:rPr>
              <w:t>Compensation Actually Paid (as calculated)</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35,332,347</w:t>
            </w:r>
          </w:p>
        </w:tc>
        <w:tc>
          <w:tcPr>
            <w:tcW w:w="1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5"/>
              <w:spacing w:after="0"/>
              <w:rPr>
                <w:sz w:val="20"/>
                <w:szCs w:val="20"/>
                <w:color w:val="auto"/>
              </w:rPr>
            </w:pPr>
            <w:r>
              <w:rPr>
                <w:rFonts w:ascii="Arial" w:cs="Arial" w:eastAsia="Arial" w:hAnsi="Arial"/>
                <w:sz w:val="11"/>
                <w:szCs w:val="11"/>
                <w:color w:val="auto"/>
              </w:rPr>
              <w:t>7,841,305</w:t>
            </w:r>
          </w:p>
        </w:tc>
        <w:tc>
          <w:tcPr>
            <w:tcW w:w="0" w:type="dxa"/>
            <w:vAlign w:val="bottom"/>
          </w:tcPr>
          <w:p>
            <w:pPr>
              <w:spacing w:after="0"/>
              <w:rPr>
                <w:sz w:val="1"/>
                <w:szCs w:val="1"/>
                <w:color w:val="auto"/>
              </w:rPr>
            </w:pPr>
          </w:p>
        </w:tc>
      </w:tr>
      <w:tr>
        <w:trPr>
          <w:trHeight w:val="94"/>
        </w:trPr>
        <w:tc>
          <w:tcPr>
            <w:tcW w:w="906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80" w:right="160" w:hanging="313"/>
        <w:spacing w:after="0" w:line="255" w:lineRule="auto"/>
        <w:tabs>
          <w:tab w:leader="none" w:pos="480" w:val="left"/>
        </w:tabs>
        <w:numPr>
          <w:ilvl w:val="0"/>
          <w:numId w:val="68"/>
        </w:numPr>
        <w:rPr>
          <w:rFonts w:ascii="Arial" w:cs="Arial" w:eastAsia="Arial" w:hAnsi="Arial"/>
          <w:sz w:val="11"/>
          <w:szCs w:val="11"/>
          <w:color w:val="auto"/>
        </w:rPr>
      </w:pPr>
      <w:r>
        <w:rPr>
          <w:rFonts w:ascii="Arial" w:cs="Arial" w:eastAsia="Arial" w:hAnsi="Arial"/>
          <w:sz w:val="11"/>
          <w:szCs w:val="11"/>
          <w:color w:val="auto"/>
        </w:rPr>
        <w:t>The other NEOs were Mr. Cocks (2021), Ms. Deborah Thomas (2021-2023), Messrs. John Frascotti, Darren Throop &amp; Dolph Johnson (2021), Mr. Throop (2022), Ms. Cynthia Williams and Mr. Eric Nyman (2022 and 2023), Ms. Goetter and Mr. Kilpin (2023, 2024 and 2025), Mr. Sibley (2023 and 2025), Matt Austin (2024) and Mr. Hight (2024 and 2025).</w:t>
      </w:r>
    </w:p>
    <w:p>
      <w:pPr>
        <w:spacing w:after="0" w:line="52" w:lineRule="exact"/>
        <w:rPr>
          <w:rFonts w:ascii="Arial" w:cs="Arial" w:eastAsia="Arial" w:hAnsi="Arial"/>
          <w:sz w:val="11"/>
          <w:szCs w:val="11"/>
          <w:color w:val="auto"/>
        </w:rPr>
      </w:pPr>
    </w:p>
    <w:p>
      <w:pPr>
        <w:ind w:left="480" w:right="140" w:hanging="313"/>
        <w:spacing w:after="0" w:line="255" w:lineRule="auto"/>
        <w:tabs>
          <w:tab w:leader="none" w:pos="480" w:val="left"/>
        </w:tabs>
        <w:numPr>
          <w:ilvl w:val="0"/>
          <w:numId w:val="68"/>
        </w:numPr>
        <w:rPr>
          <w:rFonts w:ascii="Arial" w:cs="Arial" w:eastAsia="Arial" w:hAnsi="Arial"/>
          <w:sz w:val="11"/>
          <w:szCs w:val="11"/>
          <w:color w:val="auto"/>
        </w:rPr>
      </w:pPr>
      <w:r>
        <w:rPr>
          <w:rFonts w:ascii="Arial" w:cs="Arial" w:eastAsia="Arial" w:hAnsi="Arial"/>
          <w:sz w:val="11"/>
          <w:szCs w:val="11"/>
          <w:color w:val="auto"/>
        </w:rPr>
        <w:t>This table describes the adjustments, each of which is prescribed by SEC rule, to calculate the CAP Amount from the SCT Amount. The SCT Amount and the CAP Amount do not reflect the actual amount of compensation earned by or paid during the applicable year, but rather are amounts determined in accordance with SEC rules contained in Item 402 of Regulation S-K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236855</wp:posOffset>
            </wp:positionV>
            <wp:extent cx="6964045" cy="39052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  55</w:t>
      </w:r>
    </w:p>
    <w:p>
      <w:pPr>
        <w:sectPr>
          <w:pgSz w:w="11900" w:h="16838" w:orient="portrait"/>
          <w:cols w:equalWidth="0" w:num="1">
            <w:col w:w="11080"/>
          </w:cols>
          <w:pgMar w:left="320" w:top="478"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480" w:hanging="313"/>
        <w:spacing w:after="0"/>
        <w:tabs>
          <w:tab w:leader="none" w:pos="480" w:val="left"/>
        </w:tabs>
        <w:numPr>
          <w:ilvl w:val="0"/>
          <w:numId w:val="69"/>
        </w:numPr>
        <w:rPr>
          <w:rFonts w:ascii="Arial" w:cs="Arial" w:eastAsia="Arial" w:hAnsi="Arial"/>
          <w:sz w:val="11"/>
          <w:szCs w:val="11"/>
          <w:color w:val="auto"/>
        </w:rPr>
      </w:pPr>
      <w:r>
        <w:rPr>
          <w:rFonts w:ascii="Arial" w:cs="Arial" w:eastAsia="Arial" w:hAnsi="Arial"/>
          <w:sz w:val="11"/>
          <w:szCs w:val="11"/>
          <w:color w:val="auto"/>
        </w:rPr>
        <w:t>Amounts presented are averages for the entire group of other NEOs.</w:t>
      </w:r>
    </w:p>
    <w:p>
      <w:pPr>
        <w:spacing w:after="0" w:line="74" w:lineRule="exact"/>
        <w:rPr>
          <w:rFonts w:ascii="Arial" w:cs="Arial" w:eastAsia="Arial" w:hAnsi="Arial"/>
          <w:sz w:val="11"/>
          <w:szCs w:val="11"/>
          <w:color w:val="auto"/>
        </w:rPr>
      </w:pPr>
    </w:p>
    <w:p>
      <w:pPr>
        <w:ind w:left="480" w:hanging="313"/>
        <w:spacing w:after="0" w:line="305" w:lineRule="auto"/>
        <w:tabs>
          <w:tab w:leader="none" w:pos="480" w:val="left"/>
        </w:tabs>
        <w:numPr>
          <w:ilvl w:val="0"/>
          <w:numId w:val="69"/>
        </w:numPr>
        <w:rPr>
          <w:rFonts w:ascii="Arial" w:cs="Arial" w:eastAsia="Arial" w:hAnsi="Arial"/>
          <w:sz w:val="10"/>
          <w:szCs w:val="10"/>
          <w:color w:val="auto"/>
        </w:rPr>
      </w:pPr>
      <w:r>
        <w:rPr>
          <w:rFonts w:ascii="Arial" w:cs="Arial" w:eastAsia="Arial" w:hAnsi="Arial"/>
          <w:sz w:val="10"/>
          <w:szCs w:val="10"/>
          <w:color w:val="auto"/>
        </w:rPr>
        <w:t>Total Shareholder Return (TSR) data is calculated based on an initial measurement date of December 27, 2020 and reflects: for 2025 - 5 year (December 27, 2020 - December 28, 2025); for 2024 – 4 year (December 27, 2020 – December 29, 2024); 2023 - 3 year (December 27, 2020 - December 31, 2023); 2022 – 2 year (December 27, 2020 – December 25, 2022); and for 2021 – 1 year (December 27, 2020 – December 26, 2021).</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Financial Performance Measures</w:t>
      </w:r>
    </w:p>
    <w:p>
      <w:pPr>
        <w:spacing w:after="0" w:line="127"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color w:val="auto"/>
        </w:rPr>
        <w:t>The following table lists the most important financial performance measures used to link compensation actually paid to our NEOs for 2025 to Company performance.</w:t>
      </w:r>
    </w:p>
    <w:p>
      <w:pPr>
        <w:spacing w:after="0" w:line="202" w:lineRule="exact"/>
        <w:rPr>
          <w:sz w:val="20"/>
          <w:szCs w:val="20"/>
          <w:color w:val="auto"/>
        </w:rPr>
      </w:pPr>
    </w:p>
    <w:tbl>
      <w:tblPr>
        <w:tblLayout w:type="fixed"/>
        <w:tblInd w:w="600" w:type="dxa"/>
        <w:tblCellMar>
          <w:top w:w="0" w:type="dxa"/>
          <w:left w:w="0" w:type="dxa"/>
          <w:bottom w:w="0" w:type="dxa"/>
          <w:right w:w="0" w:type="dxa"/>
        </w:tblCellMar>
      </w:tblPr>
      <w:tr>
        <w:trPr>
          <w:trHeight w:val="240"/>
        </w:trPr>
        <w:tc>
          <w:tcPr>
            <w:tcW w:w="2840" w:type="dxa"/>
            <w:vAlign w:val="bottom"/>
            <w:shd w:val="clear" w:color="auto" w:fill="CCEBF8"/>
          </w:tcPr>
          <w:p>
            <w:pPr>
              <w:spacing w:after="0"/>
              <w:rPr>
                <w:sz w:val="20"/>
                <w:szCs w:val="20"/>
                <w:color w:val="auto"/>
              </w:rPr>
            </w:pPr>
          </w:p>
        </w:tc>
        <w:tc>
          <w:tcPr>
            <w:tcW w:w="2360" w:type="dxa"/>
            <w:vAlign w:val="bottom"/>
            <w:shd w:val="clear" w:color="auto" w:fill="CCEBF8"/>
          </w:tcPr>
          <w:p>
            <w:pPr>
              <w:jc w:val="center"/>
              <w:ind w:left="300"/>
              <w:spacing w:after="0"/>
              <w:rPr>
                <w:sz w:val="20"/>
                <w:szCs w:val="20"/>
                <w:color w:val="auto"/>
              </w:rPr>
            </w:pPr>
            <w:r>
              <w:rPr>
                <w:rFonts w:ascii="Arial" w:cs="Arial" w:eastAsia="Arial" w:hAnsi="Arial"/>
                <w:sz w:val="16"/>
                <w:szCs w:val="16"/>
                <w:b w:val="1"/>
                <w:bCs w:val="1"/>
                <w:color w:val="009BDE"/>
              </w:rPr>
              <w:t>Company</w:t>
            </w:r>
          </w:p>
        </w:tc>
        <w:tc>
          <w:tcPr>
            <w:tcW w:w="2320" w:type="dxa"/>
            <w:vAlign w:val="bottom"/>
            <w:shd w:val="clear" w:color="auto" w:fill="CCEBF8"/>
          </w:tcPr>
          <w:p>
            <w:pPr>
              <w:jc w:val="center"/>
              <w:ind w:right="40"/>
              <w:spacing w:after="0"/>
              <w:rPr>
                <w:sz w:val="20"/>
                <w:szCs w:val="20"/>
                <w:color w:val="auto"/>
              </w:rPr>
            </w:pPr>
            <w:r>
              <w:rPr>
                <w:rFonts w:ascii="Arial" w:cs="Arial" w:eastAsia="Arial" w:hAnsi="Arial"/>
                <w:sz w:val="16"/>
                <w:szCs w:val="16"/>
                <w:b w:val="1"/>
                <w:bCs w:val="1"/>
                <w:color w:val="009BDE"/>
                <w:w w:val="99"/>
              </w:rPr>
              <w:t>Short-Term Incentive</w:t>
            </w:r>
          </w:p>
        </w:tc>
        <w:tc>
          <w:tcPr>
            <w:tcW w:w="2520" w:type="dxa"/>
            <w:vAlign w:val="bottom"/>
            <w:shd w:val="clear" w:color="auto" w:fill="CCEBF8"/>
          </w:tcPr>
          <w:p>
            <w:pPr>
              <w:jc w:val="center"/>
              <w:ind w:left="100"/>
              <w:spacing w:after="0"/>
              <w:rPr>
                <w:sz w:val="20"/>
                <w:szCs w:val="20"/>
                <w:color w:val="auto"/>
              </w:rPr>
            </w:pPr>
            <w:r>
              <w:rPr>
                <w:rFonts w:ascii="Arial" w:cs="Arial" w:eastAsia="Arial" w:hAnsi="Arial"/>
                <w:sz w:val="16"/>
                <w:szCs w:val="16"/>
                <w:b w:val="1"/>
                <w:bCs w:val="1"/>
                <w:color w:val="009BDE"/>
                <w:w w:val="99"/>
              </w:rPr>
              <w:t>Performance Share Unit</w:t>
            </w:r>
          </w:p>
        </w:tc>
      </w:tr>
      <w:tr>
        <w:trPr>
          <w:trHeight w:val="235"/>
        </w:trPr>
        <w:tc>
          <w:tcPr>
            <w:tcW w:w="2840" w:type="dxa"/>
            <w:vAlign w:val="bottom"/>
            <w:shd w:val="clear" w:color="auto" w:fill="CCEBF8"/>
          </w:tcPr>
          <w:p>
            <w:pPr>
              <w:spacing w:after="0"/>
              <w:rPr>
                <w:sz w:val="20"/>
                <w:szCs w:val="20"/>
                <w:color w:val="auto"/>
              </w:rPr>
            </w:pPr>
            <w:r>
              <w:rPr>
                <w:rFonts w:ascii="Arial" w:cs="Arial" w:eastAsia="Arial" w:hAnsi="Arial"/>
                <w:sz w:val="16"/>
                <w:szCs w:val="16"/>
                <w:b w:val="1"/>
                <w:bCs w:val="1"/>
                <w:color w:val="009BDE"/>
              </w:rPr>
              <w:t>  Performance Measure</w:t>
            </w:r>
          </w:p>
        </w:tc>
        <w:tc>
          <w:tcPr>
            <w:tcW w:w="2360" w:type="dxa"/>
            <w:vAlign w:val="bottom"/>
            <w:shd w:val="clear" w:color="auto" w:fill="CCEBF8"/>
          </w:tcPr>
          <w:p>
            <w:pPr>
              <w:jc w:val="center"/>
              <w:ind w:left="300"/>
              <w:spacing w:after="0"/>
              <w:rPr>
                <w:sz w:val="20"/>
                <w:szCs w:val="20"/>
                <w:color w:val="auto"/>
              </w:rPr>
            </w:pPr>
            <w:r>
              <w:rPr>
                <w:rFonts w:ascii="Arial" w:cs="Arial" w:eastAsia="Arial" w:hAnsi="Arial"/>
                <w:sz w:val="16"/>
                <w:szCs w:val="16"/>
                <w:b w:val="1"/>
                <w:bCs w:val="1"/>
                <w:color w:val="009BDE"/>
                <w:w w:val="99"/>
              </w:rPr>
              <w:t>Selected Measure</w:t>
            </w:r>
          </w:p>
        </w:tc>
        <w:tc>
          <w:tcPr>
            <w:tcW w:w="2320" w:type="dxa"/>
            <w:vAlign w:val="bottom"/>
            <w:shd w:val="clear" w:color="auto" w:fill="CCEBF8"/>
          </w:tcPr>
          <w:p>
            <w:pPr>
              <w:jc w:val="center"/>
              <w:ind w:right="60"/>
              <w:spacing w:after="0"/>
              <w:rPr>
                <w:sz w:val="20"/>
                <w:szCs w:val="20"/>
                <w:color w:val="auto"/>
              </w:rPr>
            </w:pPr>
            <w:r>
              <w:rPr>
                <w:rFonts w:ascii="Arial" w:cs="Arial" w:eastAsia="Arial" w:hAnsi="Arial"/>
                <w:sz w:val="16"/>
                <w:szCs w:val="16"/>
                <w:b w:val="1"/>
                <w:bCs w:val="1"/>
                <w:color w:val="009BDE"/>
              </w:rPr>
              <w:t>Measure</w:t>
            </w:r>
          </w:p>
        </w:tc>
        <w:tc>
          <w:tcPr>
            <w:tcW w:w="2520" w:type="dxa"/>
            <w:vAlign w:val="bottom"/>
            <w:shd w:val="clear" w:color="auto" w:fill="CCEBF8"/>
          </w:tcPr>
          <w:p>
            <w:pPr>
              <w:jc w:val="center"/>
              <w:ind w:left="120"/>
              <w:spacing w:after="0"/>
              <w:rPr>
                <w:sz w:val="20"/>
                <w:szCs w:val="20"/>
                <w:color w:val="auto"/>
              </w:rPr>
            </w:pPr>
            <w:r>
              <w:rPr>
                <w:rFonts w:ascii="Arial" w:cs="Arial" w:eastAsia="Arial" w:hAnsi="Arial"/>
                <w:sz w:val="16"/>
                <w:szCs w:val="16"/>
                <w:b w:val="1"/>
                <w:bCs w:val="1"/>
                <w:color w:val="009BDE"/>
              </w:rPr>
              <w:t>Performance Measure</w:t>
            </w:r>
          </w:p>
        </w:tc>
      </w:tr>
      <w:tr>
        <w:trPr>
          <w:trHeight w:val="114"/>
        </w:trPr>
        <w:tc>
          <w:tcPr>
            <w:tcW w:w="2840" w:type="dxa"/>
            <w:vAlign w:val="bottom"/>
            <w:tcBorders>
              <w:bottom w:val="single" w:sz="8" w:color="009BDE"/>
            </w:tcBorders>
            <w:shd w:val="clear" w:color="auto" w:fill="CCEBF8"/>
          </w:tcPr>
          <w:p>
            <w:pPr>
              <w:spacing w:after="0"/>
              <w:rPr>
                <w:sz w:val="9"/>
                <w:szCs w:val="9"/>
                <w:color w:val="auto"/>
              </w:rPr>
            </w:pPr>
          </w:p>
        </w:tc>
        <w:tc>
          <w:tcPr>
            <w:tcW w:w="2360" w:type="dxa"/>
            <w:vAlign w:val="bottom"/>
            <w:tcBorders>
              <w:bottom w:val="single" w:sz="8" w:color="009BDE"/>
            </w:tcBorders>
            <w:shd w:val="clear" w:color="auto" w:fill="CCEBF8"/>
          </w:tcPr>
          <w:p>
            <w:pPr>
              <w:spacing w:after="0"/>
              <w:rPr>
                <w:sz w:val="9"/>
                <w:szCs w:val="9"/>
                <w:color w:val="auto"/>
              </w:rPr>
            </w:pPr>
          </w:p>
        </w:tc>
        <w:tc>
          <w:tcPr>
            <w:tcW w:w="2320" w:type="dxa"/>
            <w:vAlign w:val="bottom"/>
            <w:tcBorders>
              <w:bottom w:val="single" w:sz="8" w:color="009BDE"/>
            </w:tcBorders>
            <w:shd w:val="clear" w:color="auto" w:fill="CCEBF8"/>
          </w:tcPr>
          <w:p>
            <w:pPr>
              <w:spacing w:after="0"/>
              <w:rPr>
                <w:sz w:val="9"/>
                <w:szCs w:val="9"/>
                <w:color w:val="auto"/>
              </w:rPr>
            </w:pPr>
          </w:p>
        </w:tc>
        <w:tc>
          <w:tcPr>
            <w:tcW w:w="2520" w:type="dxa"/>
            <w:vAlign w:val="bottom"/>
            <w:tcBorders>
              <w:bottom w:val="single" w:sz="8" w:color="009BDE"/>
            </w:tcBorders>
            <w:shd w:val="clear" w:color="auto" w:fill="CCEBF8"/>
          </w:tcPr>
          <w:p>
            <w:pPr>
              <w:spacing w:after="0"/>
              <w:rPr>
                <w:sz w:val="9"/>
                <w:szCs w:val="9"/>
                <w:color w:val="auto"/>
              </w:rPr>
            </w:pPr>
          </w:p>
        </w:tc>
      </w:tr>
      <w:tr>
        <w:trPr>
          <w:trHeight w:val="284"/>
        </w:trPr>
        <w:tc>
          <w:tcPr>
            <w:tcW w:w="2840" w:type="dxa"/>
            <w:vAlign w:val="bottom"/>
          </w:tcPr>
          <w:p>
            <w:pPr>
              <w:ind w:left="80"/>
              <w:spacing w:after="0"/>
              <w:rPr>
                <w:sz w:val="20"/>
                <w:szCs w:val="20"/>
                <w:color w:val="auto"/>
              </w:rPr>
            </w:pPr>
            <w:r>
              <w:rPr>
                <w:rFonts w:ascii="Arial" w:cs="Arial" w:eastAsia="Arial" w:hAnsi="Arial"/>
                <w:sz w:val="16"/>
                <w:szCs w:val="16"/>
                <w:color w:val="auto"/>
              </w:rPr>
              <w:t>Net Revenue</w:t>
            </w:r>
          </w:p>
        </w:tc>
        <w:tc>
          <w:tcPr>
            <w:tcW w:w="2360" w:type="dxa"/>
            <w:vAlign w:val="bottom"/>
          </w:tcPr>
          <w:p>
            <w:pPr>
              <w:jc w:val="center"/>
              <w:ind w:left="300"/>
              <w:spacing w:after="0"/>
              <w:rPr>
                <w:sz w:val="20"/>
                <w:szCs w:val="20"/>
                <w:color w:val="auto"/>
              </w:rPr>
            </w:pPr>
            <w:r>
              <w:rPr>
                <w:rFonts w:ascii="Arial" w:cs="Arial" w:eastAsia="Arial" w:hAnsi="Arial"/>
                <w:sz w:val="16"/>
                <w:szCs w:val="16"/>
                <w:color w:val="auto"/>
                <w:w w:val="93"/>
              </w:rPr>
              <w:t>X</w:t>
            </w:r>
          </w:p>
        </w:tc>
        <w:tc>
          <w:tcPr>
            <w:tcW w:w="2320" w:type="dxa"/>
            <w:vAlign w:val="bottom"/>
          </w:tcPr>
          <w:p>
            <w:pPr>
              <w:jc w:val="center"/>
              <w:ind w:right="60"/>
              <w:spacing w:after="0"/>
              <w:rPr>
                <w:sz w:val="20"/>
                <w:szCs w:val="20"/>
                <w:color w:val="auto"/>
              </w:rPr>
            </w:pPr>
            <w:r>
              <w:rPr>
                <w:rFonts w:ascii="Arial" w:cs="Arial" w:eastAsia="Arial" w:hAnsi="Arial"/>
                <w:sz w:val="16"/>
                <w:szCs w:val="16"/>
                <w:color w:val="auto"/>
                <w:w w:val="93"/>
              </w:rPr>
              <w:t>X</w:t>
            </w:r>
          </w:p>
        </w:tc>
        <w:tc>
          <w:tcPr>
            <w:tcW w:w="2520" w:type="dxa"/>
            <w:vAlign w:val="bottom"/>
          </w:tcPr>
          <w:p>
            <w:pPr>
              <w:spacing w:after="0"/>
              <w:rPr>
                <w:sz w:val="24"/>
                <w:szCs w:val="24"/>
                <w:color w:val="auto"/>
              </w:rPr>
            </w:pPr>
          </w:p>
        </w:tc>
      </w:tr>
      <w:tr>
        <w:trPr>
          <w:trHeight w:val="97"/>
        </w:trPr>
        <w:tc>
          <w:tcPr>
            <w:tcW w:w="284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c>
          <w:tcPr>
            <w:tcW w:w="2320" w:type="dxa"/>
            <w:vAlign w:val="bottom"/>
            <w:tcBorders>
              <w:bottom w:val="single" w:sz="8" w:color="009BDE"/>
            </w:tcBorders>
          </w:tcPr>
          <w:p>
            <w:pPr>
              <w:spacing w:after="0"/>
              <w:rPr>
                <w:sz w:val="8"/>
                <w:szCs w:val="8"/>
                <w:color w:val="auto"/>
              </w:rPr>
            </w:pPr>
          </w:p>
        </w:tc>
        <w:tc>
          <w:tcPr>
            <w:tcW w:w="2520" w:type="dxa"/>
            <w:vAlign w:val="bottom"/>
            <w:tcBorders>
              <w:bottom w:val="single" w:sz="8" w:color="009BDE"/>
            </w:tcBorders>
          </w:tcPr>
          <w:p>
            <w:pPr>
              <w:spacing w:after="0"/>
              <w:rPr>
                <w:sz w:val="8"/>
                <w:szCs w:val="8"/>
                <w:color w:val="auto"/>
              </w:rPr>
            </w:pPr>
          </w:p>
        </w:tc>
      </w:tr>
      <w:tr>
        <w:trPr>
          <w:trHeight w:val="284"/>
        </w:trPr>
        <w:tc>
          <w:tcPr>
            <w:tcW w:w="2840" w:type="dxa"/>
            <w:vAlign w:val="bottom"/>
          </w:tcPr>
          <w:p>
            <w:pPr>
              <w:ind w:left="80"/>
              <w:spacing w:after="0"/>
              <w:rPr>
                <w:sz w:val="20"/>
                <w:szCs w:val="20"/>
                <w:color w:val="auto"/>
              </w:rPr>
            </w:pPr>
            <w:r>
              <w:rPr>
                <w:rFonts w:ascii="Arial" w:cs="Arial" w:eastAsia="Arial" w:hAnsi="Arial"/>
                <w:sz w:val="16"/>
                <w:szCs w:val="16"/>
                <w:color w:val="auto"/>
              </w:rPr>
              <w:t>Operating Profit Dollars</w:t>
            </w:r>
          </w:p>
        </w:tc>
        <w:tc>
          <w:tcPr>
            <w:tcW w:w="2360" w:type="dxa"/>
            <w:vAlign w:val="bottom"/>
          </w:tcPr>
          <w:p>
            <w:pPr>
              <w:spacing w:after="0"/>
              <w:rPr>
                <w:sz w:val="24"/>
                <w:szCs w:val="24"/>
                <w:color w:val="auto"/>
              </w:rPr>
            </w:pPr>
          </w:p>
        </w:tc>
        <w:tc>
          <w:tcPr>
            <w:tcW w:w="2320" w:type="dxa"/>
            <w:vAlign w:val="bottom"/>
          </w:tcPr>
          <w:p>
            <w:pPr>
              <w:jc w:val="center"/>
              <w:ind w:right="60"/>
              <w:spacing w:after="0"/>
              <w:rPr>
                <w:sz w:val="20"/>
                <w:szCs w:val="20"/>
                <w:color w:val="auto"/>
              </w:rPr>
            </w:pPr>
            <w:r>
              <w:rPr>
                <w:rFonts w:ascii="Arial" w:cs="Arial" w:eastAsia="Arial" w:hAnsi="Arial"/>
                <w:sz w:val="16"/>
                <w:szCs w:val="16"/>
                <w:color w:val="auto"/>
                <w:w w:val="93"/>
              </w:rPr>
              <w:t>X</w:t>
            </w:r>
          </w:p>
        </w:tc>
        <w:tc>
          <w:tcPr>
            <w:tcW w:w="2520" w:type="dxa"/>
            <w:vAlign w:val="bottom"/>
          </w:tcPr>
          <w:p>
            <w:pPr>
              <w:spacing w:after="0"/>
              <w:rPr>
                <w:sz w:val="24"/>
                <w:szCs w:val="24"/>
                <w:color w:val="auto"/>
              </w:rPr>
            </w:pPr>
          </w:p>
        </w:tc>
      </w:tr>
      <w:tr>
        <w:trPr>
          <w:trHeight w:val="97"/>
        </w:trPr>
        <w:tc>
          <w:tcPr>
            <w:tcW w:w="284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c>
          <w:tcPr>
            <w:tcW w:w="2320" w:type="dxa"/>
            <w:vAlign w:val="bottom"/>
            <w:tcBorders>
              <w:bottom w:val="single" w:sz="8" w:color="009BDE"/>
            </w:tcBorders>
          </w:tcPr>
          <w:p>
            <w:pPr>
              <w:spacing w:after="0"/>
              <w:rPr>
                <w:sz w:val="8"/>
                <w:szCs w:val="8"/>
                <w:color w:val="auto"/>
              </w:rPr>
            </w:pPr>
          </w:p>
        </w:tc>
        <w:tc>
          <w:tcPr>
            <w:tcW w:w="2520" w:type="dxa"/>
            <w:vAlign w:val="bottom"/>
            <w:tcBorders>
              <w:bottom w:val="single" w:sz="8" w:color="009BDE"/>
            </w:tcBorders>
          </w:tcPr>
          <w:p>
            <w:pPr>
              <w:spacing w:after="0"/>
              <w:rPr>
                <w:sz w:val="8"/>
                <w:szCs w:val="8"/>
                <w:color w:val="auto"/>
              </w:rPr>
            </w:pPr>
          </w:p>
        </w:tc>
      </w:tr>
      <w:tr>
        <w:trPr>
          <w:trHeight w:val="284"/>
        </w:trPr>
        <w:tc>
          <w:tcPr>
            <w:tcW w:w="2840" w:type="dxa"/>
            <w:vAlign w:val="bottom"/>
          </w:tcPr>
          <w:p>
            <w:pPr>
              <w:ind w:left="80"/>
              <w:spacing w:after="0"/>
              <w:rPr>
                <w:sz w:val="20"/>
                <w:szCs w:val="20"/>
                <w:color w:val="auto"/>
              </w:rPr>
            </w:pPr>
            <w:r>
              <w:rPr>
                <w:rFonts w:ascii="Arial" w:cs="Arial" w:eastAsia="Arial" w:hAnsi="Arial"/>
                <w:sz w:val="16"/>
                <w:szCs w:val="16"/>
                <w:color w:val="auto"/>
              </w:rPr>
              <w:t>EPS</w:t>
            </w:r>
          </w:p>
        </w:tc>
        <w:tc>
          <w:tcPr>
            <w:tcW w:w="2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520" w:type="dxa"/>
            <w:vAlign w:val="bottom"/>
          </w:tcPr>
          <w:p>
            <w:pPr>
              <w:jc w:val="center"/>
              <w:ind w:left="100"/>
              <w:spacing w:after="0"/>
              <w:rPr>
                <w:sz w:val="20"/>
                <w:szCs w:val="20"/>
                <w:color w:val="auto"/>
              </w:rPr>
            </w:pPr>
            <w:r>
              <w:rPr>
                <w:rFonts w:ascii="Arial" w:cs="Arial" w:eastAsia="Arial" w:hAnsi="Arial"/>
                <w:sz w:val="16"/>
                <w:szCs w:val="16"/>
                <w:color w:val="auto"/>
                <w:w w:val="93"/>
              </w:rPr>
              <w:t>X</w:t>
            </w:r>
          </w:p>
        </w:tc>
      </w:tr>
      <w:tr>
        <w:trPr>
          <w:trHeight w:val="97"/>
        </w:trPr>
        <w:tc>
          <w:tcPr>
            <w:tcW w:w="284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c>
          <w:tcPr>
            <w:tcW w:w="2320" w:type="dxa"/>
            <w:vAlign w:val="bottom"/>
            <w:tcBorders>
              <w:bottom w:val="single" w:sz="8" w:color="009BDE"/>
            </w:tcBorders>
          </w:tcPr>
          <w:p>
            <w:pPr>
              <w:spacing w:after="0"/>
              <w:rPr>
                <w:sz w:val="8"/>
                <w:szCs w:val="8"/>
                <w:color w:val="auto"/>
              </w:rPr>
            </w:pPr>
          </w:p>
        </w:tc>
        <w:tc>
          <w:tcPr>
            <w:tcW w:w="2520" w:type="dxa"/>
            <w:vAlign w:val="bottom"/>
            <w:tcBorders>
              <w:bottom w:val="single" w:sz="8" w:color="009BDE"/>
            </w:tcBorders>
          </w:tcPr>
          <w:p>
            <w:pPr>
              <w:spacing w:after="0"/>
              <w:rPr>
                <w:sz w:val="8"/>
                <w:szCs w:val="8"/>
                <w:color w:val="auto"/>
              </w:rPr>
            </w:pPr>
          </w:p>
        </w:tc>
      </w:tr>
      <w:tr>
        <w:trPr>
          <w:trHeight w:val="284"/>
        </w:trPr>
        <w:tc>
          <w:tcPr>
            <w:tcW w:w="2840" w:type="dxa"/>
            <w:vAlign w:val="bottom"/>
          </w:tcPr>
          <w:p>
            <w:pPr>
              <w:ind w:left="80"/>
              <w:spacing w:after="0"/>
              <w:rPr>
                <w:sz w:val="20"/>
                <w:szCs w:val="20"/>
                <w:color w:val="auto"/>
              </w:rPr>
            </w:pPr>
            <w:r>
              <w:rPr>
                <w:rFonts w:ascii="Arial" w:cs="Arial" w:eastAsia="Arial" w:hAnsi="Arial"/>
                <w:sz w:val="16"/>
                <w:szCs w:val="16"/>
                <w:color w:val="auto"/>
              </w:rPr>
              <w:t>Total Shareholder Return</w:t>
            </w:r>
          </w:p>
        </w:tc>
        <w:tc>
          <w:tcPr>
            <w:tcW w:w="2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520" w:type="dxa"/>
            <w:vAlign w:val="bottom"/>
          </w:tcPr>
          <w:p>
            <w:pPr>
              <w:jc w:val="center"/>
              <w:ind w:left="100"/>
              <w:spacing w:after="0"/>
              <w:rPr>
                <w:sz w:val="20"/>
                <w:szCs w:val="20"/>
                <w:color w:val="auto"/>
              </w:rPr>
            </w:pPr>
            <w:r>
              <w:rPr>
                <w:rFonts w:ascii="Arial" w:cs="Arial" w:eastAsia="Arial" w:hAnsi="Arial"/>
                <w:sz w:val="16"/>
                <w:szCs w:val="16"/>
                <w:color w:val="auto"/>
                <w:w w:val="93"/>
              </w:rPr>
              <w:t>X</w:t>
            </w:r>
          </w:p>
        </w:tc>
      </w:tr>
      <w:tr>
        <w:trPr>
          <w:trHeight w:val="97"/>
        </w:trPr>
        <w:tc>
          <w:tcPr>
            <w:tcW w:w="284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c>
          <w:tcPr>
            <w:tcW w:w="2320" w:type="dxa"/>
            <w:vAlign w:val="bottom"/>
            <w:tcBorders>
              <w:bottom w:val="single" w:sz="8" w:color="009BDE"/>
            </w:tcBorders>
          </w:tcPr>
          <w:p>
            <w:pPr>
              <w:spacing w:after="0"/>
              <w:rPr>
                <w:sz w:val="8"/>
                <w:szCs w:val="8"/>
                <w:color w:val="auto"/>
              </w:rPr>
            </w:pPr>
          </w:p>
        </w:tc>
        <w:tc>
          <w:tcPr>
            <w:tcW w:w="2520" w:type="dxa"/>
            <w:vAlign w:val="bottom"/>
            <w:tcBorders>
              <w:bottom w:val="single" w:sz="8" w:color="009BD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246380</wp:posOffset>
            </wp:positionV>
            <wp:extent cx="6964045" cy="39052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  56</w:t>
      </w:r>
    </w:p>
    <w:p>
      <w:pPr>
        <w:sectPr>
          <w:pgSz w:w="11900" w:h="16838" w:orient="portrait"/>
          <w:cols w:equalWidth="0" w:num="1">
            <w:col w:w="10860"/>
          </w:cols>
          <w:pgMar w:left="320" w:top="478" w:right="7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9BDE"/>
        </w:rPr>
        <w:t>Relationship Between Pay and Financial Performance</w:t>
      </w:r>
    </w:p>
    <w:p>
      <w:pPr>
        <w:spacing w:after="0" w:line="100"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The charts below reflect the relationship between Mr. Cocks, Mr. Richard Stoddart (interim CEO from 2021 to 2022) and Mr. Brian Goldner (former CEO during 2021) and the other NEOs Average CAP compared to Hasbro’s revenue, TSR and net income over the five most recently completed fiscal years in accordance with the methodology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212090</wp:posOffset>
            </wp:positionV>
            <wp:extent cx="6964045" cy="668337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6964045" cy="668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  57</w:t>
      </w:r>
    </w:p>
    <w:p>
      <w:pPr>
        <w:sectPr>
          <w:pgSz w:w="11900" w:h="16838" w:orient="portrait"/>
          <w:cols w:equalWidth="0" w:num="1">
            <w:col w:w="11060"/>
          </w:cols>
          <w:pgMar w:left="320" w:top="478" w:right="5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354139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6929755" cy="354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Compensation Committee Interlocks and Insider Participation</w:t>
      </w:r>
    </w:p>
    <w:p>
      <w:pPr>
        <w:spacing w:after="0" w:line="348"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The members of the Committee as of the 2025 fiscal year end were Darin Harris (Chair), Lisa Gersh and Elizabeth Hamren. None of the members of the Committee during fiscal 2025 had at any time been an officer or employee of the Company or of any of its subsidiaries. No executive officer of the Company served as a member of the Committee or Board of any other entity which had an executive officer serving as a member of the Company’s Board or the Committee during fiscal 2025. There were no transactions in 2025 between the Company and any member of the Committee for any part of 2025 that would require disclosure under Item 404 of Regulation S-K of the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233680</wp:posOffset>
            </wp:positionV>
            <wp:extent cx="6964045" cy="39052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  58</w:t>
      </w:r>
    </w:p>
    <w:p>
      <w:pPr>
        <w:sectPr>
          <w:pgSz w:w="11900" w:h="16838" w:orient="portrait"/>
          <w:cols w:equalWidth="0" w:num="1">
            <w:col w:w="10980"/>
          </w:cols>
          <w:pgMar w:left="320" w:top="478" w:right="5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right="200"/>
        <w:spacing w:after="0" w:line="281" w:lineRule="auto"/>
        <w:rPr>
          <w:sz w:val="20"/>
          <w:szCs w:val="20"/>
          <w:color w:val="auto"/>
        </w:rPr>
      </w:pPr>
      <w:r>
        <w:rPr>
          <w:rFonts w:ascii="Arial" w:cs="Arial" w:eastAsia="Arial" w:hAnsi="Arial"/>
          <w:sz w:val="32"/>
          <w:szCs w:val="32"/>
          <w:color w:val="0060ED"/>
        </w:rPr>
        <w:t>Shareholder Advisory Vote on Compensation for Named Executive Officers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40005</wp:posOffset>
            </wp:positionV>
            <wp:extent cx="6938010" cy="59436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6938010" cy="594360"/>
                    </a:xfrm>
                    <a:prstGeom prst="rect">
                      <a:avLst/>
                    </a:prstGeom>
                    <a:noFill/>
                  </pic:spPr>
                </pic:pic>
              </a:graphicData>
            </a:graphic>
          </wp:anchor>
        </w:drawing>
      </w:r>
    </w:p>
    <w:p>
      <w:pPr>
        <w:spacing w:after="0" w:line="81" w:lineRule="exact"/>
        <w:rPr>
          <w:sz w:val="20"/>
          <w:szCs w:val="20"/>
          <w:color w:val="auto"/>
        </w:rPr>
      </w:pPr>
    </w:p>
    <w:p>
      <w:pPr>
        <w:ind w:left="320" w:right="2660"/>
        <w:spacing w:after="0" w:line="266" w:lineRule="auto"/>
        <w:rPr>
          <w:sz w:val="20"/>
          <w:szCs w:val="20"/>
          <w:color w:val="auto"/>
        </w:rPr>
      </w:pPr>
      <w:r>
        <w:rPr>
          <w:rFonts w:ascii="Arial" w:cs="Arial" w:eastAsia="Arial" w:hAnsi="Arial"/>
          <w:sz w:val="21"/>
          <w:szCs w:val="21"/>
          <w:b w:val="1"/>
          <w:bCs w:val="1"/>
          <w:color w:val="009BDE"/>
        </w:rPr>
        <w:t>THE BOARD OF DIRECTORS UNANIMOUSLY RECOMMENDS A VOTE “</w:t>
      </w:r>
      <w:r>
        <w:rPr>
          <w:rFonts w:ascii="Arial" w:cs="Arial" w:eastAsia="Arial" w:hAnsi="Arial"/>
          <w:sz w:val="21"/>
          <w:szCs w:val="21"/>
          <w:b w:val="1"/>
          <w:bCs w:val="1"/>
          <w:u w:val="single" w:color="auto"/>
          <w:color w:val="009BDE"/>
        </w:rPr>
        <w:t>FOR</w:t>
      </w:r>
      <w:r>
        <w:rPr>
          <w:rFonts w:ascii="Arial" w:cs="Arial" w:eastAsia="Arial" w:hAnsi="Arial"/>
          <w:sz w:val="21"/>
          <w:szCs w:val="21"/>
          <w:b w:val="1"/>
          <w:bCs w:val="1"/>
          <w:color w:val="009BDE"/>
        </w:rPr>
        <w:t>” ADVISORY APPROVAL OF THE COMPANY’S COMPENSATION FOR ITS NAMED EXECUTIVE OFFICERS.</w:t>
      </w:r>
    </w:p>
    <w:p>
      <w:pPr>
        <w:spacing w:after="0" w:line="214"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Pursuant to Section 14A of the Securities Exchange Act of 1934, as amended (the “Exchange Act”), we are seeking shareholder approval for the compensation of our Named Executive Officers, as such compensation is described in this Proxy Statement under the headings “Compensation Discussion and Analysis” and “Executive Compensation”. Shareholders are urged to carefully review the “Compensation Discussion and Analysis” and “Executive Compensation” sections of this Proxy Statement.</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Shareholders are being asked to vote on the following advisory resolution:</w:t>
      </w:r>
    </w:p>
    <w:p>
      <w:pPr>
        <w:spacing w:after="0" w:line="150" w:lineRule="exact"/>
        <w:rPr>
          <w:sz w:val="20"/>
          <w:szCs w:val="20"/>
          <w:color w:val="auto"/>
        </w:rPr>
      </w:pPr>
    </w:p>
    <w:p>
      <w:pPr>
        <w:jc w:val="both"/>
        <w:ind w:left="600" w:right="120"/>
        <w:spacing w:after="0" w:line="262"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shareholders of Hasbro, Inc. approve, on an advisory basis, the compensation of the Company’s Named Executive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as such compensation is disclosed pursuant to the rules of the Securities and Exchange Commission in this Proxy Statement under the headings “Compensation Discussion and Analysis” and “Executive Compensation.”</w:t>
      </w:r>
    </w:p>
    <w:p>
      <w:pPr>
        <w:spacing w:after="0" w:line="93"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At our 2023 Annual Meeting we recommended to our shareholders that we have an annual advisory vote on the compensation of our Named Executive Officers. The recommendation of having this vote annually was overwhelmingly supported by our shareholders, with 91.0% of the shares voting on that proposal indicating they supported an annual vote. In keeping with the expressed interests of our shareholders, we will continue to have annual advisory votes on the compensation of our Named Executive Officers.</w:t>
      </w:r>
    </w:p>
    <w:p>
      <w:pPr>
        <w:spacing w:after="0" w:line="111"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auto"/>
        </w:rPr>
        <w:t>Hasbro has engaged regularly with our shareholders on financial, compensation and ESG matters for years. We do this as part of our commitment to be responsive to shareholders and to ensure that our actions are informed by the viewpoints of you, our investors. The views expressed by our shareholders on our executive compensation programs are carefully considered by the Compensation and Talent Committee and the full Board of Directors as they design our compensation programs. Feedback from our investors is taken into account by the Compensation and Talent Committee in structuring our executive compensation program. At our 2025, 2024 and 2023 Annual Meetings approximately 96.7%, 87.6% and 91.4%, respectively, of the shares voting approved the compensation of our Named Executive Officers.</w:t>
      </w:r>
    </w:p>
    <w:p>
      <w:pPr>
        <w:spacing w:after="0" w:line="103" w:lineRule="exact"/>
        <w:rPr>
          <w:sz w:val="20"/>
          <w:szCs w:val="20"/>
          <w:color w:val="auto"/>
        </w:rPr>
      </w:pPr>
    </w:p>
    <w:p>
      <w:pPr>
        <w:ind w:left="160" w:right="160"/>
        <w:spacing w:after="0" w:line="248" w:lineRule="auto"/>
        <w:rPr>
          <w:sz w:val="20"/>
          <w:szCs w:val="20"/>
          <w:color w:val="auto"/>
        </w:rPr>
      </w:pPr>
      <w:r>
        <w:rPr>
          <w:rFonts w:ascii="Arial" w:cs="Arial" w:eastAsia="Arial" w:hAnsi="Arial"/>
          <w:sz w:val="16"/>
          <w:szCs w:val="16"/>
          <w:color w:val="auto"/>
        </w:rPr>
        <w:t>We have designed our compensation programs for our Named Executive Officers in the way we believe enables the Company to attract, retain and motivate top executive talent, maximizes the performance of those executives in furthering the objectives of the Company, aligns our realized executive compensation with the Company’s performance in meeting its financial and strategic objectives and with the delivery of total shareholder return, and promotes the creation of long-term shareholder value, all while containing the cost of the executive compensation program to a level the Compensation and Talent Committee believes is reasonable and appropriate. To further these objectives, the vast majority of the compensation opportunity for our Named Executive Officers is tied to achievement of Company and/or business unit performance targets which are based upon the Board-approved operating and strategic plans and/or to increases in the value of our stock. We design our executive compensation program in the way we believe best promotes the interests of you, our shareholders, and we are committed to being responsive to the views of our shareholders on our compensation programs and governance practices.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Approval</w:t>
      </w:r>
    </w:p>
    <w:p>
      <w:pPr>
        <w:spacing w:after="0" w:line="148"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auto"/>
        </w:rPr>
        <w:t>Although the vote is non-binding, the Board of Directors and Compensation and Talent Committee of the Company will carefully consider the results of this vote in connection with their ongoing evaluation, and establishment, of the Company’s compensation arrangements and programs for the Company’s Named Executive Officers.</w:t>
      </w:r>
    </w:p>
    <w:p>
      <w:pPr>
        <w:spacing w:after="0" w:line="106" w:lineRule="exact"/>
        <w:rPr>
          <w:sz w:val="20"/>
          <w:szCs w:val="20"/>
          <w:color w:val="auto"/>
        </w:rPr>
      </w:pPr>
    </w:p>
    <w:p>
      <w:pPr>
        <w:ind w:left="160" w:right="360"/>
        <w:spacing w:after="0" w:line="256" w:lineRule="auto"/>
        <w:rPr>
          <w:sz w:val="20"/>
          <w:szCs w:val="20"/>
          <w:color w:val="auto"/>
        </w:rPr>
      </w:pPr>
      <w:r>
        <w:rPr>
          <w:rFonts w:ascii="Arial" w:cs="Arial" w:eastAsia="Arial" w:hAnsi="Arial"/>
          <w:sz w:val="16"/>
          <w:szCs w:val="16"/>
          <w:color w:val="auto"/>
        </w:rPr>
        <w:t>The affirmative vote of a majority of the shares of Common Stock present (in person or by proxy) and entitled to vote at the Annual Meeting on this shareholder advisory vote is required for approval of the resolution. Abstentions are considered shares entitled to vote on the proposal, and as such, abstentions are the equivalent of a vote against the proposal. In contrast, broker non-votes are not counted as present and entitled to vote on the proposal for purposes of determining if the proposal receives an affirmative vote of a majority of the shares present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6964045" cy="39052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  59</w:t>
      </w:r>
    </w:p>
    <w:p>
      <w:pPr>
        <w:sectPr>
          <w:pgSz w:w="11900" w:h="16838" w:orient="portrait"/>
          <w:cols w:equalWidth="0" w:num="1">
            <w:col w:w="11040"/>
          </w:cols>
          <w:pgMar w:left="320" w:top="478" w:right="5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right="620"/>
        <w:spacing w:after="0" w:line="262" w:lineRule="auto"/>
        <w:rPr>
          <w:sz w:val="20"/>
          <w:szCs w:val="20"/>
          <w:color w:val="auto"/>
        </w:rPr>
      </w:pPr>
      <w:r>
        <w:rPr>
          <w:rFonts w:ascii="Arial" w:cs="Arial" w:eastAsia="Arial" w:hAnsi="Arial"/>
          <w:sz w:val="32"/>
          <w:szCs w:val="32"/>
          <w:color w:val="0060ED"/>
        </w:rPr>
        <w:t>Proposal to Ratify the Selection of KPMG LLP as the Company’s Independent Registered Public Accounting Firm for the 2026 Fiscal Year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59690</wp:posOffset>
            </wp:positionV>
            <wp:extent cx="6725920" cy="59436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6725920" cy="594360"/>
                    </a:xfrm>
                    <a:prstGeom prst="rect">
                      <a:avLst/>
                    </a:prstGeom>
                    <a:noFill/>
                  </pic:spPr>
                </pic:pic>
              </a:graphicData>
            </a:graphic>
          </wp:anchor>
        </w:drawing>
      </w:r>
    </w:p>
    <w:p>
      <w:pPr>
        <w:spacing w:after="0" w:line="112" w:lineRule="exact"/>
        <w:rPr>
          <w:sz w:val="20"/>
          <w:szCs w:val="20"/>
          <w:color w:val="auto"/>
        </w:rPr>
      </w:pPr>
    </w:p>
    <w:p>
      <w:pPr>
        <w:ind w:left="320" w:right="2860"/>
        <w:spacing w:after="0" w:line="266" w:lineRule="auto"/>
        <w:rPr>
          <w:sz w:val="20"/>
          <w:szCs w:val="20"/>
          <w:color w:val="auto"/>
        </w:rPr>
      </w:pPr>
      <w:r>
        <w:rPr>
          <w:rFonts w:ascii="Arial" w:cs="Arial" w:eastAsia="Arial" w:hAnsi="Arial"/>
          <w:sz w:val="21"/>
          <w:szCs w:val="21"/>
          <w:b w:val="1"/>
          <w:bCs w:val="1"/>
          <w:color w:val="009BDE"/>
        </w:rPr>
        <w:t>THE BOARD OF DIRECTORS UNANIMOUSLY RECOMMENDS A VOTE “</w:t>
      </w:r>
      <w:r>
        <w:rPr>
          <w:rFonts w:ascii="Arial" w:cs="Arial" w:eastAsia="Arial" w:hAnsi="Arial"/>
          <w:sz w:val="21"/>
          <w:szCs w:val="21"/>
          <w:b w:val="1"/>
          <w:bCs w:val="1"/>
          <w:u w:val="single" w:color="auto"/>
          <w:color w:val="009BDE"/>
        </w:rPr>
        <w:t>FOR</w:t>
      </w:r>
      <w:r>
        <w:rPr>
          <w:rFonts w:ascii="Arial" w:cs="Arial" w:eastAsia="Arial" w:hAnsi="Arial"/>
          <w:sz w:val="21"/>
          <w:szCs w:val="21"/>
          <w:b w:val="1"/>
          <w:bCs w:val="1"/>
          <w:color w:val="009BDE"/>
        </w:rPr>
        <w:t>” RATIFICATION OF THE SELECTION OF KPMG AS THE COMPANY’S INDEPENDENT REGISTERED PUBLIC ACCOUNTING FIRM FOR FISCAL 2026.</w:t>
      </w:r>
    </w:p>
    <w:p>
      <w:pPr>
        <w:spacing w:after="0" w:line="214"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The Audit Committee has selected KPMG LLP (“KPMG”), independent registered public accounting firm, to perform the integrated audit of the consolidated financial statements and effectiveness of internal control over financial reporting of the Company for the fiscal year ending December 27, 2026 (“Fiscal 2026”), and the Company’s Board has ratified this selection. A representative of KPMG is expected to be present at the Annual Meeting, will have the opportunity to make a statement if so desired, and will be available to respond to appropriate questions.</w:t>
      </w:r>
    </w:p>
    <w:p>
      <w:pPr>
        <w:spacing w:after="0" w:line="111"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The Board is submitting the selection of KPMG as the Company’s independent registered public accounting firm for Fiscal 2026 to the shareholders for their ratification. The Audit Committee of the Board bears the ultimate responsibility for selecting the Company’s independent registered public accounting firm and makes the selection it deems best for the Company and the Company’s shareholders. As such, the failure by the shareholders to ratify the selection of the independent registered public accounting firm made by the Audit Committee will not require the Audit Committee to alter its decision. Similarly, ratification of the selection of KPMG as the independent registered public accounting firm does not limit the Committee’s ability to change this selection in the future if it deems appropriate. The Report of the Audit Committee following this proposal contains a discussion of the factors considered by the Audit Committee in selecting the independent registered public accounting firm.</w:t>
      </w:r>
    </w:p>
    <w:p>
      <w:pPr>
        <w:spacing w:after="0" w:line="116" w:lineRule="exact"/>
        <w:rPr>
          <w:sz w:val="20"/>
          <w:szCs w:val="20"/>
          <w:color w:val="auto"/>
        </w:rPr>
      </w:pPr>
    </w:p>
    <w:p>
      <w:pPr>
        <w:ind w:left="160" w:right="60"/>
        <w:spacing w:after="0" w:line="279" w:lineRule="auto"/>
        <w:rPr>
          <w:sz w:val="20"/>
          <w:szCs w:val="20"/>
          <w:color w:val="auto"/>
        </w:rPr>
      </w:pPr>
      <w:r>
        <w:rPr>
          <w:rFonts w:ascii="Arial" w:cs="Arial" w:eastAsia="Arial" w:hAnsi="Arial"/>
          <w:sz w:val="16"/>
          <w:szCs w:val="16"/>
          <w:color w:val="auto"/>
        </w:rPr>
        <w:t>In connection with submitting the selection of KPMG as the Company’s independent registered public accounting firm for Fiscal 2026 to the shareholders for their ratification the Audit Committee notes:</w:t>
      </w:r>
    </w:p>
    <w:p>
      <w:pPr>
        <w:spacing w:after="0" w:line="67" w:lineRule="exact"/>
        <w:rPr>
          <w:sz w:val="20"/>
          <w:szCs w:val="20"/>
          <w:color w:val="auto"/>
        </w:rPr>
      </w:pPr>
    </w:p>
    <w:p>
      <w:pPr>
        <w:ind w:left="380" w:right="60" w:hanging="213"/>
        <w:spacing w:after="0" w:line="262" w:lineRule="auto"/>
        <w:tabs>
          <w:tab w:leader="none" w:pos="3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Audit Committee is directly responsible for the appointment, compensation, retention and oversight of the independent registered public accounting firm retained to audit the Company’s financial statements. The Audit Committee has appointed KPMG LLP as the Company’s independent external auditor for Fiscal 2026.</w:t>
      </w:r>
    </w:p>
    <w:p>
      <w:pPr>
        <w:spacing w:after="0" w:line="79" w:lineRule="exact"/>
        <w:rPr>
          <w:rFonts w:ascii="Arial" w:cs="Arial" w:eastAsia="Arial" w:hAnsi="Arial"/>
          <w:sz w:val="16"/>
          <w:szCs w:val="16"/>
          <w:color w:val="auto"/>
        </w:rPr>
      </w:pPr>
    </w:p>
    <w:p>
      <w:pPr>
        <w:jc w:val="both"/>
        <w:ind w:left="380" w:right="200" w:hanging="213"/>
        <w:spacing w:after="0" w:line="256" w:lineRule="auto"/>
        <w:tabs>
          <w:tab w:leader="none" w:pos="3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Peat, Marwick, Mitchell &amp; Co. was retained by the Company as its external auditor and issued an auditors’ report in connection with the Company’s initial public offering of stock in 1968. KPMG was formed in 1987 when Peat Marwick International and Klynveld Main Goerdeler merged along with their respective member firms. As such, KPMG, or a predecessor firm of KPMG, has been retained as the Company’s external auditor since at least 1968.</w:t>
      </w:r>
    </w:p>
    <w:p>
      <w:pPr>
        <w:spacing w:after="0" w:line="84" w:lineRule="exact"/>
        <w:rPr>
          <w:rFonts w:ascii="Arial" w:cs="Arial" w:eastAsia="Arial" w:hAnsi="Arial"/>
          <w:sz w:val="16"/>
          <w:szCs w:val="16"/>
          <w:color w:val="auto"/>
        </w:rPr>
      </w:pPr>
    </w:p>
    <w:p>
      <w:pPr>
        <w:ind w:left="380" w:right="400" w:hanging="213"/>
        <w:spacing w:after="0" w:line="256" w:lineRule="auto"/>
        <w:tabs>
          <w:tab w:leader="none" w:pos="3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order to assure continuing auditor independence, the Audit Committee periodically considers whether there should be a regular rotation of the independent external audit firm. Among other things, the Audit Committee considers the importance of the external audit firm’s understanding our business, the firm’s expertise and qualifications, external audit firms we retain for other company purposes, such as M&amp;A, tax and other advisory services, and firms retained by our competitors.</w:t>
      </w:r>
    </w:p>
    <w:p>
      <w:pPr>
        <w:spacing w:after="0" w:line="84" w:lineRule="exact"/>
        <w:rPr>
          <w:rFonts w:ascii="Arial" w:cs="Arial" w:eastAsia="Arial" w:hAnsi="Arial"/>
          <w:sz w:val="16"/>
          <w:szCs w:val="16"/>
          <w:color w:val="auto"/>
        </w:rPr>
      </w:pPr>
    </w:p>
    <w:p>
      <w:pPr>
        <w:ind w:left="380" w:right="320" w:hanging="213"/>
        <w:spacing w:after="0" w:line="279" w:lineRule="auto"/>
        <w:tabs>
          <w:tab w:leader="none" w:pos="3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conjunction with the mandated rotation of KPMG’s lead engagement partner for the Company, the Audit Committee and its Chair are involved in reviewing and considering the selection of the replacement lead engagement partner.</w:t>
      </w:r>
    </w:p>
    <w:p>
      <w:pPr>
        <w:spacing w:after="0" w:line="67" w:lineRule="exact"/>
        <w:rPr>
          <w:rFonts w:ascii="Arial" w:cs="Arial" w:eastAsia="Arial" w:hAnsi="Arial"/>
          <w:sz w:val="16"/>
          <w:szCs w:val="16"/>
          <w:color w:val="auto"/>
        </w:rPr>
      </w:pPr>
    </w:p>
    <w:p>
      <w:pPr>
        <w:ind w:left="380" w:right="140" w:hanging="213"/>
        <w:spacing w:after="0" w:line="279" w:lineRule="auto"/>
        <w:tabs>
          <w:tab w:leader="none" w:pos="3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members of the Audit Committee and the Board believe that the continued retention of KPMG LLP to serve as the Company’s external auditor is in the best interests of the Company and its investors.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Approval</w:t>
      </w:r>
    </w:p>
    <w:p>
      <w:pPr>
        <w:spacing w:after="0" w:line="108"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auto"/>
        </w:rPr>
        <w:t>The affirmative vote of a majority of the shares of Common Stock present (in person or by proxy) and entitled to vote at the Annual Meeting on the ratification of the selection of KPMG is required for approval. Abstentions are considered shares entitled to vote on the proposal and as such abstentions are the equivalent of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6964045" cy="39052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  60</w:t>
      </w:r>
    </w:p>
    <w:p>
      <w:pPr>
        <w:sectPr>
          <w:pgSz w:w="11900" w:h="16838" w:orient="portrait"/>
          <w:cols w:equalWidth="0" w:num="1">
            <w:col w:w="11060"/>
          </w:cols>
          <w:pgMar w:left="320" w:top="478" w:right="5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Report of the Audit Committee of the Board of Directors</w:t>
      </w:r>
    </w:p>
    <w:p>
      <w:pPr>
        <w:spacing w:after="0" w:line="154" w:lineRule="exact"/>
        <w:rPr>
          <w:sz w:val="20"/>
          <w:szCs w:val="20"/>
          <w:color w:val="auto"/>
        </w:rPr>
      </w:pPr>
    </w:p>
    <w:p>
      <w:pPr>
        <w:ind w:left="160" w:right="440"/>
        <w:spacing w:after="0" w:line="279" w:lineRule="auto"/>
        <w:rPr>
          <w:sz w:val="20"/>
          <w:szCs w:val="20"/>
          <w:color w:val="auto"/>
        </w:rPr>
      </w:pPr>
      <w:r>
        <w:rPr>
          <w:rFonts w:ascii="Arial" w:cs="Arial" w:eastAsia="Arial" w:hAnsi="Arial"/>
          <w:sz w:val="16"/>
          <w:szCs w:val="16"/>
          <w:color w:val="auto"/>
        </w:rPr>
        <w:t>The Audit Committee is comprised solely of non-employee directors, each of whom has been determined by the Board to be independent under the Company’s Standards for Director Independence and the requirements of The NASDAQ Stock Market’s corporate governance listing standards.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All members of our Audit Committee possess significant financial, business and accounting expertise.</w:t>
      </w:r>
    </w:p>
    <w:p>
      <w:pPr>
        <w:spacing w:after="0" w:line="150" w:lineRule="exact"/>
        <w:rPr>
          <w:sz w:val="20"/>
          <w:szCs w:val="20"/>
          <w:color w:val="auto"/>
        </w:rPr>
      </w:pPr>
    </w:p>
    <w:p>
      <w:pPr>
        <w:ind w:left="380" w:right="20" w:hanging="213"/>
        <w:spacing w:after="0" w:line="262" w:lineRule="auto"/>
        <w:tabs>
          <w:tab w:leader="none" w:pos="3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Ms. Cochran, Chair of the Committee, joined the Madrona Venture Group as a partner in 2017, served as Managing Director from 2018 to 2025, and became Venture Partner effective in January 2026. Prior to that, Ms. Cochran served in senior finance positions with several companies, most recently as Chief Financial Officer of King Digital Entertainment plc from 2013 to 2016, and as Chief Financial Officer of Clearwire, Inc. prior to that.</w:t>
      </w:r>
    </w:p>
    <w:p>
      <w:pPr>
        <w:spacing w:after="0" w:line="79" w:lineRule="exact"/>
        <w:rPr>
          <w:rFonts w:ascii="Arial" w:cs="Arial" w:eastAsia="Arial" w:hAnsi="Arial"/>
          <w:sz w:val="16"/>
          <w:szCs w:val="16"/>
          <w:color w:val="auto"/>
        </w:rPr>
      </w:pPr>
    </w:p>
    <w:p>
      <w:pPr>
        <w:jc w:val="both"/>
        <w:ind w:left="380" w:hanging="213"/>
        <w:spacing w:after="0" w:line="262" w:lineRule="auto"/>
        <w:tabs>
          <w:tab w:leader="none" w:pos="3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Mr. Bowser served in various senior executive leadership roles for Nintendo of America Inc., including President and Chief Operating Officer from 2019 until his retirement in 2025. Prior to that, Mr. Bowser spent eight years at Electronic Arts, most recently as Vice President of Global Business Planning, and 23 years for Proctor &amp; Gamble in various sales leadership roles.</w:t>
      </w:r>
    </w:p>
    <w:p>
      <w:pPr>
        <w:spacing w:after="0" w:line="79" w:lineRule="exact"/>
        <w:rPr>
          <w:rFonts w:ascii="Arial" w:cs="Arial" w:eastAsia="Arial" w:hAnsi="Arial"/>
          <w:sz w:val="16"/>
          <w:szCs w:val="16"/>
          <w:color w:val="auto"/>
        </w:rPr>
      </w:pPr>
    </w:p>
    <w:p>
      <w:pPr>
        <w:jc w:val="both"/>
        <w:ind w:left="380" w:right="160" w:hanging="213"/>
        <w:spacing w:after="0" w:line="262" w:lineRule="auto"/>
        <w:tabs>
          <w:tab w:leader="none" w:pos="3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Mr. Mahoney served as Chief Executive Officer of Nexon Co. Ltd., a global digital gaming company, from 2014 until 2024, and prior to that was Chief Financial Officer of Nexon between 2010 and 2014 where he was responsible for managing the Company’s finances, global operations, investments and strategic alliances.</w:t>
      </w:r>
    </w:p>
    <w:p>
      <w:pPr>
        <w:spacing w:after="0" w:line="106" w:lineRule="exact"/>
        <w:rPr>
          <w:sz w:val="20"/>
          <w:szCs w:val="20"/>
          <w:color w:val="auto"/>
        </w:rPr>
      </w:pPr>
    </w:p>
    <w:p>
      <w:pPr>
        <w:ind w:left="160" w:right="860"/>
        <w:spacing w:after="0" w:line="279" w:lineRule="auto"/>
        <w:rPr>
          <w:sz w:val="20"/>
          <w:szCs w:val="20"/>
          <w:color w:val="auto"/>
        </w:rPr>
      </w:pPr>
      <w:r>
        <w:rPr>
          <w:rFonts w:ascii="Arial" w:cs="Arial" w:eastAsia="Arial" w:hAnsi="Arial"/>
          <w:sz w:val="16"/>
          <w:szCs w:val="16"/>
          <w:color w:val="auto"/>
        </w:rPr>
        <w:t>The Audit Committee operates under a written charter, which is available on the Company’s website at https://hasbro.gcs-web.com/corporate-governance. Under the charter, the Audit Committee’s primary purpose is to:</w:t>
      </w:r>
    </w:p>
    <w:p>
      <w:pPr>
        <w:spacing w:after="0" w:line="67" w:lineRule="exact"/>
        <w:rPr>
          <w:sz w:val="20"/>
          <w:szCs w:val="20"/>
          <w:color w:val="auto"/>
        </w:rPr>
      </w:pPr>
    </w:p>
    <w:p>
      <w:pPr>
        <w:ind w:left="380" w:right="200" w:hanging="213"/>
        <w:spacing w:after="0" w:line="279" w:lineRule="auto"/>
        <w:tabs>
          <w:tab w:leader="none" w:pos="3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Appoint the independent registered public accounting firm (hereafter referred to as the independent auditors) and oversee the independent auditors’ work; and</w:t>
      </w:r>
    </w:p>
    <w:p>
      <w:pPr>
        <w:spacing w:after="0" w:line="67" w:lineRule="exact"/>
        <w:rPr>
          <w:rFonts w:ascii="Arial" w:cs="Arial" w:eastAsia="Arial" w:hAnsi="Arial"/>
          <w:sz w:val="16"/>
          <w:szCs w:val="16"/>
          <w:color w:val="auto"/>
        </w:rPr>
      </w:pPr>
    </w:p>
    <w:p>
      <w:pPr>
        <w:ind w:left="380" w:hanging="213"/>
        <w:spacing w:after="0"/>
        <w:tabs>
          <w:tab w:leader="none" w:pos="3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Assist the Board in its oversight of the:</w:t>
      </w:r>
    </w:p>
    <w:p>
      <w:pPr>
        <w:spacing w:after="0" w:line="83" w:lineRule="exact"/>
        <w:rPr>
          <w:rFonts w:ascii="Arial" w:cs="Arial" w:eastAsia="Arial" w:hAnsi="Arial"/>
          <w:sz w:val="16"/>
          <w:szCs w:val="16"/>
          <w:color w:val="auto"/>
        </w:rPr>
      </w:pPr>
    </w:p>
    <w:p>
      <w:pPr>
        <w:ind w:left="600" w:hanging="219"/>
        <w:spacing w:after="0"/>
        <w:tabs>
          <w:tab w:leader="none" w:pos="600" w:val="left"/>
        </w:tabs>
        <w:numPr>
          <w:ilvl w:val="1"/>
          <w:numId w:val="72"/>
        </w:numPr>
        <w:rPr>
          <w:rFonts w:ascii="Arial" w:cs="Arial" w:eastAsia="Arial" w:hAnsi="Arial"/>
          <w:sz w:val="11"/>
          <w:szCs w:val="11"/>
          <w:color w:val="auto"/>
        </w:rPr>
      </w:pPr>
      <w:r>
        <w:rPr>
          <w:rFonts w:ascii="Arial" w:cs="Arial" w:eastAsia="Arial" w:hAnsi="Arial"/>
          <w:sz w:val="16"/>
          <w:szCs w:val="16"/>
          <w:color w:val="auto"/>
        </w:rPr>
        <w:t>integrity of the Company’s consolidated financial statements and financial reporting;</w:t>
      </w:r>
    </w:p>
    <w:p>
      <w:pPr>
        <w:spacing w:after="0" w:line="83" w:lineRule="exact"/>
        <w:rPr>
          <w:rFonts w:ascii="Arial" w:cs="Arial" w:eastAsia="Arial" w:hAnsi="Arial"/>
          <w:sz w:val="11"/>
          <w:szCs w:val="11"/>
          <w:color w:val="auto"/>
        </w:rPr>
      </w:pPr>
    </w:p>
    <w:p>
      <w:pPr>
        <w:ind w:left="600" w:hanging="219"/>
        <w:spacing w:after="0"/>
        <w:tabs>
          <w:tab w:leader="none" w:pos="600" w:val="left"/>
        </w:tabs>
        <w:numPr>
          <w:ilvl w:val="1"/>
          <w:numId w:val="72"/>
        </w:numPr>
        <w:rPr>
          <w:rFonts w:ascii="Arial" w:cs="Arial" w:eastAsia="Arial" w:hAnsi="Arial"/>
          <w:sz w:val="11"/>
          <w:szCs w:val="11"/>
          <w:color w:val="auto"/>
        </w:rPr>
      </w:pPr>
      <w:r>
        <w:rPr>
          <w:rFonts w:ascii="Arial" w:cs="Arial" w:eastAsia="Arial" w:hAnsi="Arial"/>
          <w:sz w:val="16"/>
          <w:szCs w:val="16"/>
          <w:color w:val="auto"/>
        </w:rPr>
        <w:t>Company’s compliance with legal and regulatory requirements;</w:t>
      </w:r>
    </w:p>
    <w:p>
      <w:pPr>
        <w:spacing w:after="0" w:line="83" w:lineRule="exact"/>
        <w:rPr>
          <w:rFonts w:ascii="Arial" w:cs="Arial" w:eastAsia="Arial" w:hAnsi="Arial"/>
          <w:sz w:val="11"/>
          <w:szCs w:val="11"/>
          <w:color w:val="auto"/>
        </w:rPr>
      </w:pPr>
    </w:p>
    <w:p>
      <w:pPr>
        <w:ind w:left="600" w:hanging="219"/>
        <w:spacing w:after="0"/>
        <w:tabs>
          <w:tab w:leader="none" w:pos="600" w:val="left"/>
        </w:tabs>
        <w:numPr>
          <w:ilvl w:val="1"/>
          <w:numId w:val="72"/>
        </w:numPr>
        <w:rPr>
          <w:rFonts w:ascii="Arial" w:cs="Arial" w:eastAsia="Arial" w:hAnsi="Arial"/>
          <w:sz w:val="11"/>
          <w:szCs w:val="11"/>
          <w:color w:val="auto"/>
        </w:rPr>
      </w:pPr>
      <w:r>
        <w:rPr>
          <w:rFonts w:ascii="Arial" w:cs="Arial" w:eastAsia="Arial" w:hAnsi="Arial"/>
          <w:sz w:val="16"/>
          <w:szCs w:val="16"/>
          <w:color w:val="auto"/>
        </w:rPr>
        <w:t>Company’s system of internal controls;</w:t>
      </w:r>
    </w:p>
    <w:p>
      <w:pPr>
        <w:spacing w:after="0" w:line="83" w:lineRule="exact"/>
        <w:rPr>
          <w:rFonts w:ascii="Arial" w:cs="Arial" w:eastAsia="Arial" w:hAnsi="Arial"/>
          <w:sz w:val="11"/>
          <w:szCs w:val="11"/>
          <w:color w:val="auto"/>
        </w:rPr>
      </w:pPr>
    </w:p>
    <w:p>
      <w:pPr>
        <w:ind w:left="600" w:hanging="219"/>
        <w:spacing w:after="0"/>
        <w:tabs>
          <w:tab w:leader="none" w:pos="600" w:val="left"/>
        </w:tabs>
        <w:numPr>
          <w:ilvl w:val="1"/>
          <w:numId w:val="72"/>
        </w:numPr>
        <w:rPr>
          <w:rFonts w:ascii="Arial" w:cs="Arial" w:eastAsia="Arial" w:hAnsi="Arial"/>
          <w:sz w:val="11"/>
          <w:szCs w:val="11"/>
          <w:color w:val="auto"/>
        </w:rPr>
      </w:pPr>
      <w:r>
        <w:rPr>
          <w:rFonts w:ascii="Arial" w:cs="Arial" w:eastAsia="Arial" w:hAnsi="Arial"/>
          <w:sz w:val="16"/>
          <w:szCs w:val="16"/>
          <w:color w:val="auto"/>
        </w:rPr>
        <w:t>Company’s significant financial and other risks and exposures;</w:t>
      </w:r>
    </w:p>
    <w:p>
      <w:pPr>
        <w:spacing w:after="0" w:line="83" w:lineRule="exact"/>
        <w:rPr>
          <w:rFonts w:ascii="Arial" w:cs="Arial" w:eastAsia="Arial" w:hAnsi="Arial"/>
          <w:sz w:val="11"/>
          <w:szCs w:val="11"/>
          <w:color w:val="auto"/>
        </w:rPr>
      </w:pPr>
    </w:p>
    <w:p>
      <w:pPr>
        <w:ind w:left="600" w:hanging="219"/>
        <w:spacing w:after="0"/>
        <w:tabs>
          <w:tab w:leader="none" w:pos="600" w:val="left"/>
        </w:tabs>
        <w:numPr>
          <w:ilvl w:val="1"/>
          <w:numId w:val="72"/>
        </w:numPr>
        <w:rPr>
          <w:rFonts w:ascii="Arial" w:cs="Arial" w:eastAsia="Arial" w:hAnsi="Arial"/>
          <w:sz w:val="11"/>
          <w:szCs w:val="11"/>
          <w:color w:val="auto"/>
        </w:rPr>
      </w:pPr>
      <w:r>
        <w:rPr>
          <w:rFonts w:ascii="Arial" w:cs="Arial" w:eastAsia="Arial" w:hAnsi="Arial"/>
          <w:sz w:val="16"/>
          <w:szCs w:val="16"/>
          <w:color w:val="auto"/>
        </w:rPr>
        <w:t>independent auditors’ qualifications and independence;</w:t>
      </w:r>
    </w:p>
    <w:p>
      <w:pPr>
        <w:spacing w:after="0" w:line="83" w:lineRule="exact"/>
        <w:rPr>
          <w:rFonts w:ascii="Arial" w:cs="Arial" w:eastAsia="Arial" w:hAnsi="Arial"/>
          <w:sz w:val="11"/>
          <w:szCs w:val="11"/>
          <w:color w:val="auto"/>
        </w:rPr>
      </w:pPr>
    </w:p>
    <w:p>
      <w:pPr>
        <w:ind w:left="600" w:hanging="219"/>
        <w:spacing w:after="0"/>
        <w:tabs>
          <w:tab w:leader="none" w:pos="600" w:val="left"/>
        </w:tabs>
        <w:numPr>
          <w:ilvl w:val="1"/>
          <w:numId w:val="72"/>
        </w:numPr>
        <w:rPr>
          <w:rFonts w:ascii="Arial" w:cs="Arial" w:eastAsia="Arial" w:hAnsi="Arial"/>
          <w:sz w:val="11"/>
          <w:szCs w:val="11"/>
          <w:color w:val="auto"/>
        </w:rPr>
      </w:pPr>
      <w:r>
        <w:rPr>
          <w:rFonts w:ascii="Arial" w:cs="Arial" w:eastAsia="Arial" w:hAnsi="Arial"/>
          <w:sz w:val="16"/>
          <w:szCs w:val="16"/>
          <w:color w:val="auto"/>
        </w:rPr>
        <w:t>performance of the Company’s internal audit function and independent auditors; and</w:t>
      </w:r>
    </w:p>
    <w:p>
      <w:pPr>
        <w:spacing w:after="0" w:line="83" w:lineRule="exact"/>
        <w:rPr>
          <w:rFonts w:ascii="Arial" w:cs="Arial" w:eastAsia="Arial" w:hAnsi="Arial"/>
          <w:sz w:val="11"/>
          <w:szCs w:val="11"/>
          <w:color w:val="auto"/>
        </w:rPr>
      </w:pPr>
    </w:p>
    <w:p>
      <w:pPr>
        <w:ind w:left="600" w:hanging="219"/>
        <w:spacing w:after="0"/>
        <w:tabs>
          <w:tab w:leader="none" w:pos="600" w:val="left"/>
        </w:tabs>
        <w:numPr>
          <w:ilvl w:val="1"/>
          <w:numId w:val="72"/>
        </w:numPr>
        <w:rPr>
          <w:rFonts w:ascii="Arial" w:cs="Arial" w:eastAsia="Arial" w:hAnsi="Arial"/>
          <w:sz w:val="11"/>
          <w:szCs w:val="11"/>
          <w:color w:val="auto"/>
        </w:rPr>
      </w:pPr>
      <w:r>
        <w:rPr>
          <w:rFonts w:ascii="Arial" w:cs="Arial" w:eastAsia="Arial" w:hAnsi="Arial"/>
          <w:sz w:val="16"/>
          <w:szCs w:val="16"/>
          <w:color w:val="auto"/>
        </w:rPr>
        <w:t>the Company’s programs, governance, systems, controls and procedures relating to cybersecurity, data privacy and data protection.</w:t>
      </w:r>
    </w:p>
    <w:p>
      <w:pPr>
        <w:spacing w:after="0" w:line="137" w:lineRule="exact"/>
        <w:rPr>
          <w:sz w:val="20"/>
          <w:szCs w:val="20"/>
          <w:color w:val="auto"/>
        </w:rPr>
      </w:pPr>
    </w:p>
    <w:p>
      <w:pPr>
        <w:ind w:left="160" w:right="240"/>
        <w:spacing w:after="0" w:line="256" w:lineRule="auto"/>
        <w:rPr>
          <w:sz w:val="20"/>
          <w:szCs w:val="20"/>
          <w:color w:val="auto"/>
        </w:rPr>
      </w:pPr>
      <w:r>
        <w:rPr>
          <w:rFonts w:ascii="Arial" w:cs="Arial" w:eastAsia="Arial" w:hAnsi="Arial"/>
          <w:sz w:val="16"/>
          <w:szCs w:val="16"/>
          <w:color w:val="auto"/>
        </w:rPr>
        <w:t>In carrying out these responsibilities the Audit Committee reviews all earnings releases and quarterly and annual financial reports prepared by management, and discusses such releases and reports with management, prior to their issuance and filing with the SEC. The Audit Committee supervises the relationship between the Company and the independent auditors and has direct responsibility for the appointment and compensation of the independent auditors, as well as for reviewing and approving the scope of the audit and all audit and permitted non-audit services.</w:t>
      </w:r>
    </w:p>
    <w:p>
      <w:pPr>
        <w:spacing w:after="0" w:line="111" w:lineRule="exact"/>
        <w:rPr>
          <w:sz w:val="20"/>
          <w:szCs w:val="20"/>
          <w:color w:val="auto"/>
        </w:rPr>
      </w:pPr>
    </w:p>
    <w:p>
      <w:pPr>
        <w:ind w:left="160" w:right="640"/>
        <w:spacing w:after="0" w:line="279" w:lineRule="auto"/>
        <w:rPr>
          <w:sz w:val="20"/>
          <w:szCs w:val="20"/>
          <w:color w:val="auto"/>
        </w:rPr>
      </w:pPr>
      <w:r>
        <w:rPr>
          <w:rFonts w:ascii="Arial" w:cs="Arial" w:eastAsia="Arial" w:hAnsi="Arial"/>
          <w:sz w:val="16"/>
          <w:szCs w:val="16"/>
          <w:color w:val="auto"/>
        </w:rPr>
        <w:t>The Committee met twelve (12) times during 2025. Many of the Committee’s meetings include executive sessions in which the Committee meets separately with the independent auditors, the Company’s head of internal audit and with members of the Company’s management.</w:t>
      </w:r>
    </w:p>
    <w:p>
      <w:pPr>
        <w:spacing w:after="0" w:line="80"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auto"/>
        </w:rPr>
        <w:t>As part of its oversight function, the Audit Committee discusses with the Company’s internal auditor and independent auditors, with and without management present, the overall scope and plans for their respective audits, and the Committee approves such audit plans. The Audit Committee reviews the Company’s programs and key initiatives to implement and maintain effective internal controls over financial reporting and disclosure controls, including the Company’s code of conduct. The Audit Committee maintains procedures for receipt, retention and treatment of complaints regarding accounting, internal accounting controls and auditing matters, as well as a policy regarding the hiring of former employees of the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233680</wp:posOffset>
            </wp:positionV>
            <wp:extent cx="6964045" cy="39052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  61</w:t>
      </w:r>
    </w:p>
    <w:p>
      <w:pPr>
        <w:sectPr>
          <w:pgSz w:w="11900" w:h="16838" w:orient="portrait"/>
          <w:cols w:equalWidth="0" w:num="1">
            <w:col w:w="11060"/>
          </w:cols>
          <w:pgMar w:left="320" w:top="478" w:right="5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60" w:right="100"/>
        <w:spacing w:after="0" w:line="256" w:lineRule="auto"/>
        <w:rPr>
          <w:sz w:val="20"/>
          <w:szCs w:val="20"/>
          <w:color w:val="auto"/>
        </w:rPr>
      </w:pPr>
      <w:r>
        <w:rPr>
          <w:rFonts w:ascii="Arial" w:cs="Arial" w:eastAsia="Arial" w:hAnsi="Arial"/>
          <w:sz w:val="16"/>
          <w:szCs w:val="16"/>
          <w:color w:val="auto"/>
        </w:rPr>
        <w:t>The Audit Committee assists the Board in risk oversight for the Company by reviewing and discussing with management, internal auditors, internal legal and compliance personnel and the independent auditors the Company’s significant financial and other risks and exposures, and guidelines and policies relating to enterprise risk assessment and risk management, such as cybersecurity and data privacy, including the Company’s procedures for monitoring and controlling such risks.</w:t>
      </w:r>
    </w:p>
    <w:p>
      <w:pPr>
        <w:spacing w:after="0" w:line="98" w:lineRule="exact"/>
        <w:rPr>
          <w:sz w:val="20"/>
          <w:szCs w:val="20"/>
          <w:color w:val="auto"/>
        </w:rPr>
      </w:pPr>
    </w:p>
    <w:p>
      <w:pPr>
        <w:ind w:left="160" w:right="180"/>
        <w:spacing w:after="0" w:line="251" w:lineRule="auto"/>
        <w:rPr>
          <w:sz w:val="20"/>
          <w:szCs w:val="20"/>
          <w:color w:val="auto"/>
        </w:rPr>
      </w:pPr>
      <w:r>
        <w:rPr>
          <w:rFonts w:ascii="Arial" w:cs="Arial" w:eastAsia="Arial" w:hAnsi="Arial"/>
          <w:sz w:val="16"/>
          <w:szCs w:val="16"/>
          <w:color w:val="auto"/>
        </w:rPr>
        <w:t>The Audit Committee meets with the Company’s head of internal audit, and with the independent auditors, with and without management present, to discuss the results of their audits, the evaluations of the Company’s internal controls and the overall quality of the Company’s financial reporting. The Audit Committee reviews and discusses with management and the independent auditors all annual and quarterly consolidated financial statements and Management’s Discussion and Analysis of Financial Condition and Results of Operations prior to their filing with the SEC. The Audit Committee also discusses with management, on a quarterly basis, management’s evaluation of the Company’s internal controls over financial reporting and disclosure controls.</w:t>
      </w:r>
    </w:p>
    <w:p>
      <w:pPr>
        <w:spacing w:after="0" w:line="116"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the Company’s independent auditors. In selecting the independent auditor the Audit Committee reviews the recent and historical performance of the current independent auditors and their expertise and capability in handling the types and breadth of issues facing the Company and the geographic reach of the Company’s business, discusses with management their view on the performance of the auditor, reviews and discusses the results of the most recent Public Company Accounting Oversight Board (United States) (PCAOB) and peer reviews of the current independent auditor, as well as any significant regulatory or legal proceedings involving the independent auditor, considers the tenure of the independent auditors, including the benefits from knowledge gained by the auditors of the Company’s business over time, reviews the reasonableness of the independent auditors’ fees, discusses alternate potential choices for independent auditor and considers the relative merits of retaining the current independent auditor as compared to appointing another independent auditor. In order to assure continuing auditor independence, the Audit Committee periodically considers whether there should be a rotation of the independent audit firm. Among other things, the Audit Committee considers the importance of the external audit firm’s understanding of our business, the firm’s expertise and qualifications, external audit firms we retain for other company purposes, such as M&amp;A, tax and other advisory services, and firms retained by our competitors.</w:t>
      </w:r>
    </w:p>
    <w:p>
      <w:pPr>
        <w:spacing w:after="0" w:line="122"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auto"/>
        </w:rPr>
        <w:t>The Audit Committee is directly responsible for approving the fees of the independent auditors and in doing so they review fee benchmarking information regarding audit and non-audit fees paid by multinational companies which are comparable in terms of size, complexity, and type of financial and accounting issues to the Company. When the audit engagement partner is due to rotate off the Company’s audit team following five years of service, such as was the case for fiscal year 2022, the Audit Committee and its Chair meets with potential candidates within the independent auditors to replace the audit engagement partner and the Committee reviews and considers the selection of the audit engagement partner to ensure the Company receives the highest quality replacement.</w:t>
      </w:r>
    </w:p>
    <w:p>
      <w:pPr>
        <w:spacing w:after="0" w:line="103"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While the Audit Committee selects the independent auditors and oversees their work, the independent auditors are responsible for performing an independent integrated audit of the Company’s consolidated financial statements and effectiveness of internal control over financial reporting and issuing an opinion as to whether the consolidated financial statements conform with accounting principles generally accepted in the United States of America and an opinion as to the effectiveness of internal control over financial reporting.</w:t>
      </w:r>
    </w:p>
    <w:p>
      <w:pPr>
        <w:spacing w:after="0" w:line="111" w:lineRule="exact"/>
        <w:rPr>
          <w:sz w:val="20"/>
          <w:szCs w:val="20"/>
          <w:color w:val="auto"/>
        </w:rPr>
      </w:pPr>
    </w:p>
    <w:p>
      <w:pPr>
        <w:ind w:left="160" w:right="60"/>
        <w:spacing w:after="0" w:line="249" w:lineRule="auto"/>
        <w:rPr>
          <w:sz w:val="20"/>
          <w:szCs w:val="20"/>
          <w:color w:val="auto"/>
        </w:rPr>
      </w:pPr>
      <w:r>
        <w:rPr>
          <w:rFonts w:ascii="Arial" w:cs="Arial" w:eastAsia="Arial" w:hAnsi="Arial"/>
          <w:sz w:val="16"/>
          <w:szCs w:val="16"/>
          <w:color w:val="auto"/>
        </w:rPr>
        <w:t>The Audit Committee has reviewed and discussed with management and the independent auditors the Company’s audited consolidated financial statements for the fiscal year ended December 28, 2025, and the Company’s report on the effectiveness of internal controls over financial reporting as of December 28, 2025, as well as the independent auditors’ audit of those financial statements and the Company’s internal controls over financial reporting. The Audit Committee has also reviewed and discussed with the independent auditors the matters required to be discussed by the PCAOB and the SEC. In addition, the Audit Committee discussed with the independent auditors the audit and permitted non-audit services they provide to the Company and any other matters that might impact their independence from management, the Audit Committee has determined that the approved non-audit services being provided by the independent auditor do not impact the auditor’s independence, and the Audit Committee has received from the independent auditors the written disclosures and letters required by the applicable requirements of the PCAOB.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236855</wp:posOffset>
            </wp:positionV>
            <wp:extent cx="6964045" cy="39052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  62</w:t>
      </w:r>
    </w:p>
    <w:p>
      <w:pPr>
        <w:sectPr>
          <w:pgSz w:w="11900" w:h="16838" w:orient="portrait"/>
          <w:cols w:equalWidth="0" w:num="1">
            <w:col w:w="11060"/>
          </w:cols>
          <w:pgMar w:left="320" w:top="478" w:right="5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Based on its review and discussions with management and the independent auditors referred to in the preceding paragraph and the other oversight actions discussed above, the Audit Committee recommended to the Board and the Board approved the inclusion of the audited consolidated financial statements for the fiscal year ended December 28, 2025 in the Company’s Annual Report on Form 10-K for filing with the SEC. The Audit Committee has also selected, and the Board has approved the selection of, KPMG LLP as the independent auditor for Fiscal 2026.</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Report issued by the members of the Audit Committee.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Hope Cochran (Chair)</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Doug Bowser</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Owen 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257175</wp:posOffset>
            </wp:positionV>
            <wp:extent cx="6964045" cy="39052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  63</w:t>
      </w:r>
    </w:p>
    <w:p>
      <w:pPr>
        <w:sectPr>
          <w:pgSz w:w="11900" w:h="16838" w:orient="portrait"/>
          <w:cols w:equalWidth="0" w:num="1">
            <w:col w:w="11020"/>
          </w:cols>
          <w:pgMar w:left="320" w:top="478" w:right="5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right="80"/>
        <w:spacing w:after="0" w:line="281" w:lineRule="auto"/>
        <w:rPr>
          <w:sz w:val="20"/>
          <w:szCs w:val="20"/>
          <w:color w:val="auto"/>
        </w:rPr>
      </w:pPr>
      <w:r>
        <w:rPr>
          <w:rFonts w:ascii="Arial" w:cs="Arial" w:eastAsia="Arial" w:hAnsi="Arial"/>
          <w:sz w:val="32"/>
          <w:szCs w:val="32"/>
          <w:color w:val="0060ED"/>
        </w:rPr>
        <w:t>Additional Information Regarding Independent Registered Public Accounting Firm</w:t>
      </w:r>
    </w:p>
    <w:p>
      <w:pPr>
        <w:spacing w:after="0" w:line="35" w:lineRule="exact"/>
        <w:rPr>
          <w:sz w:val="20"/>
          <w:szCs w:val="20"/>
          <w:color w:val="auto"/>
        </w:rPr>
      </w:pPr>
    </w:p>
    <w:p>
      <w:pPr>
        <w:jc w:val="both"/>
        <w:ind w:left="160" w:right="160"/>
        <w:spacing w:after="0" w:line="262" w:lineRule="auto"/>
        <w:rPr>
          <w:sz w:val="20"/>
          <w:szCs w:val="20"/>
          <w:color w:val="auto"/>
        </w:rPr>
      </w:pPr>
      <w:r>
        <w:rPr>
          <w:rFonts w:ascii="Arial" w:cs="Arial" w:eastAsia="Arial" w:hAnsi="Arial"/>
          <w:sz w:val="16"/>
          <w:szCs w:val="16"/>
          <w:color w:val="auto"/>
        </w:rPr>
        <w:t>The following table presents fees for professional audit services rendered by KPMG LLP for the integrated audits of the Company’s annual consolidated financial statements and effectiveness of internal control over financial reporting for fiscal 2025 and 2024, as well as fees for other services rendered by KPMG to the Company during fiscal 2025 and 2024.</w:t>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8520" w:type="dxa"/>
            <w:vAlign w:val="bottom"/>
            <w:shd w:val="clear" w:color="auto" w:fill="CCEBF8"/>
          </w:tcPr>
          <w:p>
            <w:pPr>
              <w:spacing w:after="0"/>
              <w:rPr>
                <w:sz w:val="23"/>
                <w:szCs w:val="23"/>
                <w:color w:val="auto"/>
              </w:rPr>
            </w:pPr>
          </w:p>
        </w:tc>
        <w:tc>
          <w:tcPr>
            <w:tcW w:w="340" w:type="dxa"/>
            <w:vAlign w:val="bottom"/>
            <w:shd w:val="clear" w:color="auto" w:fill="CCEBF8"/>
          </w:tcPr>
          <w:p>
            <w:pPr>
              <w:spacing w:after="0"/>
              <w:rPr>
                <w:sz w:val="23"/>
                <w:szCs w:val="23"/>
                <w:color w:val="auto"/>
              </w:rPr>
            </w:pPr>
          </w:p>
        </w:tc>
        <w:tc>
          <w:tcPr>
            <w:tcW w:w="920" w:type="dxa"/>
            <w:vAlign w:val="bottom"/>
            <w:shd w:val="clear" w:color="auto" w:fill="CCEBF8"/>
          </w:tcPr>
          <w:p>
            <w:pPr>
              <w:jc w:val="right"/>
              <w:ind w:right="340"/>
              <w:spacing w:after="0"/>
              <w:rPr>
                <w:sz w:val="20"/>
                <w:szCs w:val="20"/>
                <w:color w:val="auto"/>
              </w:rPr>
            </w:pPr>
            <w:r>
              <w:rPr>
                <w:rFonts w:ascii="Arial" w:cs="Arial" w:eastAsia="Arial" w:hAnsi="Arial"/>
                <w:sz w:val="16"/>
                <w:szCs w:val="16"/>
                <w:b w:val="1"/>
                <w:bCs w:val="1"/>
                <w:color w:val="009BDE"/>
              </w:rPr>
              <w:t>2025</w:t>
            </w:r>
          </w:p>
        </w:tc>
        <w:tc>
          <w:tcPr>
            <w:tcW w:w="280" w:type="dxa"/>
            <w:vAlign w:val="bottom"/>
            <w:shd w:val="clear" w:color="auto" w:fill="CCEBF8"/>
          </w:tcPr>
          <w:p>
            <w:pPr>
              <w:spacing w:after="0"/>
              <w:rPr>
                <w:sz w:val="23"/>
                <w:szCs w:val="23"/>
                <w:color w:val="auto"/>
              </w:rPr>
            </w:pPr>
          </w:p>
        </w:tc>
        <w:tc>
          <w:tcPr>
            <w:tcW w:w="860" w:type="dxa"/>
            <w:vAlign w:val="bottom"/>
            <w:shd w:val="clear" w:color="auto" w:fill="CCEBF8"/>
          </w:tcPr>
          <w:p>
            <w:pPr>
              <w:jc w:val="right"/>
              <w:ind w:right="280"/>
              <w:spacing w:after="0"/>
              <w:rPr>
                <w:sz w:val="20"/>
                <w:szCs w:val="20"/>
                <w:color w:val="auto"/>
              </w:rPr>
            </w:pPr>
            <w:r>
              <w:rPr>
                <w:rFonts w:ascii="Arial" w:cs="Arial" w:eastAsia="Arial" w:hAnsi="Arial"/>
                <w:sz w:val="16"/>
                <w:szCs w:val="16"/>
                <w:b w:val="1"/>
                <w:bCs w:val="1"/>
                <w:color w:val="009BDE"/>
              </w:rPr>
              <w:t>2024</w:t>
            </w:r>
          </w:p>
        </w:tc>
      </w:tr>
      <w:tr>
        <w:trPr>
          <w:trHeight w:val="114"/>
        </w:trPr>
        <w:tc>
          <w:tcPr>
            <w:tcW w:w="8520" w:type="dxa"/>
            <w:vAlign w:val="bottom"/>
            <w:tcBorders>
              <w:bottom w:val="single" w:sz="8" w:color="009BDE"/>
            </w:tcBorders>
            <w:shd w:val="clear" w:color="auto" w:fill="CCEBF8"/>
          </w:tcPr>
          <w:p>
            <w:pPr>
              <w:spacing w:after="0"/>
              <w:rPr>
                <w:sz w:val="9"/>
                <w:szCs w:val="9"/>
                <w:color w:val="auto"/>
              </w:rPr>
            </w:pPr>
          </w:p>
        </w:tc>
        <w:tc>
          <w:tcPr>
            <w:tcW w:w="340" w:type="dxa"/>
            <w:vAlign w:val="bottom"/>
            <w:tcBorders>
              <w:bottom w:val="single" w:sz="8" w:color="009BDE"/>
            </w:tcBorders>
            <w:shd w:val="clear" w:color="auto" w:fill="CCEBF8"/>
          </w:tcPr>
          <w:p>
            <w:pPr>
              <w:spacing w:after="0"/>
              <w:rPr>
                <w:sz w:val="9"/>
                <w:szCs w:val="9"/>
                <w:color w:val="auto"/>
              </w:rPr>
            </w:pPr>
          </w:p>
        </w:tc>
        <w:tc>
          <w:tcPr>
            <w:tcW w:w="920" w:type="dxa"/>
            <w:vAlign w:val="bottom"/>
            <w:tcBorders>
              <w:bottom w:val="single" w:sz="8" w:color="009BDE"/>
            </w:tcBorders>
            <w:shd w:val="clear" w:color="auto" w:fill="CCEBF8"/>
          </w:tcPr>
          <w:p>
            <w:pPr>
              <w:spacing w:after="0"/>
              <w:rPr>
                <w:sz w:val="9"/>
                <w:szCs w:val="9"/>
                <w:color w:val="auto"/>
              </w:rPr>
            </w:pPr>
          </w:p>
        </w:tc>
        <w:tc>
          <w:tcPr>
            <w:tcW w:w="280" w:type="dxa"/>
            <w:vAlign w:val="bottom"/>
            <w:tcBorders>
              <w:bottom w:val="single" w:sz="8" w:color="009BDE"/>
            </w:tcBorders>
            <w:shd w:val="clear" w:color="auto" w:fill="CCEBF8"/>
          </w:tcPr>
          <w:p>
            <w:pPr>
              <w:spacing w:after="0"/>
              <w:rPr>
                <w:sz w:val="9"/>
                <w:szCs w:val="9"/>
                <w:color w:val="auto"/>
              </w:rPr>
            </w:pPr>
          </w:p>
        </w:tc>
        <w:tc>
          <w:tcPr>
            <w:tcW w:w="860" w:type="dxa"/>
            <w:vAlign w:val="bottom"/>
            <w:tcBorders>
              <w:bottom w:val="single" w:sz="8" w:color="009BDE"/>
            </w:tcBorders>
            <w:shd w:val="clear" w:color="auto" w:fill="CCEBF8"/>
          </w:tcPr>
          <w:p>
            <w:pPr>
              <w:spacing w:after="0"/>
              <w:rPr>
                <w:sz w:val="9"/>
                <w:szCs w:val="9"/>
                <w:color w:val="auto"/>
              </w:rPr>
            </w:pPr>
          </w:p>
        </w:tc>
      </w:tr>
      <w:tr>
        <w:trPr>
          <w:trHeight w:val="284"/>
        </w:trPr>
        <w:tc>
          <w:tcPr>
            <w:tcW w:w="8520" w:type="dxa"/>
            <w:vAlign w:val="bottom"/>
          </w:tcPr>
          <w:p>
            <w:pPr>
              <w:ind w:left="80"/>
              <w:spacing w:after="0"/>
              <w:rPr>
                <w:sz w:val="20"/>
                <w:szCs w:val="20"/>
                <w:color w:val="auto"/>
              </w:rPr>
            </w:pPr>
            <w:r>
              <w:rPr>
                <w:rFonts w:ascii="Arial" w:cs="Arial" w:eastAsia="Arial" w:hAnsi="Arial"/>
                <w:sz w:val="16"/>
                <w:szCs w:val="16"/>
                <w:color w:val="auto"/>
              </w:rPr>
              <w:t>Audit Fees(1)</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5,768,000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5,999,000</w:t>
            </w:r>
          </w:p>
        </w:tc>
      </w:tr>
      <w:tr>
        <w:trPr>
          <w:trHeight w:val="97"/>
        </w:trPr>
        <w:tc>
          <w:tcPr>
            <w:tcW w:w="852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28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r>
      <w:tr>
        <w:trPr>
          <w:trHeight w:val="284"/>
        </w:trPr>
        <w:tc>
          <w:tcPr>
            <w:tcW w:w="8520" w:type="dxa"/>
            <w:vAlign w:val="bottom"/>
          </w:tcPr>
          <w:p>
            <w:pPr>
              <w:ind w:left="80"/>
              <w:spacing w:after="0"/>
              <w:rPr>
                <w:sz w:val="20"/>
                <w:szCs w:val="20"/>
                <w:color w:val="auto"/>
              </w:rPr>
            </w:pPr>
            <w:r>
              <w:rPr>
                <w:rFonts w:ascii="Arial" w:cs="Arial" w:eastAsia="Arial" w:hAnsi="Arial"/>
                <w:sz w:val="16"/>
                <w:szCs w:val="16"/>
                <w:color w:val="auto"/>
              </w:rPr>
              <w:t>Audit-Related Fees(2)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128,000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530,000</w:t>
            </w:r>
          </w:p>
        </w:tc>
      </w:tr>
      <w:tr>
        <w:trPr>
          <w:trHeight w:val="97"/>
        </w:trPr>
        <w:tc>
          <w:tcPr>
            <w:tcW w:w="852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28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r>
      <w:tr>
        <w:trPr>
          <w:trHeight w:val="284"/>
        </w:trPr>
        <w:tc>
          <w:tcPr>
            <w:tcW w:w="8520" w:type="dxa"/>
            <w:vAlign w:val="bottom"/>
          </w:tcPr>
          <w:p>
            <w:pPr>
              <w:ind w:left="80"/>
              <w:spacing w:after="0"/>
              <w:rPr>
                <w:sz w:val="20"/>
                <w:szCs w:val="20"/>
                <w:color w:val="auto"/>
              </w:rPr>
            </w:pPr>
            <w:r>
              <w:rPr>
                <w:rFonts w:ascii="Arial" w:cs="Arial" w:eastAsia="Arial" w:hAnsi="Arial"/>
                <w:sz w:val="16"/>
                <w:szCs w:val="16"/>
                <w:color w:val="auto"/>
              </w:rPr>
              <w:t>Tax Fees(3)</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1,105,000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1,024,000</w:t>
            </w:r>
          </w:p>
        </w:tc>
      </w:tr>
      <w:tr>
        <w:trPr>
          <w:trHeight w:val="97"/>
        </w:trPr>
        <w:tc>
          <w:tcPr>
            <w:tcW w:w="852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28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r>
      <w:tr>
        <w:trPr>
          <w:trHeight w:val="284"/>
        </w:trPr>
        <w:tc>
          <w:tcPr>
            <w:tcW w:w="8520" w:type="dxa"/>
            <w:vAlign w:val="bottom"/>
          </w:tcPr>
          <w:p>
            <w:pPr>
              <w:ind w:left="80"/>
              <w:spacing w:after="0"/>
              <w:rPr>
                <w:sz w:val="20"/>
                <w:szCs w:val="20"/>
                <w:color w:val="auto"/>
              </w:rPr>
            </w:pPr>
            <w:r>
              <w:rPr>
                <w:rFonts w:ascii="Arial" w:cs="Arial" w:eastAsia="Arial" w:hAnsi="Arial"/>
                <w:sz w:val="16"/>
                <w:szCs w:val="16"/>
                <w:color w:val="auto"/>
              </w:rPr>
              <w:t>All Other Fees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97"/>
        </w:trPr>
        <w:tc>
          <w:tcPr>
            <w:tcW w:w="852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28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r>
      <w:tr>
        <w:trPr>
          <w:trHeight w:val="284"/>
        </w:trPr>
        <w:tc>
          <w:tcPr>
            <w:tcW w:w="8520" w:type="dxa"/>
            <w:vAlign w:val="bottom"/>
          </w:tcPr>
          <w:p>
            <w:pPr>
              <w:ind w:left="80"/>
              <w:spacing w:after="0"/>
              <w:rPr>
                <w:sz w:val="20"/>
                <w:szCs w:val="20"/>
                <w:color w:val="auto"/>
              </w:rPr>
            </w:pPr>
            <w:r>
              <w:rPr>
                <w:rFonts w:ascii="Arial" w:cs="Arial" w:eastAsia="Arial" w:hAnsi="Arial"/>
                <w:sz w:val="16"/>
                <w:szCs w:val="16"/>
                <w:color w:val="auto"/>
              </w:rPr>
              <w:t>Total Fees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7,001,000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7,553,000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61595</wp:posOffset>
            </wp:positionV>
            <wp:extent cx="692975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ind w:left="600" w:right="80" w:hanging="433"/>
        <w:spacing w:after="0" w:line="281" w:lineRule="auto"/>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Audit Fees consist of services related to the audits of the Company’s consolidated financial statements, interim reviews, statutory audits, and comfort letters rendered in connection with the Company’s securities offering.</w:t>
      </w:r>
    </w:p>
    <w:p>
      <w:pPr>
        <w:spacing w:after="0" w:line="24" w:lineRule="exact"/>
        <w:rPr>
          <w:rFonts w:ascii="Arial" w:cs="Arial" w:eastAsia="Arial" w:hAnsi="Arial"/>
          <w:sz w:val="14"/>
          <w:szCs w:val="14"/>
          <w:color w:val="auto"/>
        </w:rPr>
      </w:pPr>
    </w:p>
    <w:p>
      <w:pPr>
        <w:ind w:left="600" w:hanging="433"/>
        <w:spacing w:after="0"/>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Audit-Related Fees consist of fees for accounting and reporting consultations, and agreed upon procedures reports.</w:t>
      </w:r>
    </w:p>
    <w:p>
      <w:pPr>
        <w:spacing w:after="0" w:line="79" w:lineRule="exact"/>
        <w:rPr>
          <w:rFonts w:ascii="Arial" w:cs="Arial" w:eastAsia="Arial" w:hAnsi="Arial"/>
          <w:sz w:val="14"/>
          <w:szCs w:val="14"/>
          <w:color w:val="auto"/>
        </w:rPr>
      </w:pPr>
    </w:p>
    <w:p>
      <w:pPr>
        <w:ind w:left="600" w:right="20" w:hanging="433"/>
        <w:spacing w:after="0" w:line="281" w:lineRule="auto"/>
        <w:tabs>
          <w:tab w:leader="none" w:pos="6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Tax Fees consist primarily of fees for tax compliance services, such as assistance with the preparation and/or review of tax returns and other required filings, advice in connection with tax examinations, as well as fees for other tax consultations rendered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199390</wp:posOffset>
            </wp:positionV>
            <wp:extent cx="6929755" cy="58610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6929755" cy="586105"/>
                    </a:xfrm>
                    <a:prstGeom prst="rect">
                      <a:avLst/>
                    </a:prstGeom>
                    <a:noFill/>
                  </pic:spPr>
                </pic:pic>
              </a:graphicData>
            </a:graphic>
          </wp:anchor>
        </w:drawing>
      </w:r>
    </w:p>
    <w:p>
      <w:pPr>
        <w:spacing w:after="0" w:line="369" w:lineRule="exact"/>
        <w:rPr>
          <w:sz w:val="20"/>
          <w:szCs w:val="20"/>
          <w:color w:val="auto"/>
        </w:rPr>
      </w:pPr>
    </w:p>
    <w:p>
      <w:pPr>
        <w:ind w:left="340" w:right="200"/>
        <w:spacing w:after="0" w:line="281" w:lineRule="auto"/>
        <w:rPr>
          <w:sz w:val="20"/>
          <w:szCs w:val="20"/>
          <w:color w:val="auto"/>
        </w:rPr>
      </w:pPr>
      <w:r>
        <w:rPr>
          <w:rFonts w:ascii="Arial" w:cs="Arial" w:eastAsia="Arial" w:hAnsi="Arial"/>
          <w:sz w:val="26"/>
          <w:szCs w:val="26"/>
          <w:b w:val="1"/>
          <w:bCs w:val="1"/>
          <w:color w:val="FFFFFF"/>
        </w:rPr>
        <w:t>Policy on Audit Committee Pre-Approval of Audit Services and Permissible Non-Audit Services of the Independent Registered Public Accounting Firm</w:t>
      </w:r>
    </w:p>
    <w:p>
      <w:pPr>
        <w:spacing w:after="0" w:line="281"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Consistent with the rules and regulations of the SEC regarding auditor independence, the Audit Committee has responsibility for appointing, approving compensation for and overseeing the services of the independent registered public accounting firm (hereafter referred to as the independent auditors). In fulfilling this responsibility, the Audit Committee has established a policy to pre-approve all audit and permissible non-audit services to be provided by the independent auditors.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Prior to engagement of the independent auditor for the fiscal year, KPMG submits to the Audit Committee for the Audit Committee’s pre-approval:</w:t>
      </w:r>
    </w:p>
    <w:p>
      <w:pPr>
        <w:spacing w:after="0" w:line="124" w:lineRule="exact"/>
        <w:rPr>
          <w:sz w:val="20"/>
          <w:szCs w:val="20"/>
          <w:color w:val="auto"/>
        </w:rPr>
      </w:pPr>
    </w:p>
    <w:p>
      <w:pPr>
        <w:ind w:left="380" w:hanging="213"/>
        <w:spacing w:after="0"/>
        <w:tabs>
          <w:tab w:leader="none" w:pos="3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description of, and estimated costs for, the proposed audit services to be provided by the independent auditors for that fiscal year.</w:t>
      </w:r>
    </w:p>
    <w:p>
      <w:pPr>
        <w:spacing w:after="0" w:line="123" w:lineRule="exact"/>
        <w:rPr>
          <w:rFonts w:ascii="Arial" w:cs="Arial" w:eastAsia="Arial" w:hAnsi="Arial"/>
          <w:sz w:val="16"/>
          <w:szCs w:val="16"/>
          <w:color w:val="auto"/>
        </w:rPr>
      </w:pPr>
    </w:p>
    <w:p>
      <w:pPr>
        <w:ind w:left="380" w:right="180" w:hanging="213"/>
        <w:spacing w:after="0" w:line="262" w:lineRule="auto"/>
        <w:tabs>
          <w:tab w:leader="none" w:pos="3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description of, and estimated costs for, the proposed non-audit services to be provided by the independent auditors for that fiscal year. These non-audit services are comprised of permissible audit-related, tax and other services, and descriptions and estimated costs are proposed for these permissible non-audit services.</w:t>
      </w:r>
    </w:p>
    <w:p>
      <w:pPr>
        <w:spacing w:after="0" w:line="93" w:lineRule="exact"/>
        <w:rPr>
          <w:sz w:val="20"/>
          <w:szCs w:val="20"/>
          <w:color w:val="auto"/>
        </w:rPr>
      </w:pPr>
    </w:p>
    <w:p>
      <w:pPr>
        <w:jc w:val="both"/>
        <w:ind w:left="160" w:right="40"/>
        <w:spacing w:after="0" w:line="262" w:lineRule="auto"/>
        <w:rPr>
          <w:sz w:val="20"/>
          <w:szCs w:val="20"/>
          <w:color w:val="auto"/>
        </w:rPr>
      </w:pPr>
      <w:r>
        <w:rPr>
          <w:rFonts w:ascii="Arial" w:cs="Arial" w:eastAsia="Arial" w:hAnsi="Arial"/>
          <w:sz w:val="16"/>
          <w:szCs w:val="16"/>
          <w:color w:val="auto"/>
        </w:rPr>
        <w:t>Audit and permissible non-audit services which are pre-approved by the Audit Committee pursuant to this review may be performed by KPMG during the fiscal year. During the course of the year, KPMG periodically reports to the Audit Committee on the audit and non-audit services which are being provided to the Company pursuant to these pre-approvals.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6964045" cy="39052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  64</w:t>
      </w:r>
    </w:p>
    <w:p>
      <w:pPr>
        <w:sectPr>
          <w:pgSz w:w="11900" w:h="16838" w:orient="portrait"/>
          <w:cols w:equalWidth="0" w:num="1">
            <w:col w:w="11080"/>
          </w:cols>
          <w:pgMar w:left="320" w:top="478"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In addition to pre-approving all audit and permissible non-audit services at the beginning of the fiscal year, the Audit Committee has also instituted a procedure for the consideration of additional services that arise during the course of the year for which the Company desires to retain KPMG. Pre-approval of such services can be made either pursuant to a policies and procedures approach, or pursuant to specific approval. Under a policies and procedures approach, the Audit Committee has specified that additional services in the following categories can be undertaken by KPMG if they fall within the individual dollar limits per project and aggregate dollar limits for all projects of that type per year set forth below and are reported to the Audit Committee at its next meeting:</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6640" w:type="dxa"/>
            <w:vAlign w:val="bottom"/>
            <w:shd w:val="clear" w:color="auto" w:fill="CCEBF8"/>
          </w:tcPr>
          <w:p>
            <w:pPr>
              <w:spacing w:after="0"/>
              <w:rPr>
                <w:sz w:val="20"/>
                <w:szCs w:val="20"/>
                <w:color w:val="auto"/>
              </w:rPr>
            </w:pPr>
            <w:r>
              <w:rPr>
                <w:rFonts w:ascii="Arial" w:cs="Arial" w:eastAsia="Arial" w:hAnsi="Arial"/>
                <w:sz w:val="16"/>
                <w:szCs w:val="16"/>
                <w:b w:val="1"/>
                <w:bCs w:val="1"/>
                <w:color w:val="009BDE"/>
              </w:rPr>
              <w:t>  Category of Service</w:t>
            </w:r>
          </w:p>
        </w:tc>
        <w:tc>
          <w:tcPr>
            <w:tcW w:w="2460" w:type="dxa"/>
            <w:vAlign w:val="bottom"/>
            <w:gridSpan w:val="2"/>
            <w:shd w:val="clear" w:color="auto" w:fill="CCEBF8"/>
          </w:tcPr>
          <w:p>
            <w:pPr>
              <w:ind w:left="840"/>
              <w:spacing w:after="0"/>
              <w:rPr>
                <w:sz w:val="20"/>
                <w:szCs w:val="20"/>
                <w:color w:val="auto"/>
              </w:rPr>
            </w:pPr>
            <w:r>
              <w:rPr>
                <w:rFonts w:ascii="Arial" w:cs="Arial" w:eastAsia="Arial" w:hAnsi="Arial"/>
                <w:sz w:val="16"/>
                <w:szCs w:val="16"/>
                <w:b w:val="1"/>
                <w:bCs w:val="1"/>
                <w:color w:val="009BDE"/>
              </w:rPr>
              <w:t>Individual Limit</w:t>
            </w:r>
          </w:p>
        </w:tc>
        <w:tc>
          <w:tcPr>
            <w:tcW w:w="1820" w:type="dxa"/>
            <w:vAlign w:val="bottom"/>
            <w:gridSpan w:val="2"/>
            <w:shd w:val="clear" w:color="auto" w:fill="CCEBF8"/>
          </w:tcPr>
          <w:p>
            <w:pPr>
              <w:ind w:left="460"/>
              <w:spacing w:after="0"/>
              <w:rPr>
                <w:sz w:val="20"/>
                <w:szCs w:val="20"/>
                <w:color w:val="auto"/>
              </w:rPr>
            </w:pPr>
            <w:r>
              <w:rPr>
                <w:rFonts w:ascii="Arial" w:cs="Arial" w:eastAsia="Arial" w:hAnsi="Arial"/>
                <w:sz w:val="16"/>
                <w:szCs w:val="16"/>
                <w:b w:val="1"/>
                <w:bCs w:val="1"/>
                <w:color w:val="009BDE"/>
              </w:rPr>
              <w:t>Aggregate Limit </w:t>
            </w:r>
          </w:p>
        </w:tc>
      </w:tr>
      <w:tr>
        <w:trPr>
          <w:trHeight w:val="114"/>
        </w:trPr>
        <w:tc>
          <w:tcPr>
            <w:tcW w:w="6640" w:type="dxa"/>
            <w:vAlign w:val="bottom"/>
            <w:tcBorders>
              <w:bottom w:val="single" w:sz="8" w:color="009BDE"/>
            </w:tcBorders>
            <w:shd w:val="clear" w:color="auto" w:fill="CCEBF8"/>
          </w:tcPr>
          <w:p>
            <w:pPr>
              <w:spacing w:after="0"/>
              <w:rPr>
                <w:sz w:val="9"/>
                <w:szCs w:val="9"/>
                <w:color w:val="auto"/>
              </w:rPr>
            </w:pPr>
          </w:p>
        </w:tc>
        <w:tc>
          <w:tcPr>
            <w:tcW w:w="1220" w:type="dxa"/>
            <w:vAlign w:val="bottom"/>
            <w:tcBorders>
              <w:bottom w:val="single" w:sz="8" w:color="009BDE"/>
            </w:tcBorders>
            <w:shd w:val="clear" w:color="auto" w:fill="CCEBF8"/>
          </w:tcPr>
          <w:p>
            <w:pPr>
              <w:spacing w:after="0"/>
              <w:rPr>
                <w:sz w:val="9"/>
                <w:szCs w:val="9"/>
                <w:color w:val="auto"/>
              </w:rPr>
            </w:pPr>
          </w:p>
        </w:tc>
        <w:tc>
          <w:tcPr>
            <w:tcW w:w="1240" w:type="dxa"/>
            <w:vAlign w:val="bottom"/>
            <w:tcBorders>
              <w:bottom w:val="single" w:sz="8" w:color="009BDE"/>
            </w:tcBorders>
            <w:shd w:val="clear" w:color="auto" w:fill="CCEBF8"/>
          </w:tcPr>
          <w:p>
            <w:pPr>
              <w:spacing w:after="0"/>
              <w:rPr>
                <w:sz w:val="9"/>
                <w:szCs w:val="9"/>
                <w:color w:val="auto"/>
              </w:rPr>
            </w:pPr>
          </w:p>
        </w:tc>
        <w:tc>
          <w:tcPr>
            <w:tcW w:w="920" w:type="dxa"/>
            <w:vAlign w:val="bottom"/>
            <w:tcBorders>
              <w:bottom w:val="single" w:sz="8" w:color="009BDE"/>
            </w:tcBorders>
            <w:shd w:val="clear" w:color="auto" w:fill="CCEBF8"/>
          </w:tcPr>
          <w:p>
            <w:pPr>
              <w:spacing w:after="0"/>
              <w:rPr>
                <w:sz w:val="9"/>
                <w:szCs w:val="9"/>
                <w:color w:val="auto"/>
              </w:rPr>
            </w:pPr>
          </w:p>
        </w:tc>
        <w:tc>
          <w:tcPr>
            <w:tcW w:w="900" w:type="dxa"/>
            <w:vAlign w:val="bottom"/>
            <w:tcBorders>
              <w:bottom w:val="single" w:sz="8" w:color="009BDE"/>
            </w:tcBorders>
            <w:shd w:val="clear" w:color="auto" w:fill="CCEBF8"/>
          </w:tcPr>
          <w:p>
            <w:pPr>
              <w:spacing w:after="0"/>
              <w:rPr>
                <w:sz w:val="9"/>
                <w:szCs w:val="9"/>
                <w:color w:val="auto"/>
              </w:rPr>
            </w:pPr>
          </w:p>
        </w:tc>
      </w:tr>
      <w:tr>
        <w:trPr>
          <w:trHeight w:val="284"/>
        </w:trPr>
        <w:tc>
          <w:tcPr>
            <w:tcW w:w="6640" w:type="dxa"/>
            <w:vAlign w:val="bottom"/>
          </w:tcPr>
          <w:p>
            <w:pPr>
              <w:ind w:left="80"/>
              <w:spacing w:after="0"/>
              <w:rPr>
                <w:sz w:val="20"/>
                <w:szCs w:val="20"/>
                <w:color w:val="auto"/>
              </w:rPr>
            </w:pPr>
            <w:r>
              <w:rPr>
                <w:rFonts w:ascii="Arial" w:cs="Arial" w:eastAsia="Arial" w:hAnsi="Arial"/>
                <w:sz w:val="16"/>
                <w:szCs w:val="16"/>
                <w:color w:val="auto"/>
              </w:rPr>
              <w:t>Accounting/Reporting Advice</w:t>
            </w:r>
          </w:p>
        </w:tc>
        <w:tc>
          <w:tcPr>
            <w:tcW w:w="1220" w:type="dxa"/>
            <w:vAlign w:val="bottom"/>
          </w:tcPr>
          <w:p>
            <w:pPr>
              <w:ind w:left="8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60"/>
              <w:spacing w:after="0"/>
              <w:rPr>
                <w:sz w:val="20"/>
                <w:szCs w:val="20"/>
                <w:color w:val="auto"/>
              </w:rPr>
            </w:pPr>
            <w:r>
              <w:rPr>
                <w:rFonts w:ascii="Arial" w:cs="Arial" w:eastAsia="Arial" w:hAnsi="Arial"/>
                <w:sz w:val="16"/>
                <w:szCs w:val="16"/>
                <w:color w:val="auto"/>
              </w:rPr>
              <w:t>5,000</w:t>
            </w:r>
          </w:p>
        </w:tc>
        <w:tc>
          <w:tcPr>
            <w:tcW w:w="920" w:type="dxa"/>
            <w:vAlign w:val="bottom"/>
          </w:tcPr>
          <w:p>
            <w:pPr>
              <w:ind w:left="4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97"/>
        </w:trPr>
        <w:tc>
          <w:tcPr>
            <w:tcW w:w="664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r>
      <w:tr>
        <w:trPr>
          <w:trHeight w:val="284"/>
        </w:trPr>
        <w:tc>
          <w:tcPr>
            <w:tcW w:w="6640" w:type="dxa"/>
            <w:vAlign w:val="bottom"/>
          </w:tcPr>
          <w:p>
            <w:pPr>
              <w:ind w:left="80"/>
              <w:spacing w:after="0"/>
              <w:rPr>
                <w:sz w:val="20"/>
                <w:szCs w:val="20"/>
                <w:color w:val="auto"/>
              </w:rPr>
            </w:pPr>
            <w:r>
              <w:rPr>
                <w:rFonts w:ascii="Arial" w:cs="Arial" w:eastAsia="Arial" w:hAnsi="Arial"/>
                <w:sz w:val="16"/>
                <w:szCs w:val="16"/>
                <w:color w:val="auto"/>
              </w:rPr>
              <w:t>Other Audit-related services</w:t>
            </w:r>
          </w:p>
        </w:tc>
        <w:tc>
          <w:tcPr>
            <w:tcW w:w="1220" w:type="dxa"/>
            <w:vAlign w:val="bottom"/>
          </w:tcPr>
          <w:p>
            <w:pPr>
              <w:ind w:left="8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60"/>
              <w:spacing w:after="0"/>
              <w:rPr>
                <w:sz w:val="20"/>
                <w:szCs w:val="20"/>
                <w:color w:val="auto"/>
              </w:rPr>
            </w:pPr>
            <w:r>
              <w:rPr>
                <w:rFonts w:ascii="Arial" w:cs="Arial" w:eastAsia="Arial" w:hAnsi="Arial"/>
                <w:sz w:val="16"/>
                <w:szCs w:val="16"/>
                <w:color w:val="auto"/>
              </w:rPr>
              <w:t>5,000</w:t>
            </w:r>
          </w:p>
        </w:tc>
        <w:tc>
          <w:tcPr>
            <w:tcW w:w="920" w:type="dxa"/>
            <w:vAlign w:val="bottom"/>
          </w:tcPr>
          <w:p>
            <w:pPr>
              <w:ind w:left="4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97"/>
        </w:trPr>
        <w:tc>
          <w:tcPr>
            <w:tcW w:w="664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r>
      <w:tr>
        <w:trPr>
          <w:trHeight w:val="284"/>
        </w:trPr>
        <w:tc>
          <w:tcPr>
            <w:tcW w:w="6640" w:type="dxa"/>
            <w:vAlign w:val="bottom"/>
          </w:tcPr>
          <w:p>
            <w:pPr>
              <w:ind w:left="80"/>
              <w:spacing w:after="0"/>
              <w:rPr>
                <w:sz w:val="20"/>
                <w:szCs w:val="20"/>
                <w:color w:val="auto"/>
              </w:rPr>
            </w:pPr>
            <w:r>
              <w:rPr>
                <w:rFonts w:ascii="Arial" w:cs="Arial" w:eastAsia="Arial" w:hAnsi="Arial"/>
                <w:sz w:val="16"/>
                <w:szCs w:val="16"/>
                <w:color w:val="auto"/>
              </w:rPr>
              <w:t>Tax Compliance</w:t>
            </w:r>
          </w:p>
        </w:tc>
        <w:tc>
          <w:tcPr>
            <w:tcW w:w="1220" w:type="dxa"/>
            <w:vAlign w:val="bottom"/>
          </w:tcPr>
          <w:p>
            <w:pPr>
              <w:ind w:left="8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60"/>
              <w:spacing w:after="0"/>
              <w:rPr>
                <w:sz w:val="20"/>
                <w:szCs w:val="20"/>
                <w:color w:val="auto"/>
              </w:rPr>
            </w:pPr>
            <w:r>
              <w:rPr>
                <w:rFonts w:ascii="Arial" w:cs="Arial" w:eastAsia="Arial" w:hAnsi="Arial"/>
                <w:sz w:val="16"/>
                <w:szCs w:val="16"/>
                <w:color w:val="auto"/>
              </w:rPr>
              <w:t>20,000</w:t>
            </w:r>
          </w:p>
        </w:tc>
        <w:tc>
          <w:tcPr>
            <w:tcW w:w="920" w:type="dxa"/>
            <w:vAlign w:val="bottom"/>
          </w:tcPr>
          <w:p>
            <w:pPr>
              <w:ind w:left="4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97"/>
        </w:trPr>
        <w:tc>
          <w:tcPr>
            <w:tcW w:w="664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r>
      <w:tr>
        <w:trPr>
          <w:trHeight w:val="284"/>
        </w:trPr>
        <w:tc>
          <w:tcPr>
            <w:tcW w:w="6640" w:type="dxa"/>
            <w:vAlign w:val="bottom"/>
          </w:tcPr>
          <w:p>
            <w:pPr>
              <w:ind w:left="80"/>
              <w:spacing w:after="0"/>
              <w:rPr>
                <w:sz w:val="20"/>
                <w:szCs w:val="20"/>
                <w:color w:val="auto"/>
              </w:rPr>
            </w:pPr>
            <w:r>
              <w:rPr>
                <w:rFonts w:ascii="Arial" w:cs="Arial" w:eastAsia="Arial" w:hAnsi="Arial"/>
                <w:sz w:val="16"/>
                <w:szCs w:val="16"/>
                <w:color w:val="auto"/>
              </w:rPr>
              <w:t>Tax Advice</w:t>
            </w:r>
          </w:p>
        </w:tc>
        <w:tc>
          <w:tcPr>
            <w:tcW w:w="1220" w:type="dxa"/>
            <w:vAlign w:val="bottom"/>
          </w:tcPr>
          <w:p>
            <w:pPr>
              <w:ind w:left="8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60"/>
              <w:spacing w:after="0"/>
              <w:rPr>
                <w:sz w:val="20"/>
                <w:szCs w:val="20"/>
                <w:color w:val="auto"/>
              </w:rPr>
            </w:pPr>
            <w:r>
              <w:rPr>
                <w:rFonts w:ascii="Arial" w:cs="Arial" w:eastAsia="Arial" w:hAnsi="Arial"/>
                <w:sz w:val="16"/>
                <w:szCs w:val="16"/>
                <w:color w:val="auto"/>
              </w:rPr>
              <w:t>25,000</w:t>
            </w:r>
          </w:p>
        </w:tc>
        <w:tc>
          <w:tcPr>
            <w:tcW w:w="920" w:type="dxa"/>
            <w:vAlign w:val="bottom"/>
          </w:tcPr>
          <w:p>
            <w:pPr>
              <w:ind w:left="4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97"/>
        </w:trPr>
        <w:tc>
          <w:tcPr>
            <w:tcW w:w="664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r>
      <w:tr>
        <w:trPr>
          <w:trHeight w:val="284"/>
        </w:trPr>
        <w:tc>
          <w:tcPr>
            <w:tcW w:w="6640" w:type="dxa"/>
            <w:vAlign w:val="bottom"/>
          </w:tcPr>
          <w:p>
            <w:pPr>
              <w:ind w:left="80"/>
              <w:spacing w:after="0"/>
              <w:rPr>
                <w:sz w:val="20"/>
                <w:szCs w:val="20"/>
                <w:color w:val="auto"/>
              </w:rPr>
            </w:pPr>
            <w:r>
              <w:rPr>
                <w:rFonts w:ascii="Arial" w:cs="Arial" w:eastAsia="Arial" w:hAnsi="Arial"/>
                <w:sz w:val="16"/>
                <w:szCs w:val="16"/>
                <w:color w:val="auto"/>
              </w:rPr>
              <w:t>Customs and VAT</w:t>
            </w:r>
          </w:p>
        </w:tc>
        <w:tc>
          <w:tcPr>
            <w:tcW w:w="1220" w:type="dxa"/>
            <w:vAlign w:val="bottom"/>
          </w:tcPr>
          <w:p>
            <w:pPr>
              <w:ind w:left="8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60"/>
              <w:spacing w:after="0"/>
              <w:rPr>
                <w:sz w:val="20"/>
                <w:szCs w:val="20"/>
                <w:color w:val="auto"/>
              </w:rPr>
            </w:pPr>
            <w:r>
              <w:rPr>
                <w:rFonts w:ascii="Arial" w:cs="Arial" w:eastAsia="Arial" w:hAnsi="Arial"/>
                <w:sz w:val="16"/>
                <w:szCs w:val="16"/>
                <w:color w:val="auto"/>
              </w:rPr>
              <w:t>10,000</w:t>
            </w:r>
          </w:p>
        </w:tc>
        <w:tc>
          <w:tcPr>
            <w:tcW w:w="920" w:type="dxa"/>
            <w:vAlign w:val="bottom"/>
          </w:tcPr>
          <w:p>
            <w:pPr>
              <w:ind w:left="4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97"/>
        </w:trPr>
        <w:tc>
          <w:tcPr>
            <w:tcW w:w="664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r>
    </w:tbl>
    <w:p>
      <w:pPr>
        <w:spacing w:after="0" w:line="120"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auto"/>
        </w:rPr>
        <w:t>For additional projects that do not fall within the policies and procedures limits set forth above, those projects can be specifically pre-approved by the Audit Committee in the following manner. For individual projects with estimated fees of $75,000 or less which have not previously been pre-approved by the Audit Committee, the Chair of the Audit Committee is authorized to pre-approve such services. KPMG reports any services which are pre-approved in this manner to the full Audit Committee at its next meeting. Any proposed additional projects with an estimated cost of more than $75,000 must be pre-approved by the full Audit Committee prior to the engagement of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233680</wp:posOffset>
            </wp:positionV>
            <wp:extent cx="6964045" cy="39052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  65</w:t>
      </w:r>
    </w:p>
    <w:p>
      <w:pPr>
        <w:sectPr>
          <w:pgSz w:w="11900" w:h="16838" w:orient="portrait"/>
          <w:cols w:equalWidth="0" w:num="1">
            <w:col w:w="11080"/>
          </w:cols>
          <w:pgMar w:left="320" w:top="478"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Voting Securities and Principal Holders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Security Ownership of Certain Beneficial Owners</w:t>
      </w:r>
    </w:p>
    <w:p>
      <w:pPr>
        <w:spacing w:after="0" w:line="148"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auto"/>
        </w:rPr>
        <w:t>The following table sets forth information, as of March 31, 2026 (except as noted), with respect to the ownership of the Common Stock (the only class of outstanding equity securities of the Company) by certain persons known by the Company to be the beneficial owners of more than 5% of such stock. There were 141,576,068 shares of Common Stock outstanding on March 31, 2026.</w:t>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7020" w:type="dxa"/>
            <w:vAlign w:val="bottom"/>
            <w:shd w:val="clear" w:color="auto" w:fill="CCEBF8"/>
          </w:tcPr>
          <w:p>
            <w:pPr>
              <w:spacing w:after="0"/>
              <w:rPr>
                <w:sz w:val="20"/>
                <w:szCs w:val="20"/>
                <w:color w:val="auto"/>
              </w:rPr>
            </w:pPr>
          </w:p>
        </w:tc>
        <w:tc>
          <w:tcPr>
            <w:tcW w:w="2640" w:type="dxa"/>
            <w:vAlign w:val="bottom"/>
            <w:shd w:val="clear" w:color="auto" w:fill="CCEBF8"/>
          </w:tcPr>
          <w:p>
            <w:pPr>
              <w:jc w:val="center"/>
              <w:ind w:left="260"/>
              <w:spacing w:after="0"/>
              <w:rPr>
                <w:sz w:val="20"/>
                <w:szCs w:val="20"/>
                <w:color w:val="auto"/>
              </w:rPr>
            </w:pPr>
            <w:r>
              <w:rPr>
                <w:rFonts w:ascii="Arial" w:cs="Arial" w:eastAsia="Arial" w:hAnsi="Arial"/>
                <w:sz w:val="16"/>
                <w:szCs w:val="16"/>
                <w:b w:val="1"/>
                <w:bCs w:val="1"/>
                <w:color w:val="009BDE"/>
              </w:rPr>
              <w:t>Amount and Nature</w:t>
            </w:r>
          </w:p>
        </w:tc>
        <w:tc>
          <w:tcPr>
            <w:tcW w:w="1260" w:type="dxa"/>
            <w:vAlign w:val="bottom"/>
            <w:shd w:val="clear" w:color="auto" w:fill="CCEBF8"/>
          </w:tcPr>
          <w:p>
            <w:pPr>
              <w:spacing w:after="0"/>
              <w:rPr>
                <w:sz w:val="20"/>
                <w:szCs w:val="20"/>
                <w:color w:val="auto"/>
              </w:rPr>
            </w:pPr>
          </w:p>
        </w:tc>
      </w:tr>
      <w:tr>
        <w:trPr>
          <w:trHeight w:val="187"/>
        </w:trPr>
        <w:tc>
          <w:tcPr>
            <w:tcW w:w="7020" w:type="dxa"/>
            <w:vAlign w:val="bottom"/>
            <w:shd w:val="clear" w:color="auto" w:fill="CCEBF8"/>
          </w:tcPr>
          <w:p>
            <w:pPr>
              <w:spacing w:after="0"/>
              <w:rPr>
                <w:sz w:val="16"/>
                <w:szCs w:val="16"/>
                <w:color w:val="auto"/>
              </w:rPr>
            </w:pPr>
          </w:p>
        </w:tc>
        <w:tc>
          <w:tcPr>
            <w:tcW w:w="2640" w:type="dxa"/>
            <w:vAlign w:val="bottom"/>
            <w:shd w:val="clear" w:color="auto" w:fill="CCEBF8"/>
          </w:tcPr>
          <w:p>
            <w:pPr>
              <w:jc w:val="center"/>
              <w:ind w:left="280"/>
              <w:spacing w:after="0"/>
              <w:rPr>
                <w:sz w:val="20"/>
                <w:szCs w:val="20"/>
                <w:color w:val="auto"/>
              </w:rPr>
            </w:pPr>
            <w:r>
              <w:rPr>
                <w:rFonts w:ascii="Arial" w:cs="Arial" w:eastAsia="Arial" w:hAnsi="Arial"/>
                <w:sz w:val="16"/>
                <w:szCs w:val="16"/>
                <w:b w:val="1"/>
                <w:bCs w:val="1"/>
                <w:color w:val="009BDE"/>
              </w:rPr>
              <w:t>of Beneficial</w:t>
            </w:r>
          </w:p>
        </w:tc>
        <w:tc>
          <w:tcPr>
            <w:tcW w:w="1260" w:type="dxa"/>
            <w:vAlign w:val="bottom"/>
            <w:shd w:val="clear" w:color="auto" w:fill="CCEBF8"/>
          </w:tcPr>
          <w:p>
            <w:pPr>
              <w:jc w:val="center"/>
              <w:ind w:left="240"/>
              <w:spacing w:after="0"/>
              <w:rPr>
                <w:sz w:val="20"/>
                <w:szCs w:val="20"/>
                <w:color w:val="auto"/>
              </w:rPr>
            </w:pPr>
            <w:r>
              <w:rPr>
                <w:rFonts w:ascii="Arial" w:cs="Arial" w:eastAsia="Arial" w:hAnsi="Arial"/>
                <w:sz w:val="16"/>
                <w:szCs w:val="16"/>
                <w:b w:val="1"/>
                <w:bCs w:val="1"/>
                <w:color w:val="009BDE"/>
                <w:w w:val="99"/>
              </w:rPr>
              <w:t>Percent of</w:t>
            </w:r>
          </w:p>
        </w:tc>
      </w:tr>
      <w:tr>
        <w:trPr>
          <w:trHeight w:val="235"/>
        </w:trPr>
        <w:tc>
          <w:tcPr>
            <w:tcW w:w="7020" w:type="dxa"/>
            <w:vAlign w:val="bottom"/>
            <w:shd w:val="clear" w:color="auto" w:fill="CCEBF8"/>
          </w:tcPr>
          <w:p>
            <w:pPr>
              <w:spacing w:after="0"/>
              <w:rPr>
                <w:sz w:val="20"/>
                <w:szCs w:val="20"/>
                <w:color w:val="auto"/>
              </w:rPr>
            </w:pPr>
            <w:r>
              <w:rPr>
                <w:rFonts w:ascii="Arial" w:cs="Arial" w:eastAsia="Arial" w:hAnsi="Arial"/>
                <w:sz w:val="16"/>
                <w:szCs w:val="16"/>
                <w:b w:val="1"/>
                <w:bCs w:val="1"/>
                <w:color w:val="009BDE"/>
              </w:rPr>
              <w:t>  Name and Address of Beneficial Owner(1)</w:t>
            </w:r>
          </w:p>
        </w:tc>
        <w:tc>
          <w:tcPr>
            <w:tcW w:w="2640" w:type="dxa"/>
            <w:vAlign w:val="bottom"/>
            <w:shd w:val="clear" w:color="auto" w:fill="CCEBF8"/>
          </w:tcPr>
          <w:p>
            <w:pPr>
              <w:jc w:val="center"/>
              <w:ind w:left="260"/>
              <w:spacing w:after="0"/>
              <w:rPr>
                <w:sz w:val="20"/>
                <w:szCs w:val="20"/>
                <w:color w:val="auto"/>
              </w:rPr>
            </w:pPr>
            <w:r>
              <w:rPr>
                <w:rFonts w:ascii="Arial" w:cs="Arial" w:eastAsia="Arial" w:hAnsi="Arial"/>
                <w:sz w:val="16"/>
                <w:szCs w:val="16"/>
                <w:b w:val="1"/>
                <w:bCs w:val="1"/>
                <w:color w:val="009BDE"/>
                <w:w w:val="99"/>
              </w:rPr>
              <w:t>Ownership</w:t>
            </w:r>
          </w:p>
        </w:tc>
        <w:tc>
          <w:tcPr>
            <w:tcW w:w="1260" w:type="dxa"/>
            <w:vAlign w:val="bottom"/>
            <w:shd w:val="clear" w:color="auto" w:fill="CCEBF8"/>
          </w:tcPr>
          <w:p>
            <w:pPr>
              <w:jc w:val="center"/>
              <w:ind w:left="240"/>
              <w:spacing w:after="0"/>
              <w:rPr>
                <w:sz w:val="20"/>
                <w:szCs w:val="20"/>
                <w:color w:val="auto"/>
              </w:rPr>
            </w:pPr>
            <w:r>
              <w:rPr>
                <w:rFonts w:ascii="Arial" w:cs="Arial" w:eastAsia="Arial" w:hAnsi="Arial"/>
                <w:sz w:val="16"/>
                <w:szCs w:val="16"/>
                <w:b w:val="1"/>
                <w:bCs w:val="1"/>
                <w:color w:val="009BDE"/>
                <w:w w:val="98"/>
              </w:rPr>
              <w:t>Class</w:t>
            </w:r>
          </w:p>
        </w:tc>
      </w:tr>
      <w:tr>
        <w:trPr>
          <w:trHeight w:val="114"/>
        </w:trPr>
        <w:tc>
          <w:tcPr>
            <w:tcW w:w="7020" w:type="dxa"/>
            <w:vAlign w:val="bottom"/>
            <w:tcBorders>
              <w:bottom w:val="single" w:sz="8" w:color="009BDE"/>
            </w:tcBorders>
            <w:shd w:val="clear" w:color="auto" w:fill="CCEBF8"/>
          </w:tcPr>
          <w:p>
            <w:pPr>
              <w:spacing w:after="0"/>
              <w:rPr>
                <w:sz w:val="9"/>
                <w:szCs w:val="9"/>
                <w:color w:val="auto"/>
              </w:rPr>
            </w:pPr>
          </w:p>
        </w:tc>
        <w:tc>
          <w:tcPr>
            <w:tcW w:w="2640" w:type="dxa"/>
            <w:vAlign w:val="bottom"/>
            <w:tcBorders>
              <w:bottom w:val="single" w:sz="8" w:color="009BDE"/>
            </w:tcBorders>
            <w:shd w:val="clear" w:color="auto" w:fill="CCEBF8"/>
          </w:tcPr>
          <w:p>
            <w:pPr>
              <w:spacing w:after="0"/>
              <w:rPr>
                <w:sz w:val="9"/>
                <w:szCs w:val="9"/>
                <w:color w:val="auto"/>
              </w:rPr>
            </w:pPr>
          </w:p>
        </w:tc>
        <w:tc>
          <w:tcPr>
            <w:tcW w:w="1260" w:type="dxa"/>
            <w:vAlign w:val="bottom"/>
            <w:tcBorders>
              <w:bottom w:val="single" w:sz="8" w:color="009BDE"/>
            </w:tcBorders>
            <w:shd w:val="clear" w:color="auto" w:fill="CCEBF8"/>
          </w:tcPr>
          <w:p>
            <w:pPr>
              <w:spacing w:after="0"/>
              <w:rPr>
                <w:sz w:val="9"/>
                <w:szCs w:val="9"/>
                <w:color w:val="auto"/>
              </w:rPr>
            </w:pPr>
          </w:p>
        </w:tc>
      </w:tr>
      <w:tr>
        <w:trPr>
          <w:trHeight w:val="260"/>
        </w:trPr>
        <w:tc>
          <w:tcPr>
            <w:tcW w:w="7020" w:type="dxa"/>
            <w:vAlign w:val="bottom"/>
          </w:tcPr>
          <w:p>
            <w:pPr>
              <w:ind w:left="80"/>
              <w:spacing w:after="0"/>
              <w:rPr>
                <w:sz w:val="20"/>
                <w:szCs w:val="20"/>
                <w:color w:val="auto"/>
              </w:rPr>
            </w:pPr>
            <w:r>
              <w:rPr>
                <w:rFonts w:ascii="Arial" w:cs="Arial" w:eastAsia="Arial" w:hAnsi="Arial"/>
                <w:sz w:val="16"/>
                <w:szCs w:val="16"/>
                <w:color w:val="auto"/>
              </w:rPr>
              <w:t>BlackRock Portfolio Management LLC (“BlackRock”)(2)</w:t>
            </w:r>
          </w:p>
        </w:tc>
        <w:tc>
          <w:tcPr>
            <w:tcW w:w="2640" w:type="dxa"/>
            <w:vAlign w:val="bottom"/>
          </w:tcPr>
          <w:p>
            <w:pPr>
              <w:ind w:left="1280"/>
              <w:spacing w:after="0"/>
              <w:rPr>
                <w:sz w:val="20"/>
                <w:szCs w:val="20"/>
                <w:color w:val="auto"/>
              </w:rPr>
            </w:pPr>
            <w:r>
              <w:rPr>
                <w:rFonts w:ascii="Arial" w:cs="Arial" w:eastAsia="Arial" w:hAnsi="Arial"/>
                <w:sz w:val="16"/>
                <w:szCs w:val="16"/>
                <w:color w:val="auto"/>
              </w:rPr>
              <w:t>16,215,929 </w:t>
            </w: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11.6%</w:t>
            </w:r>
          </w:p>
        </w:tc>
      </w:tr>
      <w:tr>
        <w:trPr>
          <w:trHeight w:val="187"/>
        </w:trPr>
        <w:tc>
          <w:tcPr>
            <w:tcW w:w="7020" w:type="dxa"/>
            <w:vAlign w:val="bottom"/>
          </w:tcPr>
          <w:p>
            <w:pPr>
              <w:ind w:left="80"/>
              <w:spacing w:after="0"/>
              <w:rPr>
                <w:sz w:val="20"/>
                <w:szCs w:val="20"/>
                <w:color w:val="auto"/>
              </w:rPr>
            </w:pPr>
            <w:r>
              <w:rPr>
                <w:rFonts w:ascii="Arial" w:cs="Arial" w:eastAsia="Arial" w:hAnsi="Arial"/>
                <w:sz w:val="16"/>
                <w:szCs w:val="16"/>
                <w:color w:val="auto"/>
              </w:rPr>
              <w:t>50 Hudson Yards</w:t>
            </w:r>
          </w:p>
        </w:tc>
        <w:tc>
          <w:tcPr>
            <w:tcW w:w="26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1"/>
        </w:trPr>
        <w:tc>
          <w:tcPr>
            <w:tcW w:w="7020" w:type="dxa"/>
            <w:vAlign w:val="bottom"/>
          </w:tcPr>
          <w:p>
            <w:pPr>
              <w:ind w:left="80"/>
              <w:spacing w:after="0"/>
              <w:rPr>
                <w:sz w:val="20"/>
                <w:szCs w:val="20"/>
                <w:color w:val="auto"/>
              </w:rPr>
            </w:pPr>
            <w:r>
              <w:rPr>
                <w:rFonts w:ascii="Arial" w:cs="Arial" w:eastAsia="Arial" w:hAnsi="Arial"/>
                <w:sz w:val="16"/>
                <w:szCs w:val="16"/>
                <w:color w:val="auto"/>
              </w:rPr>
              <w:t>New York, New York 10001</w:t>
            </w:r>
          </w:p>
        </w:tc>
        <w:tc>
          <w:tcPr>
            <w:tcW w:w="264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5" w:lineRule="exact"/>
        <w:rPr>
          <w:sz w:val="20"/>
          <w:szCs w:val="20"/>
          <w:color w:val="auto"/>
        </w:rPr>
      </w:pPr>
    </w:p>
    <w:p>
      <w:pPr>
        <w:ind w:left="600" w:right="100" w:hanging="433"/>
        <w:spacing w:after="0" w:line="244"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Vanguard Group, Inc. (“Vanguard”) previously reported on Amendment No. 12 to its Schedule 13G filing with the Securities and Exchange Commission filed February 13, 2024, its ownership as of December 29, 2023, which included sole voting power over 0 shares, sole dispositive power over 15,192,474 shares, shared voting power over 164,428 shares, and shared dispositive power over 570,725 shares, collectively representing approximately 10.7% of our outstanding shares as of March 31, 2026.</w:t>
      </w:r>
    </w:p>
    <w:p>
      <w:pPr>
        <w:spacing w:after="0" w:line="1" w:lineRule="exact"/>
        <w:rPr>
          <w:sz w:val="20"/>
          <w:szCs w:val="20"/>
          <w:color w:val="auto"/>
        </w:rPr>
      </w:pPr>
    </w:p>
    <w:p>
      <w:pPr>
        <w:ind w:left="600" w:right="40" w:hanging="433"/>
        <w:spacing w:after="0" w:line="239" w:lineRule="auto"/>
        <w:tabs>
          <w:tab w:leader="none" w:pos="6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Based on Amendment No. 13 to the Schedule 13G filed by Vanguard on March 27, 2026, we understand that Vanguard went through an internal realignment on January 12, 2026, and, in accordance with SEC Release No. 34-39538 (January 12, 1998), certain subsidiaries or business divisions of subsidiaries of Vanguard, that</w:t>
      </w:r>
    </w:p>
    <w:p>
      <w:pPr>
        <w:ind w:left="600" w:right="200"/>
        <w:spacing w:after="0" w:line="239" w:lineRule="auto"/>
        <w:rPr>
          <w:sz w:val="20"/>
          <w:szCs w:val="20"/>
          <w:color w:val="auto"/>
        </w:rPr>
      </w:pPr>
      <w:r>
        <w:rPr>
          <w:rFonts w:ascii="Arial" w:cs="Arial" w:eastAsia="Arial" w:hAnsi="Arial"/>
          <w:sz w:val="14"/>
          <w:szCs w:val="14"/>
          <w:color w:val="auto"/>
        </w:rPr>
        <w:t>formerly had, or were deemed to have, beneficial ownership with Vanguard, will report beneficial ownership separately (on a disaggregated basis) from Vanguard in reliance on such release. These subsidiaries and/or business divisions pursue the same investment strategies as previously pursued by Vanguard prior to the realignment. Further, in accordance with SEC Release No. 34-39538 (January 12, 1998), Vanguard no longer has, or is deemed to have, beneficial ownership over securities beneficially owned by such subsidiaries and/ or business divisions. Accordingly, we have removed Vanguard from the foregoing table.</w:t>
      </w:r>
    </w:p>
    <w:p>
      <w:pPr>
        <w:spacing w:after="0" w:line="1" w:lineRule="exact"/>
        <w:rPr>
          <w:sz w:val="20"/>
          <w:szCs w:val="20"/>
          <w:color w:val="auto"/>
        </w:rPr>
      </w:pPr>
    </w:p>
    <w:p>
      <w:pPr>
        <w:ind w:left="600" w:right="100" w:hanging="433"/>
        <w:spacing w:after="0" w:line="249" w:lineRule="auto"/>
        <w:tabs>
          <w:tab w:leader="none" w:pos="6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BlackRock has sole power to vote or to direct the vote of 15,471,602, shares and sole power to dispose or direct the disposition of all 16,215,929 shares. This information is based solely upon a review of the Schedule 13G reports or related amendments filed with the SEC with respect to holdings of the Company’s Common Stock as of August 29, 2025.</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Ownership of Management</w:t>
      </w:r>
    </w:p>
    <w:p>
      <w:pPr>
        <w:spacing w:after="0" w:line="148" w:lineRule="exact"/>
        <w:rPr>
          <w:sz w:val="20"/>
          <w:szCs w:val="20"/>
          <w:color w:val="auto"/>
        </w:rPr>
      </w:pPr>
    </w:p>
    <w:p>
      <w:pPr>
        <w:jc w:val="both"/>
        <w:ind w:left="160" w:right="80"/>
        <w:spacing w:after="0" w:line="256" w:lineRule="auto"/>
        <w:rPr>
          <w:sz w:val="20"/>
          <w:szCs w:val="20"/>
          <w:color w:val="auto"/>
        </w:rPr>
      </w:pPr>
      <w:r>
        <w:rPr>
          <w:rFonts w:ascii="Arial" w:cs="Arial" w:eastAsia="Arial" w:hAnsi="Arial"/>
          <w:sz w:val="16"/>
          <w:szCs w:val="16"/>
          <w:color w:val="auto"/>
        </w:rPr>
        <w:t>The following table sets forth information, as of March 31, 2026, with respect to the ownership of the Common Stock (the only class of outstanding equity securities of the Company) by each current director of the Company or nominee proposed by the Board for election to the Board, each Named Executive Officer and by all directors and executive officers as a group. Unless otherwise indicated, each person has sole voting and dispositive power with respect to such shares.</w:t>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7340" w:type="dxa"/>
            <w:vAlign w:val="bottom"/>
            <w:shd w:val="clear" w:color="auto" w:fill="CCEBF8"/>
          </w:tcPr>
          <w:p>
            <w:pPr>
              <w:spacing w:after="0"/>
              <w:rPr>
                <w:sz w:val="20"/>
                <w:szCs w:val="20"/>
                <w:color w:val="auto"/>
              </w:rPr>
            </w:pPr>
          </w:p>
        </w:tc>
        <w:tc>
          <w:tcPr>
            <w:tcW w:w="2220" w:type="dxa"/>
            <w:vAlign w:val="bottom"/>
            <w:shd w:val="clear" w:color="auto" w:fill="CCEBF8"/>
          </w:tcPr>
          <w:p>
            <w:pPr>
              <w:jc w:val="center"/>
              <w:ind w:left="220"/>
              <w:spacing w:after="0"/>
              <w:rPr>
                <w:sz w:val="20"/>
                <w:szCs w:val="20"/>
                <w:color w:val="auto"/>
              </w:rPr>
            </w:pPr>
            <w:r>
              <w:rPr>
                <w:rFonts w:ascii="Arial" w:cs="Arial" w:eastAsia="Arial" w:hAnsi="Arial"/>
                <w:sz w:val="16"/>
                <w:szCs w:val="16"/>
                <w:b w:val="1"/>
                <w:bCs w:val="1"/>
                <w:color w:val="009BDE"/>
                <w:w w:val="98"/>
              </w:rPr>
              <w:t>Amount and</w:t>
            </w:r>
          </w:p>
        </w:tc>
        <w:tc>
          <w:tcPr>
            <w:tcW w:w="1360" w:type="dxa"/>
            <w:vAlign w:val="bottom"/>
            <w:shd w:val="clear" w:color="auto" w:fill="CCEBF8"/>
          </w:tcPr>
          <w:p>
            <w:pPr>
              <w:spacing w:after="0"/>
              <w:rPr>
                <w:sz w:val="20"/>
                <w:szCs w:val="20"/>
                <w:color w:val="auto"/>
              </w:rPr>
            </w:pPr>
          </w:p>
        </w:tc>
      </w:tr>
      <w:tr>
        <w:trPr>
          <w:trHeight w:val="187"/>
        </w:trPr>
        <w:tc>
          <w:tcPr>
            <w:tcW w:w="7340" w:type="dxa"/>
            <w:vAlign w:val="bottom"/>
            <w:shd w:val="clear" w:color="auto" w:fill="CCEBF8"/>
          </w:tcPr>
          <w:p>
            <w:pPr>
              <w:spacing w:after="0"/>
              <w:rPr>
                <w:sz w:val="16"/>
                <w:szCs w:val="16"/>
                <w:color w:val="auto"/>
              </w:rPr>
            </w:pPr>
          </w:p>
        </w:tc>
        <w:tc>
          <w:tcPr>
            <w:tcW w:w="2220" w:type="dxa"/>
            <w:vAlign w:val="bottom"/>
            <w:shd w:val="clear" w:color="auto" w:fill="CCEBF8"/>
          </w:tcPr>
          <w:p>
            <w:pPr>
              <w:jc w:val="center"/>
              <w:ind w:left="220"/>
              <w:spacing w:after="0"/>
              <w:rPr>
                <w:sz w:val="20"/>
                <w:szCs w:val="20"/>
                <w:color w:val="auto"/>
              </w:rPr>
            </w:pPr>
            <w:r>
              <w:rPr>
                <w:rFonts w:ascii="Arial" w:cs="Arial" w:eastAsia="Arial" w:hAnsi="Arial"/>
                <w:sz w:val="16"/>
                <w:szCs w:val="16"/>
                <w:b w:val="1"/>
                <w:bCs w:val="1"/>
                <w:color w:val="009BDE"/>
              </w:rPr>
              <w:t>Nature of</w:t>
            </w:r>
          </w:p>
        </w:tc>
        <w:tc>
          <w:tcPr>
            <w:tcW w:w="1360" w:type="dxa"/>
            <w:vAlign w:val="bottom"/>
            <w:shd w:val="clear" w:color="auto" w:fill="CCEBF8"/>
          </w:tcPr>
          <w:p>
            <w:pPr>
              <w:spacing w:after="0"/>
              <w:rPr>
                <w:sz w:val="16"/>
                <w:szCs w:val="16"/>
                <w:color w:val="auto"/>
              </w:rPr>
            </w:pPr>
          </w:p>
        </w:tc>
      </w:tr>
      <w:tr>
        <w:trPr>
          <w:trHeight w:val="187"/>
        </w:trPr>
        <w:tc>
          <w:tcPr>
            <w:tcW w:w="7340" w:type="dxa"/>
            <w:vAlign w:val="bottom"/>
            <w:shd w:val="clear" w:color="auto" w:fill="CCEBF8"/>
          </w:tcPr>
          <w:p>
            <w:pPr>
              <w:spacing w:after="0"/>
              <w:rPr>
                <w:sz w:val="16"/>
                <w:szCs w:val="16"/>
                <w:color w:val="auto"/>
              </w:rPr>
            </w:pPr>
          </w:p>
        </w:tc>
        <w:tc>
          <w:tcPr>
            <w:tcW w:w="2220" w:type="dxa"/>
            <w:vAlign w:val="bottom"/>
            <w:shd w:val="clear" w:color="auto" w:fill="CCEBF8"/>
          </w:tcPr>
          <w:p>
            <w:pPr>
              <w:jc w:val="center"/>
              <w:ind w:left="220"/>
              <w:spacing w:after="0"/>
              <w:rPr>
                <w:sz w:val="20"/>
                <w:szCs w:val="20"/>
                <w:color w:val="auto"/>
              </w:rPr>
            </w:pPr>
            <w:r>
              <w:rPr>
                <w:rFonts w:ascii="Arial" w:cs="Arial" w:eastAsia="Arial" w:hAnsi="Arial"/>
                <w:sz w:val="16"/>
                <w:szCs w:val="16"/>
                <w:b w:val="1"/>
                <w:bCs w:val="1"/>
                <w:color w:val="009BDE"/>
              </w:rPr>
              <w:t>Beneficial</w:t>
            </w:r>
          </w:p>
        </w:tc>
        <w:tc>
          <w:tcPr>
            <w:tcW w:w="1360" w:type="dxa"/>
            <w:vAlign w:val="bottom"/>
            <w:shd w:val="clear" w:color="auto" w:fill="CCEBF8"/>
          </w:tcPr>
          <w:p>
            <w:pPr>
              <w:jc w:val="right"/>
              <w:ind w:right="160"/>
              <w:spacing w:after="0"/>
              <w:rPr>
                <w:sz w:val="20"/>
                <w:szCs w:val="20"/>
                <w:color w:val="auto"/>
              </w:rPr>
            </w:pPr>
            <w:r>
              <w:rPr>
                <w:rFonts w:ascii="Arial" w:cs="Arial" w:eastAsia="Arial" w:hAnsi="Arial"/>
                <w:sz w:val="16"/>
                <w:szCs w:val="16"/>
                <w:b w:val="1"/>
                <w:bCs w:val="1"/>
                <w:color w:val="009BDE"/>
              </w:rPr>
              <w:t>Percent</w:t>
            </w:r>
          </w:p>
        </w:tc>
      </w:tr>
      <w:tr>
        <w:trPr>
          <w:trHeight w:val="235"/>
        </w:trPr>
        <w:tc>
          <w:tcPr>
            <w:tcW w:w="7340" w:type="dxa"/>
            <w:vAlign w:val="bottom"/>
            <w:shd w:val="clear" w:color="auto" w:fill="CCEBF8"/>
          </w:tcPr>
          <w:p>
            <w:pPr>
              <w:spacing w:after="0"/>
              <w:rPr>
                <w:sz w:val="20"/>
                <w:szCs w:val="20"/>
                <w:color w:val="auto"/>
              </w:rPr>
            </w:pPr>
            <w:r>
              <w:rPr>
                <w:rFonts w:ascii="Arial" w:cs="Arial" w:eastAsia="Arial" w:hAnsi="Arial"/>
                <w:sz w:val="16"/>
                <w:szCs w:val="16"/>
                <w:b w:val="1"/>
                <w:bCs w:val="1"/>
                <w:color w:val="009BDE"/>
              </w:rPr>
              <w:t>  Name of Director, Nominee or Executive Officer(1)</w:t>
            </w:r>
          </w:p>
        </w:tc>
        <w:tc>
          <w:tcPr>
            <w:tcW w:w="2220" w:type="dxa"/>
            <w:vAlign w:val="bottom"/>
            <w:shd w:val="clear" w:color="auto" w:fill="CCEBF8"/>
          </w:tcPr>
          <w:p>
            <w:pPr>
              <w:jc w:val="center"/>
              <w:ind w:left="220"/>
              <w:spacing w:after="0"/>
              <w:rPr>
                <w:sz w:val="20"/>
                <w:szCs w:val="20"/>
                <w:color w:val="auto"/>
              </w:rPr>
            </w:pPr>
            <w:r>
              <w:rPr>
                <w:rFonts w:ascii="Arial" w:cs="Arial" w:eastAsia="Arial" w:hAnsi="Arial"/>
                <w:sz w:val="16"/>
                <w:szCs w:val="16"/>
                <w:b w:val="1"/>
                <w:bCs w:val="1"/>
                <w:color w:val="009BDE"/>
              </w:rPr>
              <w:t>Ownership (#)</w:t>
            </w:r>
          </w:p>
        </w:tc>
        <w:tc>
          <w:tcPr>
            <w:tcW w:w="1360" w:type="dxa"/>
            <w:vAlign w:val="bottom"/>
            <w:shd w:val="clear" w:color="auto" w:fill="CCEBF8"/>
          </w:tcPr>
          <w:p>
            <w:pPr>
              <w:jc w:val="right"/>
              <w:spacing w:after="0"/>
              <w:rPr>
                <w:sz w:val="20"/>
                <w:szCs w:val="20"/>
                <w:color w:val="auto"/>
              </w:rPr>
            </w:pPr>
            <w:r>
              <w:rPr>
                <w:rFonts w:ascii="Arial" w:cs="Arial" w:eastAsia="Arial" w:hAnsi="Arial"/>
                <w:sz w:val="16"/>
                <w:szCs w:val="16"/>
                <w:b w:val="1"/>
                <w:bCs w:val="1"/>
                <w:color w:val="009BDE"/>
              </w:rPr>
              <w:t>of Class (%)</w:t>
            </w:r>
          </w:p>
        </w:tc>
      </w:tr>
      <w:tr>
        <w:trPr>
          <w:trHeight w:val="114"/>
        </w:trPr>
        <w:tc>
          <w:tcPr>
            <w:tcW w:w="7340" w:type="dxa"/>
            <w:vAlign w:val="bottom"/>
            <w:tcBorders>
              <w:bottom w:val="single" w:sz="8" w:color="009BDE"/>
            </w:tcBorders>
            <w:shd w:val="clear" w:color="auto" w:fill="CCEBF8"/>
          </w:tcPr>
          <w:p>
            <w:pPr>
              <w:spacing w:after="0"/>
              <w:rPr>
                <w:sz w:val="9"/>
                <w:szCs w:val="9"/>
                <w:color w:val="auto"/>
              </w:rPr>
            </w:pPr>
          </w:p>
        </w:tc>
        <w:tc>
          <w:tcPr>
            <w:tcW w:w="2220" w:type="dxa"/>
            <w:vAlign w:val="bottom"/>
            <w:tcBorders>
              <w:bottom w:val="single" w:sz="8" w:color="009BDE"/>
            </w:tcBorders>
            <w:shd w:val="clear" w:color="auto" w:fill="CCEBF8"/>
          </w:tcPr>
          <w:p>
            <w:pPr>
              <w:spacing w:after="0"/>
              <w:rPr>
                <w:sz w:val="9"/>
                <w:szCs w:val="9"/>
                <w:color w:val="auto"/>
              </w:rPr>
            </w:pPr>
          </w:p>
        </w:tc>
        <w:tc>
          <w:tcPr>
            <w:tcW w:w="1360" w:type="dxa"/>
            <w:vAlign w:val="bottom"/>
            <w:tcBorders>
              <w:bottom w:val="single" w:sz="8" w:color="009BDE"/>
            </w:tcBorders>
            <w:shd w:val="clear" w:color="auto" w:fill="CCEBF8"/>
          </w:tcPr>
          <w:p>
            <w:pPr>
              <w:spacing w:after="0"/>
              <w:rPr>
                <w:sz w:val="9"/>
                <w:szCs w:val="9"/>
                <w:color w:val="auto"/>
              </w:rPr>
            </w:pPr>
          </w:p>
        </w:tc>
      </w:tr>
      <w:tr>
        <w:trPr>
          <w:trHeight w:val="284"/>
        </w:trPr>
        <w:tc>
          <w:tcPr>
            <w:tcW w:w="7340" w:type="dxa"/>
            <w:vAlign w:val="bottom"/>
          </w:tcPr>
          <w:p>
            <w:pPr>
              <w:ind w:left="80"/>
              <w:spacing w:after="0"/>
              <w:rPr>
                <w:sz w:val="20"/>
                <w:szCs w:val="20"/>
                <w:color w:val="auto"/>
              </w:rPr>
            </w:pPr>
            <w:r>
              <w:rPr>
                <w:rFonts w:ascii="Arial" w:cs="Arial" w:eastAsia="Arial" w:hAnsi="Arial"/>
                <w:sz w:val="16"/>
                <w:szCs w:val="16"/>
                <w:color w:val="auto"/>
              </w:rPr>
              <w:t>Douglas Bowser(2)</w:t>
            </w:r>
          </w:p>
        </w:tc>
        <w:tc>
          <w:tcPr>
            <w:tcW w:w="2220" w:type="dxa"/>
            <w:vAlign w:val="bottom"/>
          </w:tcPr>
          <w:p>
            <w:pPr>
              <w:jc w:val="right"/>
              <w:ind w:right="300"/>
              <w:spacing w:after="0"/>
              <w:rPr>
                <w:sz w:val="20"/>
                <w:szCs w:val="20"/>
                <w:color w:val="auto"/>
              </w:rPr>
            </w:pPr>
            <w:r>
              <w:rPr>
                <w:rFonts w:ascii="Arial" w:cs="Arial" w:eastAsia="Arial" w:hAnsi="Arial"/>
                <w:sz w:val="16"/>
                <w:szCs w:val="16"/>
                <w:color w:val="auto"/>
              </w:rPr>
              <w:t>750    </w:t>
            </w:r>
          </w:p>
        </w:tc>
        <w:tc>
          <w:tcPr>
            <w:tcW w:w="136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40" w:type="dxa"/>
            <w:vAlign w:val="bottom"/>
            <w:tcBorders>
              <w:bottom w:val="single" w:sz="8" w:color="009BDE"/>
            </w:tcBorders>
          </w:tcPr>
          <w:p>
            <w:pPr>
              <w:spacing w:after="0"/>
              <w:rPr>
                <w:sz w:val="8"/>
                <w:szCs w:val="8"/>
                <w:color w:val="auto"/>
              </w:rPr>
            </w:pPr>
          </w:p>
        </w:tc>
        <w:tc>
          <w:tcPr>
            <w:tcW w:w="2220" w:type="dxa"/>
            <w:vAlign w:val="bottom"/>
            <w:tcBorders>
              <w:bottom w:val="single" w:sz="8" w:color="009BDE"/>
            </w:tcBorders>
          </w:tcPr>
          <w:p>
            <w:pPr>
              <w:spacing w:after="0"/>
              <w:rPr>
                <w:sz w:val="8"/>
                <w:szCs w:val="8"/>
                <w:color w:val="auto"/>
              </w:rPr>
            </w:pPr>
          </w:p>
        </w:tc>
        <w:tc>
          <w:tcPr>
            <w:tcW w:w="1360" w:type="dxa"/>
            <w:vAlign w:val="bottom"/>
            <w:tcBorders>
              <w:bottom w:val="single" w:sz="8" w:color="009BDE"/>
            </w:tcBorders>
          </w:tcPr>
          <w:p>
            <w:pPr>
              <w:spacing w:after="0"/>
              <w:rPr>
                <w:sz w:val="8"/>
                <w:szCs w:val="8"/>
                <w:color w:val="auto"/>
              </w:rPr>
            </w:pPr>
          </w:p>
        </w:tc>
      </w:tr>
      <w:tr>
        <w:trPr>
          <w:trHeight w:val="284"/>
        </w:trPr>
        <w:tc>
          <w:tcPr>
            <w:tcW w:w="7340" w:type="dxa"/>
            <w:vAlign w:val="bottom"/>
          </w:tcPr>
          <w:p>
            <w:pPr>
              <w:ind w:left="80"/>
              <w:spacing w:after="0"/>
              <w:rPr>
                <w:sz w:val="20"/>
                <w:szCs w:val="20"/>
                <w:color w:val="auto"/>
              </w:rPr>
            </w:pPr>
            <w:r>
              <w:rPr>
                <w:rFonts w:ascii="Arial" w:cs="Arial" w:eastAsia="Arial" w:hAnsi="Arial"/>
                <w:sz w:val="16"/>
                <w:szCs w:val="16"/>
                <w:color w:val="auto"/>
              </w:rPr>
              <w:t>Hope F. Cochran</w:t>
            </w:r>
          </w:p>
        </w:tc>
        <w:tc>
          <w:tcPr>
            <w:tcW w:w="2220" w:type="dxa"/>
            <w:vAlign w:val="bottom"/>
          </w:tcPr>
          <w:p>
            <w:pPr>
              <w:jc w:val="right"/>
              <w:ind w:right="300"/>
              <w:spacing w:after="0"/>
              <w:rPr>
                <w:sz w:val="20"/>
                <w:szCs w:val="20"/>
                <w:color w:val="auto"/>
              </w:rPr>
            </w:pPr>
            <w:r>
              <w:rPr>
                <w:rFonts w:ascii="Arial" w:cs="Arial" w:eastAsia="Arial" w:hAnsi="Arial"/>
                <w:sz w:val="16"/>
                <w:szCs w:val="16"/>
                <w:color w:val="auto"/>
              </w:rPr>
              <w:t>21,102    </w:t>
            </w:r>
          </w:p>
        </w:tc>
        <w:tc>
          <w:tcPr>
            <w:tcW w:w="136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40" w:type="dxa"/>
            <w:vAlign w:val="bottom"/>
            <w:tcBorders>
              <w:bottom w:val="single" w:sz="8" w:color="009BDE"/>
            </w:tcBorders>
          </w:tcPr>
          <w:p>
            <w:pPr>
              <w:spacing w:after="0"/>
              <w:rPr>
                <w:sz w:val="8"/>
                <w:szCs w:val="8"/>
                <w:color w:val="auto"/>
              </w:rPr>
            </w:pPr>
          </w:p>
        </w:tc>
        <w:tc>
          <w:tcPr>
            <w:tcW w:w="2220" w:type="dxa"/>
            <w:vAlign w:val="bottom"/>
            <w:tcBorders>
              <w:bottom w:val="single" w:sz="8" w:color="009BDE"/>
            </w:tcBorders>
          </w:tcPr>
          <w:p>
            <w:pPr>
              <w:spacing w:after="0"/>
              <w:rPr>
                <w:sz w:val="8"/>
                <w:szCs w:val="8"/>
                <w:color w:val="auto"/>
              </w:rPr>
            </w:pPr>
          </w:p>
        </w:tc>
        <w:tc>
          <w:tcPr>
            <w:tcW w:w="1360" w:type="dxa"/>
            <w:vAlign w:val="bottom"/>
            <w:tcBorders>
              <w:bottom w:val="single" w:sz="8" w:color="009BDE"/>
            </w:tcBorders>
          </w:tcPr>
          <w:p>
            <w:pPr>
              <w:spacing w:after="0"/>
              <w:rPr>
                <w:sz w:val="8"/>
                <w:szCs w:val="8"/>
                <w:color w:val="auto"/>
              </w:rPr>
            </w:pPr>
          </w:p>
        </w:tc>
      </w:tr>
      <w:tr>
        <w:trPr>
          <w:trHeight w:val="284"/>
        </w:trPr>
        <w:tc>
          <w:tcPr>
            <w:tcW w:w="7340" w:type="dxa"/>
            <w:vAlign w:val="bottom"/>
          </w:tcPr>
          <w:p>
            <w:pPr>
              <w:ind w:left="80"/>
              <w:spacing w:after="0"/>
              <w:rPr>
                <w:sz w:val="20"/>
                <w:szCs w:val="20"/>
                <w:color w:val="auto"/>
              </w:rPr>
            </w:pPr>
            <w:r>
              <w:rPr>
                <w:rFonts w:ascii="Arial" w:cs="Arial" w:eastAsia="Arial" w:hAnsi="Arial"/>
                <w:sz w:val="16"/>
                <w:szCs w:val="16"/>
                <w:color w:val="auto"/>
              </w:rPr>
              <w:t>Chris Cocks(3)</w:t>
            </w:r>
          </w:p>
        </w:tc>
        <w:tc>
          <w:tcPr>
            <w:tcW w:w="2220" w:type="dxa"/>
            <w:vAlign w:val="bottom"/>
          </w:tcPr>
          <w:p>
            <w:pPr>
              <w:jc w:val="right"/>
              <w:ind w:right="300"/>
              <w:spacing w:after="0"/>
              <w:rPr>
                <w:sz w:val="20"/>
                <w:szCs w:val="20"/>
                <w:color w:val="auto"/>
              </w:rPr>
            </w:pPr>
            <w:r>
              <w:rPr>
                <w:rFonts w:ascii="Arial" w:cs="Arial" w:eastAsia="Arial" w:hAnsi="Arial"/>
                <w:sz w:val="16"/>
                <w:szCs w:val="16"/>
                <w:color w:val="auto"/>
              </w:rPr>
              <w:t>322,439    </w:t>
            </w:r>
          </w:p>
        </w:tc>
        <w:tc>
          <w:tcPr>
            <w:tcW w:w="136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40" w:type="dxa"/>
            <w:vAlign w:val="bottom"/>
            <w:tcBorders>
              <w:bottom w:val="single" w:sz="8" w:color="009BDE"/>
            </w:tcBorders>
          </w:tcPr>
          <w:p>
            <w:pPr>
              <w:spacing w:after="0"/>
              <w:rPr>
                <w:sz w:val="8"/>
                <w:szCs w:val="8"/>
                <w:color w:val="auto"/>
              </w:rPr>
            </w:pPr>
          </w:p>
        </w:tc>
        <w:tc>
          <w:tcPr>
            <w:tcW w:w="2220" w:type="dxa"/>
            <w:vAlign w:val="bottom"/>
            <w:tcBorders>
              <w:bottom w:val="single" w:sz="8" w:color="009BDE"/>
            </w:tcBorders>
          </w:tcPr>
          <w:p>
            <w:pPr>
              <w:spacing w:after="0"/>
              <w:rPr>
                <w:sz w:val="8"/>
                <w:szCs w:val="8"/>
                <w:color w:val="auto"/>
              </w:rPr>
            </w:pPr>
          </w:p>
        </w:tc>
        <w:tc>
          <w:tcPr>
            <w:tcW w:w="1360" w:type="dxa"/>
            <w:vAlign w:val="bottom"/>
            <w:tcBorders>
              <w:bottom w:val="single" w:sz="8" w:color="009BDE"/>
            </w:tcBorders>
          </w:tcPr>
          <w:p>
            <w:pPr>
              <w:spacing w:after="0"/>
              <w:rPr>
                <w:sz w:val="8"/>
                <w:szCs w:val="8"/>
                <w:color w:val="auto"/>
              </w:rPr>
            </w:pPr>
          </w:p>
        </w:tc>
      </w:tr>
      <w:tr>
        <w:trPr>
          <w:trHeight w:val="284"/>
        </w:trPr>
        <w:tc>
          <w:tcPr>
            <w:tcW w:w="7340" w:type="dxa"/>
            <w:vAlign w:val="bottom"/>
          </w:tcPr>
          <w:p>
            <w:pPr>
              <w:ind w:left="80"/>
              <w:spacing w:after="0"/>
              <w:rPr>
                <w:sz w:val="20"/>
                <w:szCs w:val="20"/>
                <w:color w:val="auto"/>
              </w:rPr>
            </w:pPr>
            <w:r>
              <w:rPr>
                <w:rFonts w:ascii="Arial" w:cs="Arial" w:eastAsia="Arial" w:hAnsi="Arial"/>
                <w:sz w:val="16"/>
                <w:szCs w:val="16"/>
                <w:color w:val="auto"/>
              </w:rPr>
              <w:t>Lisa Gersh(4)</w:t>
            </w:r>
          </w:p>
        </w:tc>
        <w:tc>
          <w:tcPr>
            <w:tcW w:w="2220" w:type="dxa"/>
            <w:vAlign w:val="bottom"/>
          </w:tcPr>
          <w:p>
            <w:pPr>
              <w:jc w:val="right"/>
              <w:ind w:right="300"/>
              <w:spacing w:after="0"/>
              <w:rPr>
                <w:sz w:val="20"/>
                <w:szCs w:val="20"/>
                <w:color w:val="auto"/>
              </w:rPr>
            </w:pPr>
            <w:r>
              <w:rPr>
                <w:rFonts w:ascii="Arial" w:cs="Arial" w:eastAsia="Arial" w:hAnsi="Arial"/>
                <w:sz w:val="16"/>
                <w:szCs w:val="16"/>
                <w:color w:val="auto"/>
              </w:rPr>
              <w:t>79,866    </w:t>
            </w:r>
          </w:p>
        </w:tc>
        <w:tc>
          <w:tcPr>
            <w:tcW w:w="136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40" w:type="dxa"/>
            <w:vAlign w:val="bottom"/>
            <w:tcBorders>
              <w:bottom w:val="single" w:sz="8" w:color="009BDE"/>
            </w:tcBorders>
          </w:tcPr>
          <w:p>
            <w:pPr>
              <w:spacing w:after="0"/>
              <w:rPr>
                <w:sz w:val="8"/>
                <w:szCs w:val="8"/>
                <w:color w:val="auto"/>
              </w:rPr>
            </w:pPr>
          </w:p>
        </w:tc>
        <w:tc>
          <w:tcPr>
            <w:tcW w:w="2220" w:type="dxa"/>
            <w:vAlign w:val="bottom"/>
            <w:tcBorders>
              <w:bottom w:val="single" w:sz="8" w:color="009BDE"/>
            </w:tcBorders>
          </w:tcPr>
          <w:p>
            <w:pPr>
              <w:spacing w:after="0"/>
              <w:rPr>
                <w:sz w:val="8"/>
                <w:szCs w:val="8"/>
                <w:color w:val="auto"/>
              </w:rPr>
            </w:pPr>
          </w:p>
        </w:tc>
        <w:tc>
          <w:tcPr>
            <w:tcW w:w="1360" w:type="dxa"/>
            <w:vAlign w:val="bottom"/>
            <w:tcBorders>
              <w:bottom w:val="single" w:sz="8" w:color="009BDE"/>
            </w:tcBorders>
          </w:tcPr>
          <w:p>
            <w:pPr>
              <w:spacing w:after="0"/>
              <w:rPr>
                <w:sz w:val="8"/>
                <w:szCs w:val="8"/>
                <w:color w:val="auto"/>
              </w:rPr>
            </w:pPr>
          </w:p>
        </w:tc>
      </w:tr>
      <w:tr>
        <w:trPr>
          <w:trHeight w:val="284"/>
        </w:trPr>
        <w:tc>
          <w:tcPr>
            <w:tcW w:w="7340" w:type="dxa"/>
            <w:vAlign w:val="bottom"/>
          </w:tcPr>
          <w:p>
            <w:pPr>
              <w:ind w:left="80"/>
              <w:spacing w:after="0"/>
              <w:rPr>
                <w:sz w:val="20"/>
                <w:szCs w:val="20"/>
                <w:color w:val="auto"/>
              </w:rPr>
            </w:pPr>
            <w:r>
              <w:rPr>
                <w:rFonts w:ascii="Arial" w:cs="Arial" w:eastAsia="Arial" w:hAnsi="Arial"/>
                <w:sz w:val="16"/>
                <w:szCs w:val="16"/>
                <w:color w:val="auto"/>
              </w:rPr>
              <w:t>Frank D. Gibeau</w:t>
            </w:r>
          </w:p>
        </w:tc>
        <w:tc>
          <w:tcPr>
            <w:tcW w:w="2220" w:type="dxa"/>
            <w:vAlign w:val="bottom"/>
          </w:tcPr>
          <w:p>
            <w:pPr>
              <w:jc w:val="right"/>
              <w:ind w:right="300"/>
              <w:spacing w:after="0"/>
              <w:rPr>
                <w:sz w:val="20"/>
                <w:szCs w:val="20"/>
                <w:color w:val="auto"/>
              </w:rPr>
            </w:pPr>
            <w:r>
              <w:rPr>
                <w:rFonts w:ascii="Arial" w:cs="Arial" w:eastAsia="Arial" w:hAnsi="Arial"/>
                <w:sz w:val="16"/>
                <w:szCs w:val="16"/>
                <w:color w:val="auto"/>
              </w:rPr>
              <w:t>6,021    </w:t>
            </w:r>
          </w:p>
        </w:tc>
        <w:tc>
          <w:tcPr>
            <w:tcW w:w="136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40" w:type="dxa"/>
            <w:vAlign w:val="bottom"/>
            <w:tcBorders>
              <w:bottom w:val="single" w:sz="8" w:color="009BDE"/>
            </w:tcBorders>
          </w:tcPr>
          <w:p>
            <w:pPr>
              <w:spacing w:after="0"/>
              <w:rPr>
                <w:sz w:val="8"/>
                <w:szCs w:val="8"/>
                <w:color w:val="auto"/>
              </w:rPr>
            </w:pPr>
          </w:p>
        </w:tc>
        <w:tc>
          <w:tcPr>
            <w:tcW w:w="2220" w:type="dxa"/>
            <w:vAlign w:val="bottom"/>
            <w:tcBorders>
              <w:bottom w:val="single" w:sz="8" w:color="009BDE"/>
            </w:tcBorders>
          </w:tcPr>
          <w:p>
            <w:pPr>
              <w:spacing w:after="0"/>
              <w:rPr>
                <w:sz w:val="8"/>
                <w:szCs w:val="8"/>
                <w:color w:val="auto"/>
              </w:rPr>
            </w:pPr>
          </w:p>
        </w:tc>
        <w:tc>
          <w:tcPr>
            <w:tcW w:w="1360" w:type="dxa"/>
            <w:vAlign w:val="bottom"/>
            <w:tcBorders>
              <w:bottom w:val="single" w:sz="8" w:color="009BDE"/>
            </w:tcBorders>
          </w:tcPr>
          <w:p>
            <w:pPr>
              <w:spacing w:after="0"/>
              <w:rPr>
                <w:sz w:val="8"/>
                <w:szCs w:val="8"/>
                <w:color w:val="auto"/>
              </w:rPr>
            </w:pPr>
          </w:p>
        </w:tc>
      </w:tr>
      <w:tr>
        <w:trPr>
          <w:trHeight w:val="284"/>
        </w:trPr>
        <w:tc>
          <w:tcPr>
            <w:tcW w:w="7340" w:type="dxa"/>
            <w:vAlign w:val="bottom"/>
          </w:tcPr>
          <w:p>
            <w:pPr>
              <w:ind w:left="80"/>
              <w:spacing w:after="0"/>
              <w:rPr>
                <w:sz w:val="20"/>
                <w:szCs w:val="20"/>
                <w:color w:val="auto"/>
              </w:rPr>
            </w:pPr>
            <w:r>
              <w:rPr>
                <w:rFonts w:ascii="Arial" w:cs="Arial" w:eastAsia="Arial" w:hAnsi="Arial"/>
                <w:sz w:val="16"/>
                <w:szCs w:val="16"/>
                <w:color w:val="auto"/>
              </w:rPr>
              <w:t>Gina Goetter(5)</w:t>
            </w:r>
          </w:p>
        </w:tc>
        <w:tc>
          <w:tcPr>
            <w:tcW w:w="2220" w:type="dxa"/>
            <w:vAlign w:val="bottom"/>
          </w:tcPr>
          <w:p>
            <w:pPr>
              <w:jc w:val="right"/>
              <w:ind w:right="300"/>
              <w:spacing w:after="0"/>
              <w:rPr>
                <w:sz w:val="20"/>
                <w:szCs w:val="20"/>
                <w:color w:val="auto"/>
              </w:rPr>
            </w:pPr>
            <w:r>
              <w:rPr>
                <w:rFonts w:ascii="Arial" w:cs="Arial" w:eastAsia="Arial" w:hAnsi="Arial"/>
                <w:sz w:val="16"/>
                <w:szCs w:val="16"/>
                <w:color w:val="auto"/>
              </w:rPr>
              <w:t>78,294    </w:t>
            </w:r>
          </w:p>
        </w:tc>
        <w:tc>
          <w:tcPr>
            <w:tcW w:w="136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40" w:type="dxa"/>
            <w:vAlign w:val="bottom"/>
            <w:tcBorders>
              <w:bottom w:val="single" w:sz="8" w:color="009BDE"/>
            </w:tcBorders>
          </w:tcPr>
          <w:p>
            <w:pPr>
              <w:spacing w:after="0"/>
              <w:rPr>
                <w:sz w:val="8"/>
                <w:szCs w:val="8"/>
                <w:color w:val="auto"/>
              </w:rPr>
            </w:pPr>
          </w:p>
        </w:tc>
        <w:tc>
          <w:tcPr>
            <w:tcW w:w="2220" w:type="dxa"/>
            <w:vAlign w:val="bottom"/>
            <w:tcBorders>
              <w:bottom w:val="single" w:sz="8" w:color="009BDE"/>
            </w:tcBorders>
          </w:tcPr>
          <w:p>
            <w:pPr>
              <w:spacing w:after="0"/>
              <w:rPr>
                <w:sz w:val="8"/>
                <w:szCs w:val="8"/>
                <w:color w:val="auto"/>
              </w:rPr>
            </w:pPr>
          </w:p>
        </w:tc>
        <w:tc>
          <w:tcPr>
            <w:tcW w:w="1360" w:type="dxa"/>
            <w:vAlign w:val="bottom"/>
            <w:tcBorders>
              <w:bottom w:val="single" w:sz="8" w:color="009BDE"/>
            </w:tcBorders>
          </w:tcPr>
          <w:p>
            <w:pPr>
              <w:spacing w:after="0"/>
              <w:rPr>
                <w:sz w:val="8"/>
                <w:szCs w:val="8"/>
                <w:color w:val="auto"/>
              </w:rPr>
            </w:pPr>
          </w:p>
        </w:tc>
      </w:tr>
      <w:tr>
        <w:trPr>
          <w:trHeight w:val="284"/>
        </w:trPr>
        <w:tc>
          <w:tcPr>
            <w:tcW w:w="7340" w:type="dxa"/>
            <w:vAlign w:val="bottom"/>
          </w:tcPr>
          <w:p>
            <w:pPr>
              <w:ind w:left="80"/>
              <w:spacing w:after="0"/>
              <w:rPr>
                <w:sz w:val="20"/>
                <w:szCs w:val="20"/>
                <w:color w:val="auto"/>
              </w:rPr>
            </w:pPr>
            <w:r>
              <w:rPr>
                <w:rFonts w:ascii="Arial" w:cs="Arial" w:eastAsia="Arial" w:hAnsi="Arial"/>
                <w:sz w:val="16"/>
                <w:szCs w:val="16"/>
                <w:color w:val="auto"/>
              </w:rPr>
              <w:t>Elizabeth Hamren</w:t>
            </w:r>
          </w:p>
        </w:tc>
        <w:tc>
          <w:tcPr>
            <w:tcW w:w="2220" w:type="dxa"/>
            <w:vAlign w:val="bottom"/>
          </w:tcPr>
          <w:p>
            <w:pPr>
              <w:jc w:val="right"/>
              <w:ind w:right="300"/>
              <w:spacing w:after="0"/>
              <w:rPr>
                <w:sz w:val="20"/>
                <w:szCs w:val="20"/>
                <w:color w:val="auto"/>
              </w:rPr>
            </w:pPr>
            <w:r>
              <w:rPr>
                <w:rFonts w:ascii="Arial" w:cs="Arial" w:eastAsia="Arial" w:hAnsi="Arial"/>
                <w:sz w:val="16"/>
                <w:szCs w:val="16"/>
                <w:color w:val="auto"/>
              </w:rPr>
              <w:t>10,636    </w:t>
            </w:r>
          </w:p>
        </w:tc>
        <w:tc>
          <w:tcPr>
            <w:tcW w:w="136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40" w:type="dxa"/>
            <w:vAlign w:val="bottom"/>
            <w:tcBorders>
              <w:bottom w:val="single" w:sz="8" w:color="009BDE"/>
            </w:tcBorders>
          </w:tcPr>
          <w:p>
            <w:pPr>
              <w:spacing w:after="0"/>
              <w:rPr>
                <w:sz w:val="8"/>
                <w:szCs w:val="8"/>
                <w:color w:val="auto"/>
              </w:rPr>
            </w:pPr>
          </w:p>
        </w:tc>
        <w:tc>
          <w:tcPr>
            <w:tcW w:w="2220" w:type="dxa"/>
            <w:vAlign w:val="bottom"/>
            <w:tcBorders>
              <w:bottom w:val="single" w:sz="8" w:color="009BDE"/>
            </w:tcBorders>
          </w:tcPr>
          <w:p>
            <w:pPr>
              <w:spacing w:after="0"/>
              <w:rPr>
                <w:sz w:val="8"/>
                <w:szCs w:val="8"/>
                <w:color w:val="auto"/>
              </w:rPr>
            </w:pPr>
          </w:p>
        </w:tc>
        <w:tc>
          <w:tcPr>
            <w:tcW w:w="1360" w:type="dxa"/>
            <w:vAlign w:val="bottom"/>
            <w:tcBorders>
              <w:bottom w:val="single" w:sz="8" w:color="009BDE"/>
            </w:tcBorders>
          </w:tcPr>
          <w:p>
            <w:pPr>
              <w:spacing w:after="0"/>
              <w:rPr>
                <w:sz w:val="8"/>
                <w:szCs w:val="8"/>
                <w:color w:val="auto"/>
              </w:rPr>
            </w:pPr>
          </w:p>
        </w:tc>
      </w:tr>
      <w:tr>
        <w:trPr>
          <w:trHeight w:val="284"/>
        </w:trPr>
        <w:tc>
          <w:tcPr>
            <w:tcW w:w="7340" w:type="dxa"/>
            <w:vAlign w:val="bottom"/>
          </w:tcPr>
          <w:p>
            <w:pPr>
              <w:ind w:left="80"/>
              <w:spacing w:after="0"/>
              <w:rPr>
                <w:sz w:val="20"/>
                <w:szCs w:val="20"/>
                <w:color w:val="auto"/>
              </w:rPr>
            </w:pPr>
            <w:r>
              <w:rPr>
                <w:rFonts w:ascii="Arial" w:cs="Arial" w:eastAsia="Arial" w:hAnsi="Arial"/>
                <w:sz w:val="16"/>
                <w:szCs w:val="16"/>
                <w:color w:val="auto"/>
              </w:rPr>
              <w:t>Darin S. Harris</w:t>
            </w:r>
          </w:p>
        </w:tc>
        <w:tc>
          <w:tcPr>
            <w:tcW w:w="2220" w:type="dxa"/>
            <w:vAlign w:val="bottom"/>
          </w:tcPr>
          <w:p>
            <w:pPr>
              <w:jc w:val="right"/>
              <w:ind w:right="300"/>
              <w:spacing w:after="0"/>
              <w:rPr>
                <w:sz w:val="20"/>
                <w:szCs w:val="20"/>
                <w:color w:val="auto"/>
              </w:rPr>
            </w:pPr>
            <w:r>
              <w:rPr>
                <w:rFonts w:ascii="Arial" w:cs="Arial" w:eastAsia="Arial" w:hAnsi="Arial"/>
                <w:sz w:val="16"/>
                <w:szCs w:val="16"/>
                <w:color w:val="auto"/>
              </w:rPr>
              <w:t>6,021    </w:t>
            </w:r>
          </w:p>
        </w:tc>
        <w:tc>
          <w:tcPr>
            <w:tcW w:w="136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40" w:type="dxa"/>
            <w:vAlign w:val="bottom"/>
            <w:tcBorders>
              <w:bottom w:val="single" w:sz="8" w:color="009BDE"/>
            </w:tcBorders>
          </w:tcPr>
          <w:p>
            <w:pPr>
              <w:spacing w:after="0"/>
              <w:rPr>
                <w:sz w:val="8"/>
                <w:szCs w:val="8"/>
                <w:color w:val="auto"/>
              </w:rPr>
            </w:pPr>
          </w:p>
        </w:tc>
        <w:tc>
          <w:tcPr>
            <w:tcW w:w="2220" w:type="dxa"/>
            <w:vAlign w:val="bottom"/>
            <w:tcBorders>
              <w:bottom w:val="single" w:sz="8" w:color="009BDE"/>
            </w:tcBorders>
          </w:tcPr>
          <w:p>
            <w:pPr>
              <w:spacing w:after="0"/>
              <w:rPr>
                <w:sz w:val="8"/>
                <w:szCs w:val="8"/>
                <w:color w:val="auto"/>
              </w:rPr>
            </w:pPr>
          </w:p>
        </w:tc>
        <w:tc>
          <w:tcPr>
            <w:tcW w:w="1360" w:type="dxa"/>
            <w:vAlign w:val="bottom"/>
            <w:tcBorders>
              <w:bottom w:val="single" w:sz="8" w:color="009BD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246380</wp:posOffset>
            </wp:positionV>
            <wp:extent cx="6964045" cy="39052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  66</w:t>
      </w:r>
    </w:p>
    <w:p>
      <w:pPr>
        <w:sectPr>
          <w:pgSz w:w="11900" w:h="16838" w:orient="portrait"/>
          <w:cols w:equalWidth="0" w:num="1">
            <w:col w:w="11080"/>
          </w:cols>
          <w:pgMar w:left="320" w:top="478"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37"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7300" w:type="dxa"/>
            <w:vAlign w:val="bottom"/>
            <w:shd w:val="clear" w:color="auto" w:fill="CCEBF8"/>
          </w:tcPr>
          <w:p>
            <w:pPr>
              <w:spacing w:after="0"/>
              <w:rPr>
                <w:sz w:val="20"/>
                <w:szCs w:val="20"/>
                <w:color w:val="auto"/>
              </w:rPr>
            </w:pPr>
          </w:p>
        </w:tc>
        <w:tc>
          <w:tcPr>
            <w:tcW w:w="2240" w:type="dxa"/>
            <w:vAlign w:val="bottom"/>
            <w:shd w:val="clear" w:color="auto" w:fill="CCEBF8"/>
          </w:tcPr>
          <w:p>
            <w:pPr>
              <w:jc w:val="center"/>
              <w:ind w:left="260"/>
              <w:spacing w:after="0"/>
              <w:rPr>
                <w:sz w:val="20"/>
                <w:szCs w:val="20"/>
                <w:color w:val="auto"/>
              </w:rPr>
            </w:pPr>
            <w:r>
              <w:rPr>
                <w:rFonts w:ascii="Arial" w:cs="Arial" w:eastAsia="Arial" w:hAnsi="Arial"/>
                <w:sz w:val="16"/>
                <w:szCs w:val="16"/>
                <w:b w:val="1"/>
                <w:bCs w:val="1"/>
                <w:color w:val="009BDE"/>
              </w:rPr>
              <w:t>Amount and</w:t>
            </w:r>
          </w:p>
        </w:tc>
        <w:tc>
          <w:tcPr>
            <w:tcW w:w="1380" w:type="dxa"/>
            <w:vAlign w:val="bottom"/>
            <w:shd w:val="clear" w:color="auto" w:fill="CCEBF8"/>
          </w:tcPr>
          <w:p>
            <w:pPr>
              <w:spacing w:after="0"/>
              <w:rPr>
                <w:sz w:val="20"/>
                <w:szCs w:val="20"/>
                <w:color w:val="auto"/>
              </w:rPr>
            </w:pPr>
          </w:p>
        </w:tc>
      </w:tr>
      <w:tr>
        <w:trPr>
          <w:trHeight w:val="187"/>
        </w:trPr>
        <w:tc>
          <w:tcPr>
            <w:tcW w:w="7300" w:type="dxa"/>
            <w:vAlign w:val="bottom"/>
            <w:shd w:val="clear" w:color="auto" w:fill="CCEBF8"/>
          </w:tcPr>
          <w:p>
            <w:pPr>
              <w:spacing w:after="0"/>
              <w:rPr>
                <w:sz w:val="16"/>
                <w:szCs w:val="16"/>
                <w:color w:val="auto"/>
              </w:rPr>
            </w:pPr>
          </w:p>
        </w:tc>
        <w:tc>
          <w:tcPr>
            <w:tcW w:w="2240" w:type="dxa"/>
            <w:vAlign w:val="bottom"/>
            <w:shd w:val="clear" w:color="auto" w:fill="CCEBF8"/>
          </w:tcPr>
          <w:p>
            <w:pPr>
              <w:jc w:val="center"/>
              <w:ind w:left="260"/>
              <w:spacing w:after="0"/>
              <w:rPr>
                <w:sz w:val="20"/>
                <w:szCs w:val="20"/>
                <w:color w:val="auto"/>
              </w:rPr>
            </w:pPr>
            <w:r>
              <w:rPr>
                <w:rFonts w:ascii="Arial" w:cs="Arial" w:eastAsia="Arial" w:hAnsi="Arial"/>
                <w:sz w:val="16"/>
                <w:szCs w:val="16"/>
                <w:b w:val="1"/>
                <w:bCs w:val="1"/>
                <w:color w:val="009BDE"/>
                <w:w w:val="99"/>
              </w:rPr>
              <w:t>Nature of</w:t>
            </w:r>
          </w:p>
        </w:tc>
        <w:tc>
          <w:tcPr>
            <w:tcW w:w="1380" w:type="dxa"/>
            <w:vAlign w:val="bottom"/>
            <w:shd w:val="clear" w:color="auto" w:fill="CCEBF8"/>
          </w:tcPr>
          <w:p>
            <w:pPr>
              <w:spacing w:after="0"/>
              <w:rPr>
                <w:sz w:val="16"/>
                <w:szCs w:val="16"/>
                <w:color w:val="auto"/>
              </w:rPr>
            </w:pPr>
          </w:p>
        </w:tc>
      </w:tr>
      <w:tr>
        <w:trPr>
          <w:trHeight w:val="187"/>
        </w:trPr>
        <w:tc>
          <w:tcPr>
            <w:tcW w:w="7300" w:type="dxa"/>
            <w:vAlign w:val="bottom"/>
            <w:shd w:val="clear" w:color="auto" w:fill="CCEBF8"/>
          </w:tcPr>
          <w:p>
            <w:pPr>
              <w:spacing w:after="0"/>
              <w:rPr>
                <w:sz w:val="16"/>
                <w:szCs w:val="16"/>
                <w:color w:val="auto"/>
              </w:rPr>
            </w:pPr>
          </w:p>
        </w:tc>
        <w:tc>
          <w:tcPr>
            <w:tcW w:w="2240" w:type="dxa"/>
            <w:vAlign w:val="bottom"/>
            <w:shd w:val="clear" w:color="auto" w:fill="CCEBF8"/>
          </w:tcPr>
          <w:p>
            <w:pPr>
              <w:jc w:val="center"/>
              <w:ind w:left="240"/>
              <w:spacing w:after="0"/>
              <w:rPr>
                <w:sz w:val="20"/>
                <w:szCs w:val="20"/>
                <w:color w:val="auto"/>
              </w:rPr>
            </w:pPr>
            <w:r>
              <w:rPr>
                <w:rFonts w:ascii="Arial" w:cs="Arial" w:eastAsia="Arial" w:hAnsi="Arial"/>
                <w:sz w:val="16"/>
                <w:szCs w:val="16"/>
                <w:b w:val="1"/>
                <w:bCs w:val="1"/>
                <w:color w:val="009BDE"/>
              </w:rPr>
              <w:t>Beneficial</w:t>
            </w:r>
          </w:p>
        </w:tc>
        <w:tc>
          <w:tcPr>
            <w:tcW w:w="1380" w:type="dxa"/>
            <w:vAlign w:val="bottom"/>
            <w:shd w:val="clear" w:color="auto" w:fill="CCEBF8"/>
          </w:tcPr>
          <w:p>
            <w:pPr>
              <w:jc w:val="right"/>
              <w:ind w:right="160"/>
              <w:spacing w:after="0"/>
              <w:rPr>
                <w:sz w:val="20"/>
                <w:szCs w:val="20"/>
                <w:color w:val="auto"/>
              </w:rPr>
            </w:pPr>
            <w:r>
              <w:rPr>
                <w:rFonts w:ascii="Arial" w:cs="Arial" w:eastAsia="Arial" w:hAnsi="Arial"/>
                <w:sz w:val="16"/>
                <w:szCs w:val="16"/>
                <w:b w:val="1"/>
                <w:bCs w:val="1"/>
                <w:color w:val="009BDE"/>
              </w:rPr>
              <w:t>Percent</w:t>
            </w:r>
          </w:p>
        </w:tc>
      </w:tr>
      <w:tr>
        <w:trPr>
          <w:trHeight w:val="235"/>
        </w:trPr>
        <w:tc>
          <w:tcPr>
            <w:tcW w:w="7300" w:type="dxa"/>
            <w:vAlign w:val="bottom"/>
            <w:shd w:val="clear" w:color="auto" w:fill="CCEBF8"/>
          </w:tcPr>
          <w:p>
            <w:pPr>
              <w:spacing w:after="0"/>
              <w:rPr>
                <w:sz w:val="20"/>
                <w:szCs w:val="20"/>
                <w:color w:val="auto"/>
              </w:rPr>
            </w:pPr>
            <w:r>
              <w:rPr>
                <w:rFonts w:ascii="Arial" w:cs="Arial" w:eastAsia="Arial" w:hAnsi="Arial"/>
                <w:sz w:val="16"/>
                <w:szCs w:val="16"/>
                <w:b w:val="1"/>
                <w:bCs w:val="1"/>
                <w:color w:val="009BDE"/>
              </w:rPr>
              <w:t>  Name of Director, Nominee or Executive Officer(1)</w:t>
            </w:r>
          </w:p>
        </w:tc>
        <w:tc>
          <w:tcPr>
            <w:tcW w:w="2240" w:type="dxa"/>
            <w:vAlign w:val="bottom"/>
            <w:shd w:val="clear" w:color="auto" w:fill="CCEBF8"/>
          </w:tcPr>
          <w:p>
            <w:pPr>
              <w:jc w:val="center"/>
              <w:ind w:left="260"/>
              <w:spacing w:after="0"/>
              <w:rPr>
                <w:sz w:val="20"/>
                <w:szCs w:val="20"/>
                <w:color w:val="auto"/>
              </w:rPr>
            </w:pPr>
            <w:r>
              <w:rPr>
                <w:rFonts w:ascii="Arial" w:cs="Arial" w:eastAsia="Arial" w:hAnsi="Arial"/>
                <w:sz w:val="16"/>
                <w:szCs w:val="16"/>
                <w:b w:val="1"/>
                <w:bCs w:val="1"/>
                <w:color w:val="009BDE"/>
                <w:w w:val="99"/>
              </w:rPr>
              <w:t>Ownership (#)</w:t>
            </w:r>
          </w:p>
        </w:tc>
        <w:tc>
          <w:tcPr>
            <w:tcW w:w="1380" w:type="dxa"/>
            <w:vAlign w:val="bottom"/>
            <w:shd w:val="clear" w:color="auto" w:fill="CCEBF8"/>
          </w:tcPr>
          <w:p>
            <w:pPr>
              <w:jc w:val="right"/>
              <w:spacing w:after="0"/>
              <w:rPr>
                <w:sz w:val="20"/>
                <w:szCs w:val="20"/>
                <w:color w:val="auto"/>
              </w:rPr>
            </w:pPr>
            <w:r>
              <w:rPr>
                <w:rFonts w:ascii="Arial" w:cs="Arial" w:eastAsia="Arial" w:hAnsi="Arial"/>
                <w:sz w:val="16"/>
                <w:szCs w:val="16"/>
                <w:b w:val="1"/>
                <w:bCs w:val="1"/>
                <w:color w:val="009BDE"/>
              </w:rPr>
              <w:t>of Class (%)</w:t>
            </w:r>
          </w:p>
        </w:tc>
      </w:tr>
      <w:tr>
        <w:trPr>
          <w:trHeight w:val="114"/>
        </w:trPr>
        <w:tc>
          <w:tcPr>
            <w:tcW w:w="7300" w:type="dxa"/>
            <w:vAlign w:val="bottom"/>
            <w:tcBorders>
              <w:bottom w:val="single" w:sz="8" w:color="009BDE"/>
            </w:tcBorders>
            <w:shd w:val="clear" w:color="auto" w:fill="CCEBF8"/>
          </w:tcPr>
          <w:p>
            <w:pPr>
              <w:spacing w:after="0"/>
              <w:rPr>
                <w:sz w:val="9"/>
                <w:szCs w:val="9"/>
                <w:color w:val="auto"/>
              </w:rPr>
            </w:pPr>
          </w:p>
        </w:tc>
        <w:tc>
          <w:tcPr>
            <w:tcW w:w="2240" w:type="dxa"/>
            <w:vAlign w:val="bottom"/>
            <w:tcBorders>
              <w:bottom w:val="single" w:sz="8" w:color="009BDE"/>
            </w:tcBorders>
            <w:shd w:val="clear" w:color="auto" w:fill="CCEBF8"/>
          </w:tcPr>
          <w:p>
            <w:pPr>
              <w:spacing w:after="0"/>
              <w:rPr>
                <w:sz w:val="9"/>
                <w:szCs w:val="9"/>
                <w:color w:val="auto"/>
              </w:rPr>
            </w:pPr>
          </w:p>
        </w:tc>
        <w:tc>
          <w:tcPr>
            <w:tcW w:w="1380" w:type="dxa"/>
            <w:vAlign w:val="bottom"/>
            <w:tcBorders>
              <w:bottom w:val="single" w:sz="8" w:color="009BDE"/>
            </w:tcBorders>
            <w:shd w:val="clear" w:color="auto" w:fill="CCEBF8"/>
          </w:tcPr>
          <w:p>
            <w:pPr>
              <w:spacing w:after="0"/>
              <w:rPr>
                <w:sz w:val="9"/>
                <w:szCs w:val="9"/>
                <w:color w:val="auto"/>
              </w:rPr>
            </w:pPr>
          </w:p>
        </w:tc>
      </w:tr>
      <w:tr>
        <w:trPr>
          <w:trHeight w:val="284"/>
        </w:trPr>
        <w:tc>
          <w:tcPr>
            <w:tcW w:w="7300" w:type="dxa"/>
            <w:vAlign w:val="bottom"/>
          </w:tcPr>
          <w:p>
            <w:pPr>
              <w:ind w:left="80"/>
              <w:spacing w:after="0"/>
              <w:rPr>
                <w:sz w:val="20"/>
                <w:szCs w:val="20"/>
                <w:color w:val="auto"/>
              </w:rPr>
            </w:pPr>
            <w:r>
              <w:rPr>
                <w:rFonts w:ascii="Arial" w:cs="Arial" w:eastAsia="Arial" w:hAnsi="Arial"/>
                <w:sz w:val="16"/>
                <w:szCs w:val="16"/>
                <w:color w:val="auto"/>
              </w:rPr>
              <w:t>John Hight(6)</w:t>
            </w:r>
          </w:p>
        </w:tc>
        <w:tc>
          <w:tcPr>
            <w:tcW w:w="2240" w:type="dxa"/>
            <w:vAlign w:val="bottom"/>
          </w:tcPr>
          <w:p>
            <w:pPr>
              <w:jc w:val="right"/>
              <w:ind w:right="280"/>
              <w:spacing w:after="0"/>
              <w:rPr>
                <w:sz w:val="20"/>
                <w:szCs w:val="20"/>
                <w:color w:val="auto"/>
              </w:rPr>
            </w:pPr>
            <w:r>
              <w:rPr>
                <w:rFonts w:ascii="Arial" w:cs="Arial" w:eastAsia="Arial" w:hAnsi="Arial"/>
                <w:sz w:val="16"/>
                <w:szCs w:val="16"/>
                <w:color w:val="auto"/>
              </w:rPr>
              <w:t>70,199    </w:t>
            </w:r>
          </w:p>
        </w:tc>
        <w:tc>
          <w:tcPr>
            <w:tcW w:w="138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00" w:type="dxa"/>
            <w:vAlign w:val="bottom"/>
            <w:tcBorders>
              <w:bottom w:val="single" w:sz="8" w:color="009BDE"/>
            </w:tcBorders>
          </w:tcPr>
          <w:p>
            <w:pPr>
              <w:spacing w:after="0"/>
              <w:rPr>
                <w:sz w:val="8"/>
                <w:szCs w:val="8"/>
                <w:color w:val="auto"/>
              </w:rPr>
            </w:pPr>
          </w:p>
        </w:tc>
        <w:tc>
          <w:tcPr>
            <w:tcW w:w="22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r>
      <w:tr>
        <w:trPr>
          <w:trHeight w:val="284"/>
        </w:trPr>
        <w:tc>
          <w:tcPr>
            <w:tcW w:w="7300" w:type="dxa"/>
            <w:vAlign w:val="bottom"/>
          </w:tcPr>
          <w:p>
            <w:pPr>
              <w:ind w:left="80"/>
              <w:spacing w:after="0"/>
              <w:rPr>
                <w:sz w:val="20"/>
                <w:szCs w:val="20"/>
                <w:color w:val="auto"/>
              </w:rPr>
            </w:pPr>
            <w:r>
              <w:rPr>
                <w:rFonts w:ascii="Arial" w:cs="Arial" w:eastAsia="Arial" w:hAnsi="Arial"/>
                <w:sz w:val="16"/>
                <w:szCs w:val="16"/>
                <w:color w:val="auto"/>
              </w:rPr>
              <w:t>Timothy Kilpin(7)</w:t>
            </w:r>
          </w:p>
        </w:tc>
        <w:tc>
          <w:tcPr>
            <w:tcW w:w="2240" w:type="dxa"/>
            <w:vAlign w:val="bottom"/>
          </w:tcPr>
          <w:p>
            <w:pPr>
              <w:jc w:val="right"/>
              <w:ind w:right="280"/>
              <w:spacing w:after="0"/>
              <w:rPr>
                <w:sz w:val="20"/>
                <w:szCs w:val="20"/>
                <w:color w:val="auto"/>
              </w:rPr>
            </w:pPr>
            <w:r>
              <w:rPr>
                <w:rFonts w:ascii="Arial" w:cs="Arial" w:eastAsia="Arial" w:hAnsi="Arial"/>
                <w:sz w:val="16"/>
                <w:szCs w:val="16"/>
                <w:color w:val="auto"/>
              </w:rPr>
              <w:t>61,461    </w:t>
            </w:r>
          </w:p>
        </w:tc>
        <w:tc>
          <w:tcPr>
            <w:tcW w:w="138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00" w:type="dxa"/>
            <w:vAlign w:val="bottom"/>
            <w:tcBorders>
              <w:bottom w:val="single" w:sz="8" w:color="009BDE"/>
            </w:tcBorders>
          </w:tcPr>
          <w:p>
            <w:pPr>
              <w:spacing w:after="0"/>
              <w:rPr>
                <w:sz w:val="8"/>
                <w:szCs w:val="8"/>
                <w:color w:val="auto"/>
              </w:rPr>
            </w:pPr>
          </w:p>
        </w:tc>
        <w:tc>
          <w:tcPr>
            <w:tcW w:w="22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r>
      <w:tr>
        <w:trPr>
          <w:trHeight w:val="284"/>
        </w:trPr>
        <w:tc>
          <w:tcPr>
            <w:tcW w:w="7300" w:type="dxa"/>
            <w:vAlign w:val="bottom"/>
          </w:tcPr>
          <w:p>
            <w:pPr>
              <w:ind w:left="80"/>
              <w:spacing w:after="0"/>
              <w:rPr>
                <w:sz w:val="20"/>
                <w:szCs w:val="20"/>
                <w:color w:val="auto"/>
              </w:rPr>
            </w:pPr>
            <w:r>
              <w:rPr>
                <w:rFonts w:ascii="Arial" w:cs="Arial" w:eastAsia="Arial" w:hAnsi="Arial"/>
                <w:sz w:val="16"/>
                <w:szCs w:val="16"/>
                <w:color w:val="auto"/>
              </w:rPr>
              <w:t>Owen Mahoney</w:t>
            </w:r>
          </w:p>
        </w:tc>
        <w:tc>
          <w:tcPr>
            <w:tcW w:w="2240" w:type="dxa"/>
            <w:vAlign w:val="bottom"/>
          </w:tcPr>
          <w:p>
            <w:pPr>
              <w:jc w:val="right"/>
              <w:ind w:right="280"/>
              <w:spacing w:after="0"/>
              <w:rPr>
                <w:sz w:val="20"/>
                <w:szCs w:val="20"/>
                <w:color w:val="auto"/>
              </w:rPr>
            </w:pPr>
            <w:r>
              <w:rPr>
                <w:rFonts w:ascii="Arial" w:cs="Arial" w:eastAsia="Arial" w:hAnsi="Arial"/>
                <w:sz w:val="16"/>
                <w:szCs w:val="16"/>
                <w:color w:val="auto"/>
              </w:rPr>
              <w:t>6,021    </w:t>
            </w:r>
          </w:p>
        </w:tc>
        <w:tc>
          <w:tcPr>
            <w:tcW w:w="138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00" w:type="dxa"/>
            <w:vAlign w:val="bottom"/>
            <w:tcBorders>
              <w:bottom w:val="single" w:sz="8" w:color="009BDE"/>
            </w:tcBorders>
          </w:tcPr>
          <w:p>
            <w:pPr>
              <w:spacing w:after="0"/>
              <w:rPr>
                <w:sz w:val="8"/>
                <w:szCs w:val="8"/>
                <w:color w:val="auto"/>
              </w:rPr>
            </w:pPr>
          </w:p>
        </w:tc>
        <w:tc>
          <w:tcPr>
            <w:tcW w:w="22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r>
      <w:tr>
        <w:trPr>
          <w:trHeight w:val="284"/>
        </w:trPr>
        <w:tc>
          <w:tcPr>
            <w:tcW w:w="7300" w:type="dxa"/>
            <w:vAlign w:val="bottom"/>
          </w:tcPr>
          <w:p>
            <w:pPr>
              <w:ind w:left="80"/>
              <w:spacing w:after="0"/>
              <w:rPr>
                <w:sz w:val="20"/>
                <w:szCs w:val="20"/>
                <w:color w:val="auto"/>
              </w:rPr>
            </w:pPr>
            <w:r>
              <w:rPr>
                <w:rFonts w:ascii="Arial" w:cs="Arial" w:eastAsia="Arial" w:hAnsi="Arial"/>
                <w:sz w:val="16"/>
                <w:szCs w:val="16"/>
                <w:color w:val="auto"/>
              </w:rPr>
              <w:t>Laurel J. Richie(8)</w:t>
            </w:r>
          </w:p>
        </w:tc>
        <w:tc>
          <w:tcPr>
            <w:tcW w:w="2240" w:type="dxa"/>
            <w:vAlign w:val="bottom"/>
          </w:tcPr>
          <w:p>
            <w:pPr>
              <w:jc w:val="right"/>
              <w:ind w:right="280"/>
              <w:spacing w:after="0"/>
              <w:rPr>
                <w:sz w:val="20"/>
                <w:szCs w:val="20"/>
                <w:color w:val="auto"/>
              </w:rPr>
            </w:pPr>
            <w:r>
              <w:rPr>
                <w:rFonts w:ascii="Arial" w:cs="Arial" w:eastAsia="Arial" w:hAnsi="Arial"/>
                <w:sz w:val="16"/>
                <w:szCs w:val="16"/>
                <w:color w:val="auto"/>
              </w:rPr>
              <w:t>13,087    </w:t>
            </w:r>
          </w:p>
        </w:tc>
        <w:tc>
          <w:tcPr>
            <w:tcW w:w="138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00" w:type="dxa"/>
            <w:vAlign w:val="bottom"/>
            <w:tcBorders>
              <w:bottom w:val="single" w:sz="8" w:color="009BDE"/>
            </w:tcBorders>
          </w:tcPr>
          <w:p>
            <w:pPr>
              <w:spacing w:after="0"/>
              <w:rPr>
                <w:sz w:val="8"/>
                <w:szCs w:val="8"/>
                <w:color w:val="auto"/>
              </w:rPr>
            </w:pPr>
          </w:p>
        </w:tc>
        <w:tc>
          <w:tcPr>
            <w:tcW w:w="22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r>
      <w:tr>
        <w:trPr>
          <w:trHeight w:val="284"/>
        </w:trPr>
        <w:tc>
          <w:tcPr>
            <w:tcW w:w="7300" w:type="dxa"/>
            <w:vAlign w:val="bottom"/>
          </w:tcPr>
          <w:p>
            <w:pPr>
              <w:ind w:left="80"/>
              <w:spacing w:after="0"/>
              <w:rPr>
                <w:sz w:val="20"/>
                <w:szCs w:val="20"/>
                <w:color w:val="auto"/>
              </w:rPr>
            </w:pPr>
            <w:r>
              <w:rPr>
                <w:rFonts w:ascii="Arial" w:cs="Arial" w:eastAsia="Arial" w:hAnsi="Arial"/>
                <w:sz w:val="16"/>
                <w:szCs w:val="16"/>
                <w:color w:val="auto"/>
              </w:rPr>
              <w:t>Tarrant Sibley(9)</w:t>
            </w:r>
          </w:p>
        </w:tc>
        <w:tc>
          <w:tcPr>
            <w:tcW w:w="2240" w:type="dxa"/>
            <w:vAlign w:val="bottom"/>
          </w:tcPr>
          <w:p>
            <w:pPr>
              <w:jc w:val="right"/>
              <w:ind w:right="280"/>
              <w:spacing w:after="0"/>
              <w:rPr>
                <w:sz w:val="20"/>
                <w:szCs w:val="20"/>
                <w:color w:val="auto"/>
              </w:rPr>
            </w:pPr>
            <w:r>
              <w:rPr>
                <w:rFonts w:ascii="Arial" w:cs="Arial" w:eastAsia="Arial" w:hAnsi="Arial"/>
                <w:sz w:val="16"/>
                <w:szCs w:val="16"/>
                <w:color w:val="auto"/>
              </w:rPr>
              <w:t>160,074    </w:t>
            </w:r>
          </w:p>
        </w:tc>
        <w:tc>
          <w:tcPr>
            <w:tcW w:w="138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00" w:type="dxa"/>
            <w:vAlign w:val="bottom"/>
            <w:tcBorders>
              <w:bottom w:val="single" w:sz="8" w:color="009BDE"/>
            </w:tcBorders>
          </w:tcPr>
          <w:p>
            <w:pPr>
              <w:spacing w:after="0"/>
              <w:rPr>
                <w:sz w:val="8"/>
                <w:szCs w:val="8"/>
                <w:color w:val="auto"/>
              </w:rPr>
            </w:pPr>
          </w:p>
        </w:tc>
        <w:tc>
          <w:tcPr>
            <w:tcW w:w="22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r>
      <w:tr>
        <w:trPr>
          <w:trHeight w:val="284"/>
        </w:trPr>
        <w:tc>
          <w:tcPr>
            <w:tcW w:w="7300" w:type="dxa"/>
            <w:vAlign w:val="bottom"/>
          </w:tcPr>
          <w:p>
            <w:pPr>
              <w:ind w:left="80"/>
              <w:spacing w:after="0"/>
              <w:rPr>
                <w:sz w:val="20"/>
                <w:szCs w:val="20"/>
                <w:color w:val="auto"/>
              </w:rPr>
            </w:pPr>
            <w:r>
              <w:rPr>
                <w:rFonts w:ascii="Arial" w:cs="Arial" w:eastAsia="Arial" w:hAnsi="Arial"/>
                <w:sz w:val="16"/>
                <w:szCs w:val="16"/>
                <w:color w:val="auto"/>
              </w:rPr>
              <w:t>Richard S. Stoddart(10)</w:t>
            </w:r>
          </w:p>
        </w:tc>
        <w:tc>
          <w:tcPr>
            <w:tcW w:w="2240" w:type="dxa"/>
            <w:vAlign w:val="bottom"/>
          </w:tcPr>
          <w:p>
            <w:pPr>
              <w:jc w:val="right"/>
              <w:ind w:right="280"/>
              <w:spacing w:after="0"/>
              <w:rPr>
                <w:sz w:val="20"/>
                <w:szCs w:val="20"/>
                <w:color w:val="auto"/>
              </w:rPr>
            </w:pPr>
            <w:r>
              <w:rPr>
                <w:rFonts w:ascii="Arial" w:cs="Arial" w:eastAsia="Arial" w:hAnsi="Arial"/>
                <w:sz w:val="16"/>
                <w:szCs w:val="16"/>
                <w:color w:val="auto"/>
              </w:rPr>
              <w:t>58,896    </w:t>
            </w:r>
          </w:p>
        </w:tc>
        <w:tc>
          <w:tcPr>
            <w:tcW w:w="138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00" w:type="dxa"/>
            <w:vAlign w:val="bottom"/>
            <w:tcBorders>
              <w:bottom w:val="single" w:sz="8" w:color="009BDE"/>
            </w:tcBorders>
          </w:tcPr>
          <w:p>
            <w:pPr>
              <w:spacing w:after="0"/>
              <w:rPr>
                <w:sz w:val="8"/>
                <w:szCs w:val="8"/>
                <w:color w:val="auto"/>
              </w:rPr>
            </w:pPr>
          </w:p>
        </w:tc>
        <w:tc>
          <w:tcPr>
            <w:tcW w:w="22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r>
      <w:tr>
        <w:trPr>
          <w:trHeight w:val="284"/>
        </w:trPr>
        <w:tc>
          <w:tcPr>
            <w:tcW w:w="7300" w:type="dxa"/>
            <w:vAlign w:val="bottom"/>
          </w:tcPr>
          <w:p>
            <w:pPr>
              <w:ind w:left="80"/>
              <w:spacing w:after="0"/>
              <w:rPr>
                <w:sz w:val="20"/>
                <w:szCs w:val="20"/>
                <w:color w:val="auto"/>
              </w:rPr>
            </w:pPr>
            <w:r>
              <w:rPr>
                <w:rFonts w:ascii="Arial" w:cs="Arial" w:eastAsia="Arial" w:hAnsi="Arial"/>
                <w:sz w:val="16"/>
                <w:szCs w:val="16"/>
                <w:color w:val="auto"/>
              </w:rPr>
              <w:t>Carla Vernón</w:t>
            </w:r>
          </w:p>
        </w:tc>
        <w:tc>
          <w:tcPr>
            <w:tcW w:w="2240" w:type="dxa"/>
            <w:vAlign w:val="bottom"/>
          </w:tcPr>
          <w:p>
            <w:pPr>
              <w:jc w:val="right"/>
              <w:ind w:right="280"/>
              <w:spacing w:after="0"/>
              <w:rPr>
                <w:sz w:val="20"/>
                <w:szCs w:val="20"/>
                <w:color w:val="auto"/>
              </w:rPr>
            </w:pPr>
            <w:r>
              <w:rPr>
                <w:rFonts w:ascii="Arial" w:cs="Arial" w:eastAsia="Arial" w:hAnsi="Arial"/>
                <w:sz w:val="16"/>
                <w:szCs w:val="16"/>
                <w:color w:val="auto"/>
              </w:rPr>
              <w:t>750    </w:t>
            </w:r>
          </w:p>
        </w:tc>
        <w:tc>
          <w:tcPr>
            <w:tcW w:w="138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00" w:type="dxa"/>
            <w:vAlign w:val="bottom"/>
            <w:tcBorders>
              <w:bottom w:val="single" w:sz="8" w:color="009BDE"/>
            </w:tcBorders>
          </w:tcPr>
          <w:p>
            <w:pPr>
              <w:spacing w:after="0"/>
              <w:rPr>
                <w:sz w:val="8"/>
                <w:szCs w:val="8"/>
                <w:color w:val="auto"/>
              </w:rPr>
            </w:pPr>
          </w:p>
        </w:tc>
        <w:tc>
          <w:tcPr>
            <w:tcW w:w="22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r>
      <w:tr>
        <w:trPr>
          <w:trHeight w:val="284"/>
        </w:trPr>
        <w:tc>
          <w:tcPr>
            <w:tcW w:w="7300" w:type="dxa"/>
            <w:vAlign w:val="bottom"/>
          </w:tcPr>
          <w:p>
            <w:pPr>
              <w:ind w:left="80"/>
              <w:spacing w:after="0"/>
              <w:rPr>
                <w:sz w:val="20"/>
                <w:szCs w:val="20"/>
                <w:color w:val="auto"/>
              </w:rPr>
            </w:pPr>
            <w:r>
              <w:rPr>
                <w:rFonts w:ascii="Arial" w:cs="Arial" w:eastAsia="Arial" w:hAnsi="Arial"/>
                <w:sz w:val="16"/>
                <w:szCs w:val="16"/>
                <w:color w:val="auto"/>
              </w:rPr>
              <w:t>Mary Beth West(11)</w:t>
            </w:r>
          </w:p>
        </w:tc>
        <w:tc>
          <w:tcPr>
            <w:tcW w:w="2240" w:type="dxa"/>
            <w:vAlign w:val="bottom"/>
          </w:tcPr>
          <w:p>
            <w:pPr>
              <w:jc w:val="right"/>
              <w:ind w:right="280"/>
              <w:spacing w:after="0"/>
              <w:rPr>
                <w:sz w:val="20"/>
                <w:szCs w:val="20"/>
                <w:color w:val="auto"/>
              </w:rPr>
            </w:pPr>
            <w:r>
              <w:rPr>
                <w:rFonts w:ascii="Arial" w:cs="Arial" w:eastAsia="Arial" w:hAnsi="Arial"/>
                <w:sz w:val="16"/>
                <w:szCs w:val="16"/>
                <w:color w:val="auto"/>
              </w:rPr>
              <w:t>21,102    </w:t>
            </w:r>
          </w:p>
        </w:tc>
        <w:tc>
          <w:tcPr>
            <w:tcW w:w="138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97"/>
        </w:trPr>
        <w:tc>
          <w:tcPr>
            <w:tcW w:w="7300" w:type="dxa"/>
            <w:vAlign w:val="bottom"/>
            <w:tcBorders>
              <w:bottom w:val="single" w:sz="8" w:color="009BDE"/>
            </w:tcBorders>
          </w:tcPr>
          <w:p>
            <w:pPr>
              <w:spacing w:after="0"/>
              <w:rPr>
                <w:sz w:val="8"/>
                <w:szCs w:val="8"/>
                <w:color w:val="auto"/>
              </w:rPr>
            </w:pPr>
          </w:p>
        </w:tc>
        <w:tc>
          <w:tcPr>
            <w:tcW w:w="22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r>
      <w:tr>
        <w:trPr>
          <w:trHeight w:val="284"/>
        </w:trPr>
        <w:tc>
          <w:tcPr>
            <w:tcW w:w="7300" w:type="dxa"/>
            <w:vAlign w:val="bottom"/>
          </w:tcPr>
          <w:p>
            <w:pPr>
              <w:ind w:left="80"/>
              <w:spacing w:after="0"/>
              <w:rPr>
                <w:sz w:val="20"/>
                <w:szCs w:val="20"/>
                <w:color w:val="auto"/>
              </w:rPr>
            </w:pPr>
            <w:r>
              <w:rPr>
                <w:rFonts w:ascii="Arial" w:cs="Arial" w:eastAsia="Arial" w:hAnsi="Arial"/>
                <w:sz w:val="16"/>
                <w:szCs w:val="16"/>
                <w:color w:val="auto"/>
              </w:rPr>
              <w:t>All Current Directors and Executive Officers as a Group (includes 18 persons)(12)</w:t>
            </w:r>
          </w:p>
        </w:tc>
        <w:tc>
          <w:tcPr>
            <w:tcW w:w="2240" w:type="dxa"/>
            <w:vAlign w:val="bottom"/>
          </w:tcPr>
          <w:p>
            <w:pPr>
              <w:jc w:val="right"/>
              <w:ind w:right="280"/>
              <w:spacing w:after="0"/>
              <w:rPr>
                <w:sz w:val="20"/>
                <w:szCs w:val="20"/>
                <w:color w:val="auto"/>
              </w:rPr>
            </w:pPr>
            <w:r>
              <w:rPr>
                <w:rFonts w:ascii="Arial" w:cs="Arial" w:eastAsia="Arial" w:hAnsi="Arial"/>
                <w:sz w:val="16"/>
                <w:szCs w:val="16"/>
                <w:color w:val="auto"/>
              </w:rPr>
              <w:t>1,004,613    </w:t>
            </w:r>
          </w:p>
        </w:tc>
        <w:tc>
          <w:tcPr>
            <w:tcW w:w="1380" w:type="dxa"/>
            <w:vAlign w:val="bottom"/>
          </w:tcPr>
          <w:p>
            <w:pPr>
              <w:jc w:val="right"/>
              <w:ind w:right="3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61595</wp:posOffset>
            </wp:positionV>
            <wp:extent cx="692975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ind w:left="600" w:hanging="433"/>
        <w:spacing w:after="0"/>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80" w:lineRule="exact"/>
        <w:rPr>
          <w:sz w:val="20"/>
          <w:szCs w:val="20"/>
          <w:color w:val="auto"/>
        </w:rPr>
      </w:pPr>
    </w:p>
    <w:p>
      <w:pPr>
        <w:ind w:left="600" w:right="80" w:hanging="433"/>
        <w:spacing w:after="0" w:line="281" w:lineRule="auto"/>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Information in this table is based upon information furnished by each director and executive officer. There were 141,576,068 shares of Common Stock outstanding on March 31, 2026.</w:t>
      </w:r>
    </w:p>
    <w:p>
      <w:pPr>
        <w:spacing w:after="0" w:line="24" w:lineRule="exact"/>
        <w:rPr>
          <w:rFonts w:ascii="Arial" w:cs="Arial" w:eastAsia="Arial" w:hAnsi="Arial"/>
          <w:sz w:val="14"/>
          <w:szCs w:val="14"/>
          <w:color w:val="auto"/>
        </w:rPr>
      </w:pPr>
    </w:p>
    <w:p>
      <w:pPr>
        <w:ind w:left="600" w:hanging="433"/>
        <w:spacing w:after="0"/>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Comprised of 750 shares the receipt of which is deferred until Mr. Bowser retires from the Board.</w:t>
      </w:r>
    </w:p>
    <w:p>
      <w:pPr>
        <w:spacing w:after="0" w:line="79" w:lineRule="exact"/>
        <w:rPr>
          <w:rFonts w:ascii="Arial" w:cs="Arial" w:eastAsia="Arial" w:hAnsi="Arial"/>
          <w:sz w:val="14"/>
          <w:szCs w:val="14"/>
          <w:color w:val="auto"/>
        </w:rPr>
      </w:pPr>
    </w:p>
    <w:p>
      <w:pPr>
        <w:ind w:left="600" w:hanging="433"/>
        <w:spacing w:after="0"/>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unvested restricted stock units, together with accrued unvested dividend equivalent units, to acquire 97,414 shares.</w:t>
      </w:r>
    </w:p>
    <w:p>
      <w:pPr>
        <w:spacing w:after="0" w:line="79" w:lineRule="exact"/>
        <w:rPr>
          <w:rFonts w:ascii="Arial" w:cs="Arial" w:eastAsia="Arial" w:hAnsi="Arial"/>
          <w:sz w:val="14"/>
          <w:szCs w:val="14"/>
          <w:color w:val="auto"/>
        </w:rPr>
      </w:pPr>
    </w:p>
    <w:p>
      <w:pPr>
        <w:ind w:left="600" w:right="40" w:hanging="433"/>
        <w:spacing w:after="0" w:line="281" w:lineRule="auto"/>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35,304 shares the receipt of which is deferred until Ms. Gersh retires from the Board and 44,562 shares deemed to be held in Ms. Gersh’s stock unit account under the Deferred Plan.</w:t>
      </w:r>
    </w:p>
    <w:p>
      <w:pPr>
        <w:spacing w:after="0" w:line="24" w:lineRule="exact"/>
        <w:rPr>
          <w:rFonts w:ascii="Arial" w:cs="Arial" w:eastAsia="Arial" w:hAnsi="Arial"/>
          <w:sz w:val="14"/>
          <w:szCs w:val="14"/>
          <w:color w:val="auto"/>
        </w:rPr>
      </w:pPr>
    </w:p>
    <w:p>
      <w:pPr>
        <w:ind w:left="600" w:hanging="433"/>
        <w:spacing w:after="0"/>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unvested restricted stock units, together with accrued unvested dividend equivalent units, to acquire 57,350 shares.</w:t>
      </w:r>
    </w:p>
    <w:p>
      <w:pPr>
        <w:spacing w:after="0" w:line="79" w:lineRule="exact"/>
        <w:rPr>
          <w:rFonts w:ascii="Arial" w:cs="Arial" w:eastAsia="Arial" w:hAnsi="Arial"/>
          <w:sz w:val="14"/>
          <w:szCs w:val="14"/>
          <w:color w:val="auto"/>
        </w:rPr>
      </w:pPr>
    </w:p>
    <w:p>
      <w:pPr>
        <w:ind w:left="600" w:hanging="433"/>
        <w:spacing w:after="0"/>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unvested restricted stock units, together with accrued unvested dividend equivalent units, to acquire 48,389 shares.</w:t>
      </w:r>
    </w:p>
    <w:p>
      <w:pPr>
        <w:spacing w:after="0" w:line="79" w:lineRule="exact"/>
        <w:rPr>
          <w:rFonts w:ascii="Arial" w:cs="Arial" w:eastAsia="Arial" w:hAnsi="Arial"/>
          <w:sz w:val="14"/>
          <w:szCs w:val="14"/>
          <w:color w:val="auto"/>
        </w:rPr>
      </w:pPr>
    </w:p>
    <w:p>
      <w:pPr>
        <w:ind w:left="600" w:right="320" w:hanging="433"/>
        <w:spacing w:after="0" w:line="281" w:lineRule="auto"/>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currently exercisable options and options exercisable within sixty days of March 31, 2026 to purchase 22,959 shares and unvested restricted stock units, together with accrued unvested dividend equivalent units, to acquire 37,391 shares.</w:t>
      </w:r>
    </w:p>
    <w:p>
      <w:pPr>
        <w:spacing w:after="0" w:line="24" w:lineRule="exact"/>
        <w:rPr>
          <w:rFonts w:ascii="Arial" w:cs="Arial" w:eastAsia="Arial" w:hAnsi="Arial"/>
          <w:sz w:val="14"/>
          <w:szCs w:val="14"/>
          <w:color w:val="auto"/>
        </w:rPr>
      </w:pPr>
    </w:p>
    <w:p>
      <w:pPr>
        <w:ind w:left="600" w:hanging="433"/>
        <w:spacing w:after="0"/>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Comprised of 13,087 shares the receipt of which is deferred until Ms. Richie retires from the Board.</w:t>
      </w:r>
    </w:p>
    <w:p>
      <w:pPr>
        <w:spacing w:after="0" w:line="79" w:lineRule="exact"/>
        <w:rPr>
          <w:rFonts w:ascii="Arial" w:cs="Arial" w:eastAsia="Arial" w:hAnsi="Arial"/>
          <w:sz w:val="14"/>
          <w:szCs w:val="14"/>
          <w:color w:val="auto"/>
        </w:rPr>
      </w:pPr>
    </w:p>
    <w:p>
      <w:pPr>
        <w:ind w:left="600" w:right="320" w:hanging="433"/>
        <w:spacing w:after="0" w:line="281" w:lineRule="auto"/>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currently exercisable options and options exercisable within sixty days of March 31, 2026 to purchase 95,790 shares and unvested restricted stock units, together with accrued unvested dividend equivalent units, to acquire 15,096 shares.</w:t>
      </w:r>
    </w:p>
    <w:p>
      <w:pPr>
        <w:spacing w:after="0" w:line="24" w:lineRule="exact"/>
        <w:rPr>
          <w:rFonts w:ascii="Arial" w:cs="Arial" w:eastAsia="Arial" w:hAnsi="Arial"/>
          <w:sz w:val="14"/>
          <w:szCs w:val="14"/>
          <w:color w:val="auto"/>
        </w:rPr>
      </w:pPr>
    </w:p>
    <w:p>
      <w:pPr>
        <w:ind w:left="600" w:right="40" w:hanging="433"/>
        <w:spacing w:after="0" w:line="281" w:lineRule="auto"/>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Comprised of 23,034 shares the receipt of which is deferred until Mr. Stoddart retires from the Board and 16,780 shares deemed to be held in Mr. Stoddart’s stock unit account under the Deferred Plan.</w:t>
      </w:r>
    </w:p>
    <w:p>
      <w:pPr>
        <w:spacing w:after="0" w:line="24" w:lineRule="exact"/>
        <w:rPr>
          <w:rFonts w:ascii="Arial" w:cs="Arial" w:eastAsia="Arial" w:hAnsi="Arial"/>
          <w:sz w:val="14"/>
          <w:szCs w:val="14"/>
          <w:color w:val="auto"/>
        </w:rPr>
      </w:pPr>
    </w:p>
    <w:p>
      <w:pPr>
        <w:ind w:left="600" w:hanging="433"/>
        <w:spacing w:after="0"/>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Comprised of 16,242 shares the receipt of which is deferred until Ms. West retires from the Board.</w:t>
      </w:r>
    </w:p>
    <w:p>
      <w:pPr>
        <w:spacing w:after="0" w:line="79" w:lineRule="exact"/>
        <w:rPr>
          <w:rFonts w:ascii="Arial" w:cs="Arial" w:eastAsia="Arial" w:hAnsi="Arial"/>
          <w:sz w:val="14"/>
          <w:szCs w:val="14"/>
          <w:color w:val="auto"/>
        </w:rPr>
      </w:pPr>
    </w:p>
    <w:p>
      <w:pPr>
        <w:ind w:left="600" w:right="240" w:hanging="433"/>
        <w:spacing w:after="0" w:line="260" w:lineRule="auto"/>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118,749 shares purchasable by directors and executive officers upon exercise of currently exercisable options or options exercisable within sixty days of March 31, 2026; 319,515 shares subject to unvested restricted stock units, together with accrued unvested dividend equivalent units; 88,417 shares deemed to be held in director stock unit accounts under the Deferred Plan; and 61,342 shares the receipt of which has been deferred by directors until they retire from the Board.</w:t>
      </w:r>
    </w:p>
    <w:p>
      <w:pPr>
        <w:spacing w:after="0" w:line="200" w:lineRule="exact"/>
        <w:rPr>
          <w:rFonts w:ascii="Arial" w:cs="Arial" w:eastAsia="Arial" w:hAnsi="Arial"/>
          <w:sz w:val="14"/>
          <w:szCs w:val="14"/>
          <w:color w:val="auto"/>
        </w:rPr>
      </w:pPr>
    </w:p>
    <w:p>
      <w:pPr>
        <w:spacing w:after="0" w:line="341" w:lineRule="exact"/>
        <w:rPr>
          <w:rFonts w:ascii="Arial" w:cs="Arial" w:eastAsia="Arial" w:hAnsi="Arial"/>
          <w:sz w:val="14"/>
          <w:szCs w:val="14"/>
          <w:color w:val="auto"/>
        </w:rPr>
      </w:pPr>
    </w:p>
    <w:p>
      <w:pPr>
        <w:ind w:left="300" w:hanging="80"/>
        <w:spacing w:after="0"/>
        <w:tabs>
          <w:tab w:leader="none" w:pos="300" w:val="left"/>
        </w:tabs>
        <w:numPr>
          <w:ilvl w:val="1"/>
          <w:numId w:val="79"/>
        </w:numPr>
        <w:rPr>
          <w:rFonts w:ascii="Arial" w:cs="Arial" w:eastAsia="Arial" w:hAnsi="Arial"/>
          <w:sz w:val="15"/>
          <w:szCs w:val="15"/>
          <w:b w:val="1"/>
          <w:bCs w:val="1"/>
          <w:color w:val="FCFCFC"/>
        </w:rPr>
      </w:pPr>
      <w:r>
        <w:rPr>
          <w:rFonts w:ascii="Arial" w:cs="Arial" w:eastAsia="Arial" w:hAnsi="Arial"/>
          <w:sz w:val="15"/>
          <w:szCs w:val="15"/>
          <w:b w:val="1"/>
          <w:bCs w:val="1"/>
          <w:color w:val="FCFCFC"/>
        </w:rPr>
        <w: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-227330</wp:posOffset>
            </wp:positionV>
            <wp:extent cx="6964045" cy="39052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Equity Compensation Plans</w:t>
      </w:r>
    </w:p>
    <w:p>
      <w:pPr>
        <w:spacing w:after="0" w:line="154" w:lineRule="exact"/>
        <w:rPr>
          <w:sz w:val="20"/>
          <w:szCs w:val="20"/>
          <w:color w:val="auto"/>
        </w:rPr>
      </w:pPr>
    </w:p>
    <w:p>
      <w:pPr>
        <w:ind w:left="160" w:right="60"/>
        <w:spacing w:after="0" w:line="279" w:lineRule="auto"/>
        <w:rPr>
          <w:sz w:val="20"/>
          <w:szCs w:val="20"/>
          <w:color w:val="auto"/>
        </w:rPr>
      </w:pPr>
      <w:r>
        <w:rPr>
          <w:rFonts w:ascii="Arial" w:cs="Arial" w:eastAsia="Arial" w:hAnsi="Arial"/>
          <w:sz w:val="16"/>
          <w:szCs w:val="16"/>
          <w:color w:val="auto"/>
        </w:rPr>
        <w:t>The following table summarizes information, as of December 28, 2025, relating to equity compensation plans of the Company pursuant to which grants of stock options, restricted stock, restricted stock units, performance shares or other rights to acquire shares may be granted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204470</wp:posOffset>
            </wp:positionV>
            <wp:extent cx="6929755" cy="39052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6929755" cy="390525"/>
                    </a:xfrm>
                    <a:prstGeom prst="rect">
                      <a:avLst/>
                    </a:prstGeom>
                    <a:noFill/>
                  </pic:spPr>
                </pic:pic>
              </a:graphicData>
            </a:graphic>
          </wp:anchor>
        </w:drawing>
      </w:r>
    </w:p>
    <w:p>
      <w:pPr>
        <w:spacing w:after="0" w:line="376"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Equity Compensation Plan Information</w:t>
      </w:r>
    </w:p>
    <w:p>
      <w:pPr>
        <w:spacing w:after="0" w:line="195" w:lineRule="exact"/>
        <w:rPr>
          <w:sz w:val="20"/>
          <w:szCs w:val="20"/>
          <w:color w:val="auto"/>
        </w:rPr>
      </w:pPr>
    </w:p>
    <w:tbl>
      <w:tblPr>
        <w:tblLayout w:type="fixed"/>
        <w:tblInd w:w="160" w:type="dxa"/>
        <w:tblCellMar>
          <w:top w:w="0" w:type="dxa"/>
          <w:left w:w="0" w:type="dxa"/>
          <w:bottom w:w="0" w:type="dxa"/>
          <w:right w:w="0" w:type="dxa"/>
        </w:tblCellMar>
      </w:tblPr>
      <w:tr>
        <w:trPr>
          <w:trHeight w:val="94"/>
        </w:trPr>
        <w:tc>
          <w:tcPr>
            <w:tcW w:w="2520" w:type="dxa"/>
            <w:vAlign w:val="bottom"/>
            <w:tcBorders>
              <w:top w:val="single" w:sz="8" w:color="0060ED"/>
            </w:tcBorders>
            <w:shd w:val="clear" w:color="auto" w:fill="CCEBF8"/>
          </w:tcPr>
          <w:p>
            <w:pPr>
              <w:spacing w:after="0"/>
              <w:rPr>
                <w:sz w:val="8"/>
                <w:szCs w:val="8"/>
                <w:color w:val="auto"/>
              </w:rPr>
            </w:pPr>
          </w:p>
        </w:tc>
        <w:tc>
          <w:tcPr>
            <w:tcW w:w="3300" w:type="dxa"/>
            <w:vAlign w:val="bottom"/>
            <w:tcBorders>
              <w:top w:val="single" w:sz="8" w:color="0060ED"/>
            </w:tcBorders>
            <w:shd w:val="clear" w:color="auto" w:fill="CCEBF8"/>
          </w:tcPr>
          <w:p>
            <w:pPr>
              <w:spacing w:after="0"/>
              <w:rPr>
                <w:sz w:val="8"/>
                <w:szCs w:val="8"/>
                <w:color w:val="auto"/>
              </w:rPr>
            </w:pPr>
          </w:p>
        </w:tc>
        <w:tc>
          <w:tcPr>
            <w:tcW w:w="600" w:type="dxa"/>
            <w:vAlign w:val="bottom"/>
            <w:tcBorders>
              <w:top w:val="single" w:sz="8" w:color="0060ED"/>
            </w:tcBorders>
            <w:shd w:val="clear" w:color="auto" w:fill="CCEBF8"/>
          </w:tcPr>
          <w:p>
            <w:pPr>
              <w:spacing w:after="0"/>
              <w:rPr>
                <w:sz w:val="8"/>
                <w:szCs w:val="8"/>
                <w:color w:val="auto"/>
              </w:rPr>
            </w:pPr>
          </w:p>
        </w:tc>
        <w:tc>
          <w:tcPr>
            <w:tcW w:w="2040" w:type="dxa"/>
            <w:vAlign w:val="bottom"/>
            <w:tcBorders>
              <w:top w:val="single" w:sz="8" w:color="0060ED"/>
            </w:tcBorders>
            <w:shd w:val="clear" w:color="auto" w:fill="CCEBF8"/>
          </w:tcPr>
          <w:p>
            <w:pPr>
              <w:spacing w:after="0"/>
              <w:rPr>
                <w:sz w:val="8"/>
                <w:szCs w:val="8"/>
                <w:color w:val="auto"/>
              </w:rPr>
            </w:pPr>
          </w:p>
        </w:tc>
        <w:tc>
          <w:tcPr>
            <w:tcW w:w="2460" w:type="dxa"/>
            <w:vAlign w:val="bottom"/>
            <w:tcBorders>
              <w:top w:val="single" w:sz="8" w:color="0060ED"/>
            </w:tcBorders>
            <w:shd w:val="clear" w:color="auto" w:fill="CCEBF8"/>
          </w:tcPr>
          <w:p>
            <w:pPr>
              <w:spacing w:after="0"/>
              <w:rPr>
                <w:sz w:val="8"/>
                <w:szCs w:val="8"/>
                <w:color w:val="auto"/>
              </w:rPr>
            </w:pPr>
          </w:p>
        </w:tc>
        <w:tc>
          <w:tcPr>
            <w:tcW w:w="20" w:type="dxa"/>
            <w:vAlign w:val="bottom"/>
          </w:tcPr>
          <w:p>
            <w:pPr>
              <w:spacing w:after="0"/>
              <w:rPr>
                <w:sz w:val="8"/>
                <w:szCs w:val="8"/>
                <w:color w:val="auto"/>
              </w:rPr>
            </w:pPr>
          </w:p>
        </w:tc>
      </w:tr>
      <w:tr>
        <w:trPr>
          <w:trHeight w:val="173"/>
        </w:trPr>
        <w:tc>
          <w:tcPr>
            <w:tcW w:w="2520" w:type="dxa"/>
            <w:vAlign w:val="bottom"/>
            <w:shd w:val="clear" w:color="auto" w:fill="CCEBF8"/>
          </w:tcPr>
          <w:p>
            <w:pPr>
              <w:spacing w:after="0"/>
              <w:rPr>
                <w:sz w:val="15"/>
                <w:szCs w:val="15"/>
                <w:color w:val="auto"/>
              </w:rPr>
            </w:pPr>
          </w:p>
        </w:tc>
        <w:tc>
          <w:tcPr>
            <w:tcW w:w="3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60" w:type="dxa"/>
            <w:vAlign w:val="bottom"/>
          </w:tcPr>
          <w:p>
            <w:pPr>
              <w:jc w:val="center"/>
              <w:ind w:left="440"/>
              <w:spacing w:after="0" w:line="173" w:lineRule="exact"/>
              <w:rPr>
                <w:sz w:val="20"/>
                <w:szCs w:val="20"/>
                <w:color w:val="auto"/>
              </w:rPr>
            </w:pPr>
            <w:r>
              <w:rPr>
                <w:rFonts w:ascii="Arial" w:cs="Arial" w:eastAsia="Arial" w:hAnsi="Arial"/>
                <w:sz w:val="16"/>
                <w:szCs w:val="16"/>
                <w:b w:val="1"/>
                <w:bCs w:val="1"/>
                <w:color w:val="009BDE"/>
              </w:rPr>
              <w:t>Number of Securities</w:t>
            </w:r>
          </w:p>
        </w:tc>
        <w:tc>
          <w:tcPr>
            <w:tcW w:w="20" w:type="dxa"/>
            <w:vAlign w:val="bottom"/>
          </w:tcPr>
          <w:p>
            <w:pPr>
              <w:spacing w:after="0"/>
              <w:rPr>
                <w:sz w:val="15"/>
                <w:szCs w:val="15"/>
                <w:color w:val="auto"/>
              </w:rPr>
            </w:pPr>
          </w:p>
        </w:tc>
      </w:tr>
      <w:tr>
        <w:trPr>
          <w:trHeight w:val="187"/>
        </w:trPr>
        <w:tc>
          <w:tcPr>
            <w:tcW w:w="2520" w:type="dxa"/>
            <w:vAlign w:val="bottom"/>
            <w:shd w:val="clear" w:color="auto" w:fill="CCEBF8"/>
          </w:tcPr>
          <w:p>
            <w:pPr>
              <w:spacing w:after="0"/>
              <w:rPr>
                <w:sz w:val="16"/>
                <w:szCs w:val="16"/>
                <w:color w:val="auto"/>
              </w:rPr>
            </w:pPr>
          </w:p>
        </w:tc>
        <w:tc>
          <w:tcPr>
            <w:tcW w:w="3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80" w:type="dxa"/>
            <w:vAlign w:val="bottom"/>
            <w:gridSpan w:val="2"/>
          </w:tcPr>
          <w:p>
            <w:pPr>
              <w:jc w:val="center"/>
              <w:ind w:left="440"/>
              <w:spacing w:after="0"/>
              <w:rPr>
                <w:sz w:val="20"/>
                <w:szCs w:val="20"/>
                <w:color w:val="auto"/>
              </w:rPr>
            </w:pPr>
            <w:r>
              <w:rPr>
                <w:rFonts w:ascii="Arial" w:cs="Arial" w:eastAsia="Arial" w:hAnsi="Arial"/>
                <w:sz w:val="16"/>
                <w:szCs w:val="16"/>
                <w:b w:val="1"/>
                <w:bCs w:val="1"/>
                <w:color w:val="009BDE"/>
              </w:rPr>
              <w:t xml:space="preserve">Remaining Available for   </w:t>
            </w:r>
          </w:p>
        </w:tc>
      </w:tr>
      <w:tr>
        <w:trPr>
          <w:trHeight w:val="187"/>
        </w:trPr>
        <w:tc>
          <w:tcPr>
            <w:tcW w:w="2520" w:type="dxa"/>
            <w:vAlign w:val="bottom"/>
            <w:shd w:val="clear" w:color="auto" w:fill="CCEBF8"/>
          </w:tcPr>
          <w:p>
            <w:pPr>
              <w:spacing w:after="0"/>
              <w:rPr>
                <w:sz w:val="16"/>
                <w:szCs w:val="16"/>
                <w:color w:val="auto"/>
              </w:rPr>
            </w:pPr>
          </w:p>
        </w:tc>
        <w:tc>
          <w:tcPr>
            <w:tcW w:w="3300" w:type="dxa"/>
            <w:vAlign w:val="bottom"/>
          </w:tcPr>
          <w:p>
            <w:pPr>
              <w:jc w:val="center"/>
              <w:ind w:left="440"/>
              <w:spacing w:after="0"/>
              <w:rPr>
                <w:sz w:val="20"/>
                <w:szCs w:val="20"/>
                <w:color w:val="auto"/>
              </w:rPr>
            </w:pPr>
            <w:r>
              <w:rPr>
                <w:rFonts w:ascii="Arial" w:cs="Arial" w:eastAsia="Arial" w:hAnsi="Arial"/>
                <w:sz w:val="16"/>
                <w:szCs w:val="16"/>
                <w:b w:val="1"/>
                <w:bCs w:val="1"/>
                <w:color w:val="009BDE"/>
              </w:rPr>
              <w:t>Number of Securities</w:t>
            </w:r>
          </w:p>
        </w:tc>
        <w:tc>
          <w:tcPr>
            <w:tcW w:w="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80" w:type="dxa"/>
            <w:vAlign w:val="bottom"/>
            <w:gridSpan w:val="2"/>
          </w:tcPr>
          <w:p>
            <w:pPr>
              <w:jc w:val="center"/>
              <w:ind w:left="420"/>
              <w:spacing w:after="0"/>
              <w:rPr>
                <w:sz w:val="20"/>
                <w:szCs w:val="20"/>
                <w:color w:val="auto"/>
              </w:rPr>
            </w:pPr>
            <w:r>
              <w:rPr>
                <w:rFonts w:ascii="Arial" w:cs="Arial" w:eastAsia="Arial" w:hAnsi="Arial"/>
                <w:sz w:val="16"/>
                <w:szCs w:val="16"/>
                <w:b w:val="1"/>
                <w:bCs w:val="1"/>
                <w:color w:val="009BDE"/>
              </w:rPr>
              <w:t>Future Issuance Under</w:t>
            </w:r>
          </w:p>
        </w:tc>
      </w:tr>
      <w:tr>
        <w:trPr>
          <w:trHeight w:val="187"/>
        </w:trPr>
        <w:tc>
          <w:tcPr>
            <w:tcW w:w="2520" w:type="dxa"/>
            <w:vAlign w:val="bottom"/>
            <w:shd w:val="clear" w:color="auto" w:fill="CCEBF8"/>
          </w:tcPr>
          <w:p>
            <w:pPr>
              <w:spacing w:after="0"/>
              <w:rPr>
                <w:sz w:val="16"/>
                <w:szCs w:val="16"/>
                <w:color w:val="auto"/>
              </w:rPr>
            </w:pPr>
          </w:p>
        </w:tc>
        <w:tc>
          <w:tcPr>
            <w:tcW w:w="3300" w:type="dxa"/>
            <w:vAlign w:val="bottom"/>
          </w:tcPr>
          <w:p>
            <w:pPr>
              <w:jc w:val="center"/>
              <w:ind w:left="440"/>
              <w:spacing w:after="0"/>
              <w:rPr>
                <w:sz w:val="20"/>
                <w:szCs w:val="20"/>
                <w:color w:val="auto"/>
              </w:rPr>
            </w:pPr>
            <w:r>
              <w:rPr>
                <w:rFonts w:ascii="Arial" w:cs="Arial" w:eastAsia="Arial" w:hAnsi="Arial"/>
                <w:sz w:val="16"/>
                <w:szCs w:val="16"/>
                <w:b w:val="1"/>
                <w:bCs w:val="1"/>
                <w:color w:val="009BDE"/>
                <w:w w:val="99"/>
              </w:rPr>
              <w:t>to be Issued Upon</w:t>
            </w:r>
          </w:p>
        </w:tc>
        <w:tc>
          <w:tcPr>
            <w:tcW w:w="600" w:type="dxa"/>
            <w:vAlign w:val="bottom"/>
          </w:tcPr>
          <w:p>
            <w:pPr>
              <w:spacing w:after="0"/>
              <w:rPr>
                <w:sz w:val="16"/>
                <w:szCs w:val="16"/>
                <w:color w:val="auto"/>
              </w:rPr>
            </w:pPr>
          </w:p>
        </w:tc>
        <w:tc>
          <w:tcPr>
            <w:tcW w:w="2040" w:type="dxa"/>
            <w:vAlign w:val="bottom"/>
          </w:tcPr>
          <w:p>
            <w:pPr>
              <w:jc w:val="center"/>
              <w:ind w:right="560"/>
              <w:spacing w:after="0"/>
              <w:rPr>
                <w:sz w:val="20"/>
                <w:szCs w:val="20"/>
                <w:color w:val="auto"/>
              </w:rPr>
            </w:pPr>
            <w:r>
              <w:rPr>
                <w:rFonts w:ascii="Arial" w:cs="Arial" w:eastAsia="Arial" w:hAnsi="Arial"/>
                <w:sz w:val="16"/>
                <w:szCs w:val="16"/>
                <w:b w:val="1"/>
                <w:bCs w:val="1"/>
                <w:color w:val="009BDE"/>
                <w:w w:val="99"/>
              </w:rPr>
              <w:t>Weighted-Average</w:t>
            </w:r>
          </w:p>
        </w:tc>
        <w:tc>
          <w:tcPr>
            <w:tcW w:w="2480" w:type="dxa"/>
            <w:vAlign w:val="bottom"/>
            <w:gridSpan w:val="2"/>
          </w:tcPr>
          <w:p>
            <w:pPr>
              <w:jc w:val="center"/>
              <w:ind w:left="420"/>
              <w:spacing w:after="0"/>
              <w:rPr>
                <w:sz w:val="20"/>
                <w:szCs w:val="20"/>
                <w:color w:val="auto"/>
              </w:rPr>
            </w:pPr>
            <w:r>
              <w:rPr>
                <w:rFonts w:ascii="Arial" w:cs="Arial" w:eastAsia="Arial" w:hAnsi="Arial"/>
                <w:sz w:val="16"/>
                <w:szCs w:val="16"/>
                <w:b w:val="1"/>
                <w:bCs w:val="1"/>
                <w:color w:val="009BDE"/>
              </w:rPr>
              <w:t>Equity Compensation</w:t>
            </w:r>
          </w:p>
        </w:tc>
      </w:tr>
      <w:tr>
        <w:trPr>
          <w:trHeight w:val="187"/>
        </w:trPr>
        <w:tc>
          <w:tcPr>
            <w:tcW w:w="2520" w:type="dxa"/>
            <w:vAlign w:val="bottom"/>
            <w:shd w:val="clear" w:color="auto" w:fill="CCEBF8"/>
          </w:tcPr>
          <w:p>
            <w:pPr>
              <w:spacing w:after="0"/>
              <w:rPr>
                <w:sz w:val="16"/>
                <w:szCs w:val="16"/>
                <w:color w:val="auto"/>
              </w:rPr>
            </w:pPr>
          </w:p>
        </w:tc>
        <w:tc>
          <w:tcPr>
            <w:tcW w:w="3300" w:type="dxa"/>
            <w:vAlign w:val="bottom"/>
          </w:tcPr>
          <w:p>
            <w:pPr>
              <w:jc w:val="center"/>
              <w:ind w:left="440"/>
              <w:spacing w:after="0"/>
              <w:rPr>
                <w:sz w:val="20"/>
                <w:szCs w:val="20"/>
                <w:color w:val="auto"/>
              </w:rPr>
            </w:pPr>
            <w:r>
              <w:rPr>
                <w:rFonts w:ascii="Arial" w:cs="Arial" w:eastAsia="Arial" w:hAnsi="Arial"/>
                <w:sz w:val="16"/>
                <w:szCs w:val="16"/>
                <w:b w:val="1"/>
                <w:bCs w:val="1"/>
                <w:color w:val="009BDE"/>
              </w:rPr>
              <w:t>Exercise of Outstanding</w:t>
            </w:r>
          </w:p>
        </w:tc>
        <w:tc>
          <w:tcPr>
            <w:tcW w:w="600" w:type="dxa"/>
            <w:vAlign w:val="bottom"/>
          </w:tcPr>
          <w:p>
            <w:pPr>
              <w:spacing w:after="0"/>
              <w:rPr>
                <w:sz w:val="16"/>
                <w:szCs w:val="16"/>
                <w:color w:val="auto"/>
              </w:rPr>
            </w:pPr>
          </w:p>
        </w:tc>
        <w:tc>
          <w:tcPr>
            <w:tcW w:w="2040" w:type="dxa"/>
            <w:vAlign w:val="bottom"/>
          </w:tcPr>
          <w:p>
            <w:pPr>
              <w:jc w:val="center"/>
              <w:ind w:right="540"/>
              <w:spacing w:after="0"/>
              <w:rPr>
                <w:sz w:val="20"/>
                <w:szCs w:val="20"/>
                <w:color w:val="auto"/>
              </w:rPr>
            </w:pPr>
            <w:r>
              <w:rPr>
                <w:rFonts w:ascii="Arial" w:cs="Arial" w:eastAsia="Arial" w:hAnsi="Arial"/>
                <w:sz w:val="16"/>
                <w:szCs w:val="16"/>
                <w:b w:val="1"/>
                <w:bCs w:val="1"/>
                <w:color w:val="009BDE"/>
              </w:rPr>
              <w:t>Exercise Price of</w:t>
            </w:r>
          </w:p>
        </w:tc>
        <w:tc>
          <w:tcPr>
            <w:tcW w:w="2480" w:type="dxa"/>
            <w:vAlign w:val="bottom"/>
            <w:gridSpan w:val="2"/>
          </w:tcPr>
          <w:p>
            <w:pPr>
              <w:jc w:val="center"/>
              <w:ind w:left="420"/>
              <w:spacing w:after="0"/>
              <w:rPr>
                <w:sz w:val="20"/>
                <w:szCs w:val="20"/>
                <w:color w:val="auto"/>
              </w:rPr>
            </w:pPr>
            <w:r>
              <w:rPr>
                <w:rFonts w:ascii="Arial" w:cs="Arial" w:eastAsia="Arial" w:hAnsi="Arial"/>
                <w:sz w:val="16"/>
                <w:szCs w:val="16"/>
                <w:b w:val="1"/>
                <w:bCs w:val="1"/>
                <w:color w:val="009BDE"/>
              </w:rPr>
              <w:t>Plans (Excluding</w:t>
            </w:r>
          </w:p>
        </w:tc>
      </w:tr>
      <w:tr>
        <w:trPr>
          <w:trHeight w:val="187"/>
        </w:trPr>
        <w:tc>
          <w:tcPr>
            <w:tcW w:w="2520" w:type="dxa"/>
            <w:vAlign w:val="bottom"/>
            <w:shd w:val="clear" w:color="auto" w:fill="CCEBF8"/>
          </w:tcPr>
          <w:p>
            <w:pPr>
              <w:spacing w:after="0"/>
              <w:rPr>
                <w:sz w:val="16"/>
                <w:szCs w:val="16"/>
                <w:color w:val="auto"/>
              </w:rPr>
            </w:pPr>
          </w:p>
        </w:tc>
        <w:tc>
          <w:tcPr>
            <w:tcW w:w="3300" w:type="dxa"/>
            <w:vAlign w:val="bottom"/>
          </w:tcPr>
          <w:p>
            <w:pPr>
              <w:jc w:val="center"/>
              <w:ind w:left="440"/>
              <w:spacing w:after="0"/>
              <w:rPr>
                <w:sz w:val="20"/>
                <w:szCs w:val="20"/>
                <w:color w:val="auto"/>
              </w:rPr>
            </w:pPr>
            <w:r>
              <w:rPr>
                <w:rFonts w:ascii="Arial" w:cs="Arial" w:eastAsia="Arial" w:hAnsi="Arial"/>
                <w:sz w:val="16"/>
                <w:szCs w:val="16"/>
                <w:b w:val="1"/>
                <w:bCs w:val="1"/>
                <w:color w:val="009BDE"/>
                <w:w w:val="99"/>
              </w:rPr>
              <w:t>Options, Warrants</w:t>
            </w:r>
          </w:p>
        </w:tc>
        <w:tc>
          <w:tcPr>
            <w:tcW w:w="2640" w:type="dxa"/>
            <w:vAlign w:val="bottom"/>
            <w:gridSpan w:val="2"/>
          </w:tcPr>
          <w:p>
            <w:pPr>
              <w:jc w:val="center"/>
              <w:spacing w:after="0"/>
              <w:rPr>
                <w:sz w:val="20"/>
                <w:szCs w:val="20"/>
                <w:color w:val="auto"/>
              </w:rPr>
            </w:pPr>
            <w:r>
              <w:rPr>
                <w:rFonts w:ascii="Arial" w:cs="Arial" w:eastAsia="Arial" w:hAnsi="Arial"/>
                <w:sz w:val="16"/>
                <w:szCs w:val="16"/>
                <w:b w:val="1"/>
                <w:bCs w:val="1"/>
                <w:color w:val="009BDE"/>
              </w:rPr>
              <w:t>Outstanding Options,</w:t>
            </w:r>
          </w:p>
        </w:tc>
        <w:tc>
          <w:tcPr>
            <w:tcW w:w="2480" w:type="dxa"/>
            <w:vAlign w:val="bottom"/>
            <w:gridSpan w:val="2"/>
          </w:tcPr>
          <w:p>
            <w:pPr>
              <w:jc w:val="center"/>
              <w:ind w:left="420"/>
              <w:spacing w:after="0"/>
              <w:rPr>
                <w:sz w:val="20"/>
                <w:szCs w:val="20"/>
                <w:color w:val="auto"/>
              </w:rPr>
            </w:pPr>
            <w:r>
              <w:rPr>
                <w:rFonts w:ascii="Arial" w:cs="Arial" w:eastAsia="Arial" w:hAnsi="Arial"/>
                <w:sz w:val="16"/>
                <w:szCs w:val="16"/>
                <w:b w:val="1"/>
                <w:bCs w:val="1"/>
                <w:color w:val="009BDE"/>
              </w:rPr>
              <w:t>Securities Reflected</w:t>
            </w:r>
          </w:p>
        </w:tc>
      </w:tr>
      <w:tr>
        <w:trPr>
          <w:trHeight w:val="187"/>
        </w:trPr>
        <w:tc>
          <w:tcPr>
            <w:tcW w:w="2520" w:type="dxa"/>
            <w:vAlign w:val="bottom"/>
            <w:shd w:val="clear" w:color="auto" w:fill="CCEBF8"/>
          </w:tcPr>
          <w:p>
            <w:pPr>
              <w:spacing w:after="0"/>
              <w:rPr>
                <w:sz w:val="16"/>
                <w:szCs w:val="16"/>
                <w:color w:val="auto"/>
              </w:rPr>
            </w:pPr>
          </w:p>
        </w:tc>
        <w:tc>
          <w:tcPr>
            <w:tcW w:w="3300" w:type="dxa"/>
            <w:vAlign w:val="bottom"/>
          </w:tcPr>
          <w:p>
            <w:pPr>
              <w:jc w:val="center"/>
              <w:ind w:left="440"/>
              <w:spacing w:after="0"/>
              <w:rPr>
                <w:sz w:val="20"/>
                <w:szCs w:val="20"/>
                <w:color w:val="auto"/>
              </w:rPr>
            </w:pPr>
            <w:r>
              <w:rPr>
                <w:rFonts w:ascii="Arial" w:cs="Arial" w:eastAsia="Arial" w:hAnsi="Arial"/>
                <w:sz w:val="16"/>
                <w:szCs w:val="16"/>
                <w:b w:val="1"/>
                <w:bCs w:val="1"/>
                <w:color w:val="009BDE"/>
                <w:w w:val="99"/>
              </w:rPr>
              <w:t>and Rights</w:t>
            </w:r>
          </w:p>
        </w:tc>
        <w:tc>
          <w:tcPr>
            <w:tcW w:w="2640" w:type="dxa"/>
            <w:vAlign w:val="bottom"/>
            <w:gridSpan w:val="2"/>
          </w:tcPr>
          <w:p>
            <w:pPr>
              <w:jc w:val="center"/>
              <w:spacing w:after="0"/>
              <w:rPr>
                <w:sz w:val="20"/>
                <w:szCs w:val="20"/>
                <w:color w:val="auto"/>
              </w:rPr>
            </w:pPr>
            <w:r>
              <w:rPr>
                <w:rFonts w:ascii="Arial" w:cs="Arial" w:eastAsia="Arial" w:hAnsi="Arial"/>
                <w:sz w:val="16"/>
                <w:szCs w:val="16"/>
                <w:b w:val="1"/>
                <w:bCs w:val="1"/>
                <w:color w:val="009BDE"/>
              </w:rPr>
              <w:t>Warrants and Rights</w:t>
            </w:r>
          </w:p>
        </w:tc>
        <w:tc>
          <w:tcPr>
            <w:tcW w:w="2480" w:type="dxa"/>
            <w:vAlign w:val="bottom"/>
            <w:gridSpan w:val="2"/>
          </w:tcPr>
          <w:p>
            <w:pPr>
              <w:jc w:val="center"/>
              <w:ind w:left="420"/>
              <w:spacing w:after="0"/>
              <w:rPr>
                <w:sz w:val="20"/>
                <w:szCs w:val="20"/>
                <w:color w:val="auto"/>
              </w:rPr>
            </w:pPr>
            <w:r>
              <w:rPr>
                <w:rFonts w:ascii="Arial" w:cs="Arial" w:eastAsia="Arial" w:hAnsi="Arial"/>
                <w:sz w:val="16"/>
                <w:szCs w:val="16"/>
                <w:b w:val="1"/>
                <w:bCs w:val="1"/>
                <w:color w:val="009BDE"/>
                <w:w w:val="98"/>
              </w:rPr>
              <w:t>in Column(a))</w:t>
            </w:r>
          </w:p>
        </w:tc>
      </w:tr>
      <w:tr>
        <w:trPr>
          <w:trHeight w:val="235"/>
        </w:trPr>
        <w:tc>
          <w:tcPr>
            <w:tcW w:w="2520" w:type="dxa"/>
            <w:vAlign w:val="bottom"/>
            <w:shd w:val="clear" w:color="auto" w:fill="CCEBF8"/>
          </w:tcPr>
          <w:p>
            <w:pPr>
              <w:spacing w:after="0"/>
              <w:rPr>
                <w:sz w:val="20"/>
                <w:szCs w:val="20"/>
                <w:color w:val="auto"/>
              </w:rPr>
            </w:pPr>
            <w:r>
              <w:rPr>
                <w:rFonts w:ascii="Arial" w:cs="Arial" w:eastAsia="Arial" w:hAnsi="Arial"/>
                <w:sz w:val="16"/>
                <w:szCs w:val="16"/>
                <w:b w:val="1"/>
                <w:bCs w:val="1"/>
                <w:color w:val="009BDE"/>
              </w:rPr>
              <w:t>  Plan Category</w:t>
            </w:r>
          </w:p>
        </w:tc>
        <w:tc>
          <w:tcPr>
            <w:tcW w:w="3300" w:type="dxa"/>
            <w:vAlign w:val="bottom"/>
          </w:tcPr>
          <w:p>
            <w:pPr>
              <w:jc w:val="center"/>
              <w:ind w:left="420"/>
              <w:spacing w:after="0"/>
              <w:rPr>
                <w:sz w:val="20"/>
                <w:szCs w:val="20"/>
                <w:color w:val="auto"/>
              </w:rPr>
            </w:pPr>
            <w:r>
              <w:rPr>
                <w:rFonts w:ascii="Arial" w:cs="Arial" w:eastAsia="Arial" w:hAnsi="Arial"/>
                <w:sz w:val="16"/>
                <w:szCs w:val="16"/>
                <w:b w:val="1"/>
                <w:bCs w:val="1"/>
                <w:color w:val="009BDE"/>
              </w:rPr>
              <w:t>(a)</w:t>
            </w:r>
          </w:p>
        </w:tc>
        <w:tc>
          <w:tcPr>
            <w:tcW w:w="600" w:type="dxa"/>
            <w:vAlign w:val="bottom"/>
          </w:tcPr>
          <w:p>
            <w:pPr>
              <w:spacing w:after="0"/>
              <w:rPr>
                <w:sz w:val="20"/>
                <w:szCs w:val="20"/>
                <w:color w:val="auto"/>
              </w:rPr>
            </w:pPr>
          </w:p>
        </w:tc>
        <w:tc>
          <w:tcPr>
            <w:tcW w:w="2040" w:type="dxa"/>
            <w:vAlign w:val="bottom"/>
          </w:tcPr>
          <w:p>
            <w:pPr>
              <w:jc w:val="center"/>
              <w:ind w:right="560"/>
              <w:spacing w:after="0"/>
              <w:rPr>
                <w:sz w:val="20"/>
                <w:szCs w:val="20"/>
                <w:color w:val="auto"/>
              </w:rPr>
            </w:pPr>
            <w:r>
              <w:rPr>
                <w:rFonts w:ascii="Arial" w:cs="Arial" w:eastAsia="Arial" w:hAnsi="Arial"/>
                <w:sz w:val="16"/>
                <w:szCs w:val="16"/>
                <w:b w:val="1"/>
                <w:bCs w:val="1"/>
                <w:color w:val="009BDE"/>
                <w:w w:val="99"/>
              </w:rPr>
              <w:t>(b)(3)</w:t>
            </w:r>
          </w:p>
        </w:tc>
        <w:tc>
          <w:tcPr>
            <w:tcW w:w="2480" w:type="dxa"/>
            <w:vAlign w:val="bottom"/>
            <w:gridSpan w:val="2"/>
          </w:tcPr>
          <w:p>
            <w:pPr>
              <w:jc w:val="center"/>
              <w:ind w:left="420"/>
              <w:spacing w:after="0"/>
              <w:rPr>
                <w:sz w:val="20"/>
                <w:szCs w:val="20"/>
                <w:color w:val="auto"/>
              </w:rPr>
            </w:pPr>
            <w:r>
              <w:rPr>
                <w:rFonts w:ascii="Arial" w:cs="Arial" w:eastAsia="Arial" w:hAnsi="Arial"/>
                <w:sz w:val="16"/>
                <w:szCs w:val="16"/>
                <w:b w:val="1"/>
                <w:bCs w:val="1"/>
                <w:color w:val="009BDE"/>
                <w:w w:val="91"/>
              </w:rPr>
              <w:t>(c)</w:t>
            </w:r>
          </w:p>
        </w:tc>
      </w:tr>
      <w:tr>
        <w:trPr>
          <w:trHeight w:val="114"/>
        </w:trPr>
        <w:tc>
          <w:tcPr>
            <w:tcW w:w="2520" w:type="dxa"/>
            <w:vAlign w:val="bottom"/>
            <w:tcBorders>
              <w:bottom w:val="single" w:sz="8" w:color="009BDE"/>
            </w:tcBorders>
            <w:shd w:val="clear" w:color="auto" w:fill="CCEBF8"/>
          </w:tcPr>
          <w:p>
            <w:pPr>
              <w:spacing w:after="0"/>
              <w:rPr>
                <w:sz w:val="9"/>
                <w:szCs w:val="9"/>
                <w:color w:val="auto"/>
              </w:rPr>
            </w:pPr>
          </w:p>
        </w:tc>
        <w:tc>
          <w:tcPr>
            <w:tcW w:w="3300" w:type="dxa"/>
            <w:vAlign w:val="bottom"/>
            <w:tcBorders>
              <w:bottom w:val="single" w:sz="8" w:color="009BDE"/>
            </w:tcBorders>
          </w:tcPr>
          <w:p>
            <w:pPr>
              <w:spacing w:after="0"/>
              <w:rPr>
                <w:sz w:val="9"/>
                <w:szCs w:val="9"/>
                <w:color w:val="auto"/>
              </w:rPr>
            </w:pPr>
          </w:p>
        </w:tc>
        <w:tc>
          <w:tcPr>
            <w:tcW w:w="600" w:type="dxa"/>
            <w:vAlign w:val="bottom"/>
            <w:tcBorders>
              <w:bottom w:val="single" w:sz="8" w:color="009BDE"/>
            </w:tcBorders>
          </w:tcPr>
          <w:p>
            <w:pPr>
              <w:spacing w:after="0"/>
              <w:rPr>
                <w:sz w:val="9"/>
                <w:szCs w:val="9"/>
                <w:color w:val="auto"/>
              </w:rPr>
            </w:pPr>
          </w:p>
        </w:tc>
        <w:tc>
          <w:tcPr>
            <w:tcW w:w="2040" w:type="dxa"/>
            <w:vAlign w:val="bottom"/>
            <w:tcBorders>
              <w:bottom w:val="single" w:sz="8" w:color="009BDE"/>
            </w:tcBorders>
          </w:tcPr>
          <w:p>
            <w:pPr>
              <w:spacing w:after="0"/>
              <w:rPr>
                <w:sz w:val="9"/>
                <w:szCs w:val="9"/>
                <w:color w:val="auto"/>
              </w:rPr>
            </w:pPr>
          </w:p>
        </w:tc>
        <w:tc>
          <w:tcPr>
            <w:tcW w:w="2460" w:type="dxa"/>
            <w:vAlign w:val="bottom"/>
            <w:tcBorders>
              <w:bottom w:val="single" w:sz="8" w:color="009BDE"/>
            </w:tcBorders>
          </w:tcPr>
          <w:p>
            <w:pPr>
              <w:spacing w:after="0"/>
              <w:rPr>
                <w:sz w:val="9"/>
                <w:szCs w:val="9"/>
                <w:color w:val="auto"/>
              </w:rPr>
            </w:pPr>
          </w:p>
        </w:tc>
        <w:tc>
          <w:tcPr>
            <w:tcW w:w="20" w:type="dxa"/>
            <w:vAlign w:val="bottom"/>
          </w:tcPr>
          <w:p>
            <w:pPr>
              <w:spacing w:after="0"/>
              <w:rPr>
                <w:sz w:val="9"/>
                <w:szCs w:val="9"/>
                <w:color w:val="auto"/>
              </w:rPr>
            </w:pPr>
          </w:p>
        </w:tc>
      </w:tr>
      <w:tr>
        <w:trPr>
          <w:trHeight w:val="260"/>
        </w:trPr>
        <w:tc>
          <w:tcPr>
            <w:tcW w:w="2520" w:type="dxa"/>
            <w:vAlign w:val="bottom"/>
          </w:tcPr>
          <w:p>
            <w:pPr>
              <w:ind w:left="80"/>
              <w:spacing w:after="0"/>
              <w:rPr>
                <w:sz w:val="20"/>
                <w:szCs w:val="20"/>
                <w:color w:val="auto"/>
              </w:rPr>
            </w:pPr>
            <w:r>
              <w:rPr>
                <w:rFonts w:ascii="Arial" w:cs="Arial" w:eastAsia="Arial" w:hAnsi="Arial"/>
                <w:sz w:val="16"/>
                <w:szCs w:val="16"/>
                <w:color w:val="auto"/>
              </w:rPr>
              <w:t>Equity compensation plans</w:t>
            </w:r>
          </w:p>
        </w:tc>
        <w:tc>
          <w:tcPr>
            <w:tcW w:w="3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1"/>
        </w:trPr>
        <w:tc>
          <w:tcPr>
            <w:tcW w:w="2520" w:type="dxa"/>
            <w:vAlign w:val="bottom"/>
          </w:tcPr>
          <w:p>
            <w:pPr>
              <w:ind w:left="80"/>
              <w:spacing w:after="0"/>
              <w:rPr>
                <w:sz w:val="20"/>
                <w:szCs w:val="20"/>
                <w:color w:val="auto"/>
              </w:rPr>
            </w:pPr>
            <w:r>
              <w:rPr>
                <w:rFonts w:ascii="Arial" w:cs="Arial" w:eastAsia="Arial" w:hAnsi="Arial"/>
                <w:sz w:val="16"/>
                <w:szCs w:val="16"/>
                <w:color w:val="auto"/>
              </w:rPr>
              <w:t>approved by shareholders(1)</w:t>
            </w:r>
          </w:p>
        </w:tc>
        <w:tc>
          <w:tcPr>
            <w:tcW w:w="3300" w:type="dxa"/>
            <w:vAlign w:val="bottom"/>
          </w:tcPr>
          <w:p>
            <w:pPr>
              <w:jc w:val="center"/>
              <w:ind w:left="440"/>
              <w:spacing w:after="0"/>
              <w:rPr>
                <w:sz w:val="20"/>
                <w:szCs w:val="20"/>
                <w:color w:val="auto"/>
              </w:rPr>
            </w:pPr>
            <w:r>
              <w:rPr>
                <w:rFonts w:ascii="Arial" w:cs="Arial" w:eastAsia="Arial" w:hAnsi="Arial"/>
                <w:sz w:val="16"/>
                <w:szCs w:val="16"/>
                <w:color w:val="auto"/>
                <w:w w:val="99"/>
              </w:rPr>
              <w:t>4,006,578(2)</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420"/>
              <w:spacing w:after="0"/>
              <w:rPr>
                <w:sz w:val="20"/>
                <w:szCs w:val="20"/>
                <w:color w:val="auto"/>
              </w:rPr>
            </w:pPr>
            <w:r>
              <w:rPr>
                <w:rFonts w:ascii="Arial" w:cs="Arial" w:eastAsia="Arial" w:hAnsi="Arial"/>
                <w:sz w:val="16"/>
                <w:szCs w:val="16"/>
                <w:color w:val="auto"/>
              </w:rPr>
              <w:t>72.07</w:t>
            </w:r>
          </w:p>
        </w:tc>
        <w:tc>
          <w:tcPr>
            <w:tcW w:w="2460" w:type="dxa"/>
            <w:vAlign w:val="bottom"/>
          </w:tcPr>
          <w:p>
            <w:pPr>
              <w:jc w:val="center"/>
              <w:ind w:left="440"/>
              <w:spacing w:after="0"/>
              <w:rPr>
                <w:sz w:val="20"/>
                <w:szCs w:val="20"/>
                <w:color w:val="auto"/>
              </w:rPr>
            </w:pPr>
            <w:r>
              <w:rPr>
                <w:rFonts w:ascii="Arial" w:cs="Arial" w:eastAsia="Arial" w:hAnsi="Arial"/>
                <w:sz w:val="16"/>
                <w:szCs w:val="16"/>
                <w:color w:val="auto"/>
                <w:w w:val="99"/>
              </w:rPr>
              <w:t>2,511,354(4)</w:t>
            </w:r>
          </w:p>
        </w:tc>
        <w:tc>
          <w:tcPr>
            <w:tcW w:w="20" w:type="dxa"/>
            <w:vAlign w:val="bottom"/>
          </w:tcPr>
          <w:p>
            <w:pPr>
              <w:spacing w:after="0"/>
              <w:rPr>
                <w:sz w:val="18"/>
                <w:szCs w:val="18"/>
                <w:color w:val="auto"/>
              </w:rPr>
            </w:pPr>
          </w:p>
        </w:tc>
      </w:tr>
      <w:tr>
        <w:trPr>
          <w:trHeight w:val="97"/>
        </w:trPr>
        <w:tc>
          <w:tcPr>
            <w:tcW w:w="2520" w:type="dxa"/>
            <w:vAlign w:val="bottom"/>
            <w:tcBorders>
              <w:bottom w:val="single" w:sz="8" w:color="009BDE"/>
            </w:tcBorders>
          </w:tcPr>
          <w:p>
            <w:pPr>
              <w:spacing w:after="0"/>
              <w:rPr>
                <w:sz w:val="8"/>
                <w:szCs w:val="8"/>
                <w:color w:val="auto"/>
              </w:rPr>
            </w:pPr>
          </w:p>
        </w:tc>
        <w:tc>
          <w:tcPr>
            <w:tcW w:w="330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2040" w:type="dxa"/>
            <w:vAlign w:val="bottom"/>
            <w:tcBorders>
              <w:bottom w:val="single" w:sz="8" w:color="009BDE"/>
            </w:tcBorders>
          </w:tcPr>
          <w:p>
            <w:pPr>
              <w:spacing w:after="0"/>
              <w:rPr>
                <w:sz w:val="8"/>
                <w:szCs w:val="8"/>
                <w:color w:val="auto"/>
              </w:rPr>
            </w:pPr>
          </w:p>
        </w:tc>
        <w:tc>
          <w:tcPr>
            <w:tcW w:w="2460" w:type="dxa"/>
            <w:vAlign w:val="bottom"/>
            <w:tcBorders>
              <w:bottom w:val="single" w:sz="8" w:color="009BDE"/>
            </w:tcBorders>
          </w:tcPr>
          <w:p>
            <w:pPr>
              <w:spacing w:after="0"/>
              <w:rPr>
                <w:sz w:val="8"/>
                <w:szCs w:val="8"/>
                <w:color w:val="auto"/>
              </w:rPr>
            </w:pPr>
          </w:p>
        </w:tc>
        <w:tc>
          <w:tcPr>
            <w:tcW w:w="20" w:type="dxa"/>
            <w:vAlign w:val="bottom"/>
          </w:tcPr>
          <w:p>
            <w:pPr>
              <w:spacing w:after="0"/>
              <w:rPr>
                <w:sz w:val="8"/>
                <w:szCs w:val="8"/>
                <w:color w:val="auto"/>
              </w:rPr>
            </w:pPr>
          </w:p>
        </w:tc>
      </w:tr>
      <w:tr>
        <w:trPr>
          <w:trHeight w:val="260"/>
        </w:trPr>
        <w:tc>
          <w:tcPr>
            <w:tcW w:w="2520" w:type="dxa"/>
            <w:vAlign w:val="bottom"/>
          </w:tcPr>
          <w:p>
            <w:pPr>
              <w:ind w:left="80"/>
              <w:spacing w:after="0"/>
              <w:rPr>
                <w:sz w:val="20"/>
                <w:szCs w:val="20"/>
                <w:color w:val="auto"/>
              </w:rPr>
            </w:pPr>
            <w:r>
              <w:rPr>
                <w:rFonts w:ascii="Arial" w:cs="Arial" w:eastAsia="Arial" w:hAnsi="Arial"/>
                <w:sz w:val="16"/>
                <w:szCs w:val="16"/>
                <w:color w:val="auto"/>
              </w:rPr>
              <w:t>Equity compensation plans not</w:t>
            </w:r>
          </w:p>
        </w:tc>
        <w:tc>
          <w:tcPr>
            <w:tcW w:w="3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1"/>
        </w:trPr>
        <w:tc>
          <w:tcPr>
            <w:tcW w:w="2520" w:type="dxa"/>
            <w:vAlign w:val="bottom"/>
          </w:tcPr>
          <w:p>
            <w:pPr>
              <w:ind w:left="80"/>
              <w:spacing w:after="0"/>
              <w:rPr>
                <w:sz w:val="20"/>
                <w:szCs w:val="20"/>
                <w:color w:val="auto"/>
              </w:rPr>
            </w:pPr>
            <w:r>
              <w:rPr>
                <w:rFonts w:ascii="Arial" w:cs="Arial" w:eastAsia="Arial" w:hAnsi="Arial"/>
                <w:sz w:val="16"/>
                <w:szCs w:val="16"/>
                <w:color w:val="auto"/>
              </w:rPr>
              <w:t>approved by shareholders</w:t>
            </w:r>
          </w:p>
        </w:tc>
        <w:tc>
          <w:tcPr>
            <w:tcW w:w="3300" w:type="dxa"/>
            <w:vAlign w:val="bottom"/>
          </w:tcPr>
          <w:p>
            <w:pPr>
              <w:jc w:val="center"/>
              <w:ind w:left="420"/>
              <w:spacing w:after="0"/>
              <w:rPr>
                <w:sz w:val="20"/>
                <w:szCs w:val="20"/>
                <w:color w:val="auto"/>
              </w:rPr>
            </w:pPr>
            <w:r>
              <w:rPr>
                <w:rFonts w:ascii="Arial" w:cs="Arial" w:eastAsia="Arial" w:hAnsi="Arial"/>
                <w:sz w:val="16"/>
                <w:szCs w:val="16"/>
                <w:color w:val="auto"/>
                <w:w w:val="99"/>
              </w:rPr>
              <w:t>—</w:t>
            </w:r>
          </w:p>
        </w:tc>
        <w:tc>
          <w:tcPr>
            <w:tcW w:w="600" w:type="dxa"/>
            <w:vAlign w:val="bottom"/>
          </w:tcPr>
          <w:p>
            <w:pPr>
              <w:spacing w:after="0"/>
              <w:rPr>
                <w:sz w:val="18"/>
                <w:szCs w:val="18"/>
                <w:color w:val="auto"/>
              </w:rPr>
            </w:pPr>
          </w:p>
        </w:tc>
        <w:tc>
          <w:tcPr>
            <w:tcW w:w="204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2480" w:type="dxa"/>
            <w:vAlign w:val="bottom"/>
            <w:gridSpan w:val="2"/>
          </w:tcPr>
          <w:p>
            <w:pPr>
              <w:jc w:val="center"/>
              <w:ind w:left="440"/>
              <w:spacing w:after="0"/>
              <w:rPr>
                <w:sz w:val="20"/>
                <w:szCs w:val="20"/>
                <w:color w:val="auto"/>
              </w:rPr>
            </w:pPr>
            <w:r>
              <w:rPr>
                <w:rFonts w:ascii="Arial" w:cs="Arial" w:eastAsia="Arial" w:hAnsi="Arial"/>
                <w:sz w:val="16"/>
                <w:szCs w:val="16"/>
                <w:color w:val="auto"/>
                <w:w w:val="99"/>
              </w:rPr>
              <w:t>—</w:t>
            </w:r>
          </w:p>
        </w:tc>
      </w:tr>
      <w:tr>
        <w:trPr>
          <w:trHeight w:val="97"/>
        </w:trPr>
        <w:tc>
          <w:tcPr>
            <w:tcW w:w="2520" w:type="dxa"/>
            <w:vAlign w:val="bottom"/>
            <w:tcBorders>
              <w:bottom w:val="single" w:sz="8" w:color="009BDE"/>
            </w:tcBorders>
          </w:tcPr>
          <w:p>
            <w:pPr>
              <w:spacing w:after="0"/>
              <w:rPr>
                <w:sz w:val="8"/>
                <w:szCs w:val="8"/>
                <w:color w:val="auto"/>
              </w:rPr>
            </w:pPr>
          </w:p>
        </w:tc>
        <w:tc>
          <w:tcPr>
            <w:tcW w:w="3300" w:type="dxa"/>
            <w:vAlign w:val="bottom"/>
            <w:tcBorders>
              <w:bottom w:val="single" w:sz="8" w:color="009BDE"/>
            </w:tcBorders>
          </w:tcPr>
          <w:p>
            <w:pPr>
              <w:spacing w:after="0"/>
              <w:rPr>
                <w:sz w:val="8"/>
                <w:szCs w:val="8"/>
                <w:color w:val="auto"/>
              </w:rPr>
            </w:pPr>
          </w:p>
        </w:tc>
        <w:tc>
          <w:tcPr>
            <w:tcW w:w="600" w:type="dxa"/>
            <w:vAlign w:val="bottom"/>
            <w:tcBorders>
              <w:bottom w:val="single" w:sz="8" w:color="009BDE"/>
            </w:tcBorders>
          </w:tcPr>
          <w:p>
            <w:pPr>
              <w:spacing w:after="0"/>
              <w:rPr>
                <w:sz w:val="8"/>
                <w:szCs w:val="8"/>
                <w:color w:val="auto"/>
              </w:rPr>
            </w:pPr>
          </w:p>
        </w:tc>
        <w:tc>
          <w:tcPr>
            <w:tcW w:w="2040" w:type="dxa"/>
            <w:vAlign w:val="bottom"/>
            <w:tcBorders>
              <w:bottom w:val="single" w:sz="8" w:color="009BDE"/>
            </w:tcBorders>
          </w:tcPr>
          <w:p>
            <w:pPr>
              <w:spacing w:after="0"/>
              <w:rPr>
                <w:sz w:val="8"/>
                <w:szCs w:val="8"/>
                <w:color w:val="auto"/>
              </w:rPr>
            </w:pPr>
          </w:p>
        </w:tc>
        <w:tc>
          <w:tcPr>
            <w:tcW w:w="2460" w:type="dxa"/>
            <w:vAlign w:val="bottom"/>
            <w:tcBorders>
              <w:bottom w:val="single" w:sz="8" w:color="009BDE"/>
            </w:tcBorders>
          </w:tcPr>
          <w:p>
            <w:pPr>
              <w:spacing w:after="0"/>
              <w:rPr>
                <w:sz w:val="8"/>
                <w:szCs w:val="8"/>
                <w:color w:val="auto"/>
              </w:rPr>
            </w:pPr>
          </w:p>
        </w:tc>
        <w:tc>
          <w:tcPr>
            <w:tcW w:w="20" w:type="dxa"/>
            <w:vAlign w:val="bottom"/>
          </w:tcPr>
          <w:p>
            <w:pPr>
              <w:spacing w:after="0"/>
              <w:rPr>
                <w:sz w:val="8"/>
                <w:szCs w:val="8"/>
                <w:color w:val="auto"/>
              </w:rPr>
            </w:pPr>
          </w:p>
        </w:tc>
      </w:tr>
      <w:tr>
        <w:trPr>
          <w:trHeight w:val="284"/>
        </w:trPr>
        <w:tc>
          <w:tcPr>
            <w:tcW w:w="2520" w:type="dxa"/>
            <w:vAlign w:val="bottom"/>
          </w:tcPr>
          <w:p>
            <w:pPr>
              <w:ind w:left="80"/>
              <w:spacing w:after="0"/>
              <w:rPr>
                <w:sz w:val="20"/>
                <w:szCs w:val="20"/>
                <w:color w:val="auto"/>
              </w:rPr>
            </w:pPr>
            <w:r>
              <w:rPr>
                <w:rFonts w:ascii="Arial" w:cs="Arial" w:eastAsia="Arial" w:hAnsi="Arial"/>
                <w:sz w:val="16"/>
                <w:szCs w:val="16"/>
                <w:color w:val="auto"/>
              </w:rPr>
              <w:t>Total</w:t>
            </w:r>
          </w:p>
        </w:tc>
        <w:tc>
          <w:tcPr>
            <w:tcW w:w="3300" w:type="dxa"/>
            <w:vAlign w:val="bottom"/>
          </w:tcPr>
          <w:p>
            <w:pPr>
              <w:jc w:val="center"/>
              <w:ind w:left="440"/>
              <w:spacing w:after="0"/>
              <w:rPr>
                <w:sz w:val="20"/>
                <w:szCs w:val="20"/>
                <w:color w:val="auto"/>
              </w:rPr>
            </w:pPr>
            <w:r>
              <w:rPr>
                <w:rFonts w:ascii="Arial" w:cs="Arial" w:eastAsia="Arial" w:hAnsi="Arial"/>
                <w:sz w:val="16"/>
                <w:szCs w:val="16"/>
                <w:color w:val="auto"/>
                <w:w w:val="99"/>
              </w:rPr>
              <w:t>4,006,578(2)</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420"/>
              <w:spacing w:after="0"/>
              <w:rPr>
                <w:sz w:val="20"/>
                <w:szCs w:val="20"/>
                <w:color w:val="auto"/>
              </w:rPr>
            </w:pPr>
            <w:r>
              <w:rPr>
                <w:rFonts w:ascii="Arial" w:cs="Arial" w:eastAsia="Arial" w:hAnsi="Arial"/>
                <w:sz w:val="16"/>
                <w:szCs w:val="16"/>
                <w:color w:val="auto"/>
              </w:rPr>
              <w:t>72.07</w:t>
            </w:r>
          </w:p>
        </w:tc>
        <w:tc>
          <w:tcPr>
            <w:tcW w:w="2460" w:type="dxa"/>
            <w:vAlign w:val="bottom"/>
          </w:tcPr>
          <w:p>
            <w:pPr>
              <w:jc w:val="center"/>
              <w:ind w:left="440"/>
              <w:spacing w:after="0"/>
              <w:rPr>
                <w:sz w:val="20"/>
                <w:szCs w:val="20"/>
                <w:color w:val="auto"/>
              </w:rPr>
            </w:pPr>
            <w:r>
              <w:rPr>
                <w:rFonts w:ascii="Arial" w:cs="Arial" w:eastAsia="Arial" w:hAnsi="Arial"/>
                <w:sz w:val="16"/>
                <w:szCs w:val="16"/>
                <w:color w:val="auto"/>
                <w:w w:val="99"/>
              </w:rPr>
              <w:t>2,511,354(4)</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-1984375</wp:posOffset>
            </wp:positionV>
            <wp:extent cx="5333365" cy="104457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5333365" cy="104457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61595</wp:posOffset>
            </wp:positionV>
            <wp:extent cx="692975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ind w:left="600" w:hanging="433"/>
        <w:spacing w:after="0"/>
        <w:tabs>
          <w:tab w:leader="none" w:pos="6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only shareholder approved plan which was in effect as of December 28, 2025 was the 2003 Plan.</w:t>
      </w:r>
    </w:p>
    <w:p>
      <w:pPr>
        <w:spacing w:after="0" w:line="80" w:lineRule="exact"/>
        <w:rPr>
          <w:sz w:val="20"/>
          <w:szCs w:val="20"/>
          <w:color w:val="auto"/>
        </w:rPr>
      </w:pPr>
    </w:p>
    <w:p>
      <w:pPr>
        <w:ind w:left="600" w:right="160" w:hanging="433"/>
        <w:spacing w:after="0" w:line="253" w:lineRule="auto"/>
        <w:tabs>
          <w:tab w:leader="none" w:pos="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Included in shares which may be issued pursuant to outstanding awards is the target number of shares subject to outstanding performance share awards under the 2003 Plan. The actual number of shares, if any, which will be issued pursuant to these awards may be higher or lower than this target number based upon the Company’s achievement of the applicable performance goals over the performance periods specified in these awards. Also included in shares to be issued pursuant to outstanding awards are shares granted to outside directors to the extent that such directors deferred receipt of those shares until they retire from the Board.</w:t>
      </w:r>
    </w:p>
    <w:p>
      <w:pPr>
        <w:spacing w:after="0" w:line="43" w:lineRule="exact"/>
        <w:rPr>
          <w:sz w:val="20"/>
          <w:szCs w:val="20"/>
          <w:color w:val="auto"/>
        </w:rPr>
      </w:pPr>
    </w:p>
    <w:p>
      <w:pPr>
        <w:ind w:left="600" w:right="40" w:hanging="433"/>
        <w:spacing w:after="0" w:line="260" w:lineRule="auto"/>
        <w:tabs>
          <w:tab w:leader="none" w:pos="6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Comprised of 780,711 shares subject to outstanding stock option awards, 755,360 shares subject to outstanding performance share awards (reflecting such awards at their actual payout percentage for those awards where the performance period has been completed and target numbers for those awards where the performance period has not been completed), and 2,383,346 shares subject to outstanding restricted stock unit awards and 87,161 shares subject to deferred stock awards.</w:t>
      </w:r>
    </w:p>
    <w:p>
      <w:pPr>
        <w:spacing w:after="0" w:line="38" w:lineRule="exact"/>
        <w:rPr>
          <w:rFonts w:ascii="Arial" w:cs="Arial" w:eastAsia="Arial" w:hAnsi="Arial"/>
          <w:sz w:val="14"/>
          <w:szCs w:val="14"/>
          <w:color w:val="auto"/>
        </w:rPr>
      </w:pPr>
    </w:p>
    <w:p>
      <w:pPr>
        <w:ind w:left="600" w:right="200" w:hanging="433"/>
        <w:spacing w:after="0" w:line="281" w:lineRule="auto"/>
        <w:tabs>
          <w:tab w:leader="none" w:pos="6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weighted average exercise price of outstanding options, warrants and rights excludes restricted stock units and performance-based stock awards, which do not have an exercise price.</w:t>
      </w:r>
    </w:p>
    <w:p>
      <w:pPr>
        <w:spacing w:after="0" w:line="24" w:lineRule="exact"/>
        <w:rPr>
          <w:rFonts w:ascii="Arial" w:cs="Arial" w:eastAsia="Arial" w:hAnsi="Arial"/>
          <w:sz w:val="14"/>
          <w:szCs w:val="14"/>
          <w:color w:val="auto"/>
        </w:rPr>
      </w:pPr>
    </w:p>
    <w:p>
      <w:pPr>
        <w:ind w:left="600" w:hanging="433"/>
        <w:spacing w:after="0"/>
        <w:tabs>
          <w:tab w:leader="none" w:pos="6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All such shares are eligible for issuance as performance share awards, restricted stock or deferred restricted stock, or other stock awards under the 2003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252095</wp:posOffset>
            </wp:positionV>
            <wp:extent cx="6964045" cy="39052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  68</w:t>
      </w:r>
    </w:p>
    <w:p>
      <w:pPr>
        <w:sectPr>
          <w:pgSz w:w="11900" w:h="16838" w:orient="portrait"/>
          <w:cols w:equalWidth="0" w:num="1">
            <w:col w:w="11100"/>
          </w:cols>
          <w:pgMar w:left="320" w:top="478"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Delinquent Section 16(a) Reports</w:t>
      </w:r>
    </w:p>
    <w:p>
      <w:pPr>
        <w:spacing w:after="0" w:line="154"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Section 16(a) of the Exchange Act requires Hasbro’s executive officers and directors and persons who beneficially own more than 10% of our Common Stock (collectively, “Reporting Persons”) to file reports of beneficial ownership and changes in beneficial ownership with the SEC. Reporting Persons are required by SEC regulations to furnish Hasbro with copies of all Section 16(a) reports that they file. Based solely on our review of such reports received or written representations from certain Reporting Persons, we believe that during fiscal 2025 all Reporting Persons complied with all applicable reporting requirements under Section 16(a).</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Certain Relationships and Related Person Transactions</w:t>
      </w:r>
    </w:p>
    <w:p>
      <w:pPr>
        <w:spacing w:after="0" w:line="168" w:lineRule="exact"/>
        <w:rPr>
          <w:sz w:val="20"/>
          <w:szCs w:val="20"/>
          <w:color w:val="auto"/>
        </w:rPr>
      </w:pPr>
    </w:p>
    <w:p>
      <w:pPr>
        <w:ind w:left="160" w:right="140"/>
        <w:spacing w:after="0" w:line="250" w:lineRule="auto"/>
        <w:rPr>
          <w:sz w:val="20"/>
          <w:szCs w:val="20"/>
          <w:color w:val="auto"/>
        </w:rPr>
      </w:pPr>
      <w:r>
        <w:rPr>
          <w:rFonts w:ascii="Arial" w:cs="Arial" w:eastAsia="Arial" w:hAnsi="Arial"/>
          <w:sz w:val="16"/>
          <w:szCs w:val="16"/>
          <w:color w:val="auto"/>
        </w:rPr>
        <w:t>The Company has a policy that any transaction which would require disclosure under item 404(a) of Regulation S-K of the rules and regulations of the SEC, with respect to a director or nominee for election as a director, must be reviewed and approved or ratified by the Company’s full Board, excluding any director interested in such transaction. All other related person transactions which would require disclosure under Item 404(a), including, without limitation, those involving executive officers of the Company, must be reviewed and approved or ratified by either the Company’s full Board or a committee of the Board which has been delegated with such duty. Any such related person transactions will not impair the involved person’s service to, and exercise of judgment on behalf of, the Company, or otherwise create a conflict of interest which would be detrimental to the Company. This policy is contained in Section 21, entitled “Code of Conduct; Conflicts of Interest” of the Company’s 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6964045" cy="39052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  69</w:t>
      </w:r>
    </w:p>
    <w:p>
      <w:pPr>
        <w:sectPr>
          <w:pgSz w:w="11900" w:h="16838" w:orient="portrait"/>
          <w:cols w:equalWidth="0" w:num="1">
            <w:col w:w="11060"/>
          </w:cols>
          <w:pgMar w:left="320" w:top="478" w:right="5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Questions and Answers about the Proxy Materials and the Annual Meeting</w:t>
      </w:r>
    </w:p>
    <w:p>
      <w:pPr>
        <w:sectPr>
          <w:pgSz w:w="11900" w:h="16838" w:orient="portrait"/>
          <w:cols w:equalWidth="0" w:num="1">
            <w:col w:w="11060"/>
          </w:cols>
          <w:pgMar w:left="320" w:top="478" w:right="519" w:bottom="1440" w:gutter="0" w:footer="0" w:header="0"/>
        </w:sectPr>
      </w:pPr>
    </w:p>
    <w:p>
      <w:pPr>
        <w:spacing w:after="0" w:line="315"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6"/>
          <w:szCs w:val="16"/>
          <w:b w:val="1"/>
          <w:bCs w:val="1"/>
          <w:color w:val="auto"/>
        </w:rPr>
        <w:t>Q:</w:t>
        <w:tab/>
        <w:t>Why am I receiving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45085</wp:posOffset>
            </wp:positionV>
            <wp:extent cx="3329305"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224" w:lineRule="exact"/>
        <w:rPr>
          <w:sz w:val="20"/>
          <w:szCs w:val="20"/>
          <w:color w:val="auto"/>
        </w:rPr>
      </w:pPr>
    </w:p>
    <w:p>
      <w:pPr>
        <w:ind w:left="480" w:right="40" w:hanging="313"/>
        <w:spacing w:after="0" w:line="246" w:lineRule="auto"/>
        <w:tabs>
          <w:tab w:leader="none" w:pos="480"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You are receiving this Proxy Statement and the accompanying proxy materials because you were a shareholder of record of the Company’s Common Stock at the close of business on April 13, 2026 (the “Record Date”) and you otherwise are entitled to notice of, and to vote at, the Annual Meeting. Your Board of Directors is delivering this Proxy Statement and the accompanying proxy materials, including a proxy card, to you in connection with the solicitation of proxies by and on behalf of your Board, for use at the Annual Meeting, which will take place on June 11, 2026, and at any adjournments and postponements thereof. This Proxy Statement is intended to assist you in making an informed vote on the proposals described in this Proxy Statement. This Proxy Statement and the accompanying proxy card and other materials are first being mailed on or about April 17, 2026 in connection with the solicitation of proxies on behalf of your Board.</w:t>
      </w:r>
    </w:p>
    <w:p>
      <w:pPr>
        <w:spacing w:after="0" w:line="220"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6"/>
          <w:szCs w:val="16"/>
          <w:b w:val="1"/>
          <w:bCs w:val="1"/>
          <w:color w:val="auto"/>
        </w:rPr>
        <w:t>Q:</w:t>
        <w:tab/>
        <w:t>What matters will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45085</wp:posOffset>
            </wp:positionV>
            <wp:extent cx="332930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211" w:lineRule="exact"/>
        <w:rPr>
          <w:sz w:val="20"/>
          <w:szCs w:val="20"/>
          <w:color w:val="auto"/>
        </w:rPr>
      </w:pPr>
    </w:p>
    <w:p>
      <w:pPr>
        <w:ind w:left="480" w:right="20" w:hanging="313"/>
        <w:spacing w:after="0" w:line="251" w:lineRule="auto"/>
        <w:tabs>
          <w:tab w:leader="none" w:pos="480" w:val="left"/>
        </w:tabs>
        <w:numPr>
          <w:ilvl w:val="0"/>
          <w:numId w:val="84"/>
        </w:numPr>
        <w:rPr>
          <w:rFonts w:ascii="Arial" w:cs="Arial" w:eastAsia="Arial" w:hAnsi="Arial"/>
          <w:sz w:val="16"/>
          <w:szCs w:val="16"/>
          <w:b w:val="1"/>
          <w:bCs w:val="1"/>
          <w:color w:val="auto"/>
        </w:rPr>
      </w:pPr>
      <w:r>
        <w:rPr>
          <w:rFonts w:ascii="Arial" w:cs="Arial" w:eastAsia="Arial" w:hAnsi="Arial"/>
          <w:sz w:val="16"/>
          <w:szCs w:val="16"/>
          <w:color w:val="auto"/>
        </w:rPr>
        <w:t xml:space="preserve">Proposal 1 — Election of eleven (11) directors to your Board of Directors to serve until the next annual meeting of shareholders and until their successors are duly elected and qualified. </w:t>
      </w:r>
      <w:r>
        <w:rPr>
          <w:rFonts w:ascii="Arial" w:cs="Arial" w:eastAsia="Arial" w:hAnsi="Arial"/>
          <w:sz w:val="16"/>
          <w:szCs w:val="16"/>
          <w:b w:val="1"/>
          <w:bCs w:val="1"/>
          <w:color w:val="auto"/>
        </w:rPr>
        <w:t>Your Board</w:t>
      </w:r>
      <w:r>
        <w:rPr>
          <w:rFonts w:ascii="Arial" w:cs="Arial" w:eastAsia="Arial" w:hAnsi="Arial"/>
          <w:sz w:val="16"/>
          <w:szCs w:val="16"/>
          <w:color w:val="auto"/>
        </w:rPr>
        <w:t xml:space="preserve"> </w:t>
      </w:r>
      <w:r>
        <w:rPr>
          <w:rFonts w:ascii="Arial" w:cs="Arial" w:eastAsia="Arial" w:hAnsi="Arial"/>
          <w:sz w:val="16"/>
          <w:szCs w:val="16"/>
          <w:b w:val="1"/>
          <w:bCs w:val="1"/>
          <w:color w:val="auto"/>
        </w:rPr>
        <w:t>unanimously recommends that you vote “FOR ALL” of your Board’s nominees: Douglas Bowser, Hope F. Cochran, Christian P. Cocks, Lisa Gersh, Frank D. Gibeau, Elizabeth Hamren, Darin S. Harris, Owen Mahoney, Laurel J. Richie, Richard S. Stoddart and Carla Vernón.</w:t>
      </w:r>
    </w:p>
    <w:p>
      <w:pPr>
        <w:spacing w:after="0" w:line="106" w:lineRule="exact"/>
        <w:rPr>
          <w:sz w:val="20"/>
          <w:szCs w:val="20"/>
          <w:color w:val="auto"/>
        </w:rPr>
      </w:pPr>
    </w:p>
    <w:p>
      <w:pPr>
        <w:ind w:left="480" w:right="120" w:hanging="313"/>
        <w:spacing w:after="0" w:line="279" w:lineRule="auto"/>
        <w:tabs>
          <w:tab w:leader="none" w:pos="4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Proposal 2 — An advisory vote to approve the compensation of the Company’s Named Executive Officers.</w:t>
      </w:r>
    </w:p>
    <w:p>
      <w:pPr>
        <w:spacing w:after="0" w:line="93" w:lineRule="exact"/>
        <w:rPr>
          <w:rFonts w:ascii="Arial" w:cs="Arial" w:eastAsia="Arial" w:hAnsi="Arial"/>
          <w:sz w:val="16"/>
          <w:szCs w:val="16"/>
          <w:color w:val="auto"/>
        </w:rPr>
      </w:pPr>
    </w:p>
    <w:p>
      <w:pPr>
        <w:ind w:left="480" w:hanging="313"/>
        <w:spacing w:after="0"/>
        <w:tabs>
          <w:tab w:leader="none" w:pos="4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Proposal 3 — Ratification of the selection of KPMG LLP as</w:t>
      </w:r>
    </w:p>
    <w:p>
      <w:pPr>
        <w:spacing w:after="0" w:line="19" w:lineRule="exact"/>
        <w:rPr>
          <w:rFonts w:ascii="Arial" w:cs="Arial" w:eastAsia="Arial" w:hAnsi="Arial"/>
          <w:sz w:val="16"/>
          <w:szCs w:val="16"/>
          <w:color w:val="auto"/>
        </w:rPr>
      </w:pPr>
    </w:p>
    <w:p>
      <w:pPr>
        <w:ind w:left="480" w:right="300"/>
        <w:spacing w:after="0" w:line="258" w:lineRule="auto"/>
        <w:rPr>
          <w:rFonts w:ascii="Arial" w:cs="Arial" w:eastAsia="Arial" w:hAnsi="Arial"/>
          <w:sz w:val="16"/>
          <w:szCs w:val="16"/>
          <w:color w:val="auto"/>
        </w:rPr>
      </w:pPr>
      <w:r>
        <w:rPr>
          <w:rFonts w:ascii="Arial" w:cs="Arial" w:eastAsia="Arial" w:hAnsi="Arial"/>
          <w:sz w:val="16"/>
          <w:szCs w:val="16"/>
          <w:color w:val="auto"/>
        </w:rPr>
        <w:t>the Company’s independent registered public accounting firm for fiscal 2026.</w:t>
      </w:r>
    </w:p>
    <w:p>
      <w:pPr>
        <w:spacing w:after="0" w:line="204"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6"/>
          <w:szCs w:val="16"/>
          <w:b w:val="1"/>
          <w:bCs w:val="1"/>
          <w:color w:val="auto"/>
        </w:rPr>
        <w:t>Q:</w:t>
        <w:tab/>
        <w:t>What are the recommendations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45085</wp:posOffset>
            </wp:positionV>
            <wp:extent cx="332930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237" w:lineRule="exact"/>
        <w:rPr>
          <w:sz w:val="20"/>
          <w:szCs w:val="20"/>
          <w:color w:val="auto"/>
        </w:rPr>
      </w:pPr>
    </w:p>
    <w:p>
      <w:pPr>
        <w:ind w:left="480" w:hanging="313"/>
        <w:spacing w:after="0" w:line="279" w:lineRule="auto"/>
        <w:tabs>
          <w:tab w:leader="none" w:pos="480"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Your Board of Directors unanimously recommends that you vote your shares as follows:</w:t>
      </w:r>
    </w:p>
    <w:p>
      <w:pPr>
        <w:spacing w:after="0" w:line="93" w:lineRule="exact"/>
        <w:rPr>
          <w:rFonts w:ascii="Arial" w:cs="Arial" w:eastAsia="Arial" w:hAnsi="Arial"/>
          <w:sz w:val="16"/>
          <w:szCs w:val="16"/>
          <w:b w:val="1"/>
          <w:bCs w:val="1"/>
          <w:color w:val="auto"/>
        </w:rPr>
      </w:pPr>
    </w:p>
    <w:p>
      <w:pPr>
        <w:ind w:left="480"/>
        <w:spacing w:after="0"/>
        <w:rPr>
          <w:rFonts w:ascii="Arial" w:cs="Arial" w:eastAsia="Arial" w:hAnsi="Arial"/>
          <w:sz w:val="16"/>
          <w:szCs w:val="16"/>
          <w:b w:val="1"/>
          <w:bCs w:val="1"/>
          <w:color w:val="auto"/>
        </w:rPr>
      </w:pPr>
      <w:r>
        <w:rPr>
          <w:rFonts w:ascii="Arial" w:cs="Arial" w:eastAsia="Arial" w:hAnsi="Arial"/>
          <w:sz w:val="16"/>
          <w:szCs w:val="16"/>
          <w:color w:val="auto"/>
        </w:rPr>
        <w:t>•  “FOR ALL” the nominees proposed by your Board of Directors.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both"/>
        <w:ind w:left="527" w:right="580" w:hanging="206"/>
        <w:spacing w:after="0" w:line="314" w:lineRule="auto"/>
        <w:tabs>
          <w:tab w:leader="none" w:pos="527" w:val="left"/>
        </w:tabs>
        <w:numPr>
          <w:ilvl w:val="1"/>
          <w:numId w:val="87"/>
        </w:numPr>
        <w:rPr>
          <w:rFonts w:ascii="Arial" w:cs="Arial" w:eastAsia="Arial" w:hAnsi="Arial"/>
          <w:sz w:val="15"/>
          <w:szCs w:val="15"/>
          <w:color w:val="auto"/>
        </w:rPr>
      </w:pPr>
      <w:r>
        <w:rPr>
          <w:rFonts w:ascii="Arial" w:cs="Arial" w:eastAsia="Arial" w:hAnsi="Arial"/>
          <w:sz w:val="15"/>
          <w:szCs w:val="15"/>
          <w:color w:val="auto"/>
        </w:rPr>
        <w:t>“FOR” the approval, on a non-binding advisory basis, of the compensation of the Company’s Named Executive Officers.</w:t>
      </w:r>
    </w:p>
    <w:p>
      <w:pPr>
        <w:spacing w:after="0" w:line="70" w:lineRule="exact"/>
        <w:rPr>
          <w:rFonts w:ascii="Arial" w:cs="Arial" w:eastAsia="Arial" w:hAnsi="Arial"/>
          <w:sz w:val="15"/>
          <w:szCs w:val="15"/>
          <w:color w:val="auto"/>
        </w:rPr>
      </w:pPr>
    </w:p>
    <w:p>
      <w:pPr>
        <w:ind w:left="527" w:right="180" w:hanging="206"/>
        <w:spacing w:after="0" w:line="314" w:lineRule="auto"/>
        <w:tabs>
          <w:tab w:leader="none" w:pos="527" w:val="left"/>
        </w:tabs>
        <w:numPr>
          <w:ilvl w:val="1"/>
          <w:numId w:val="87"/>
        </w:numPr>
        <w:rPr>
          <w:rFonts w:ascii="Arial" w:cs="Arial" w:eastAsia="Arial" w:hAnsi="Arial"/>
          <w:sz w:val="15"/>
          <w:szCs w:val="15"/>
          <w:color w:val="auto"/>
        </w:rPr>
      </w:pPr>
      <w:r>
        <w:rPr>
          <w:rFonts w:ascii="Arial" w:cs="Arial" w:eastAsia="Arial" w:hAnsi="Arial"/>
          <w:sz w:val="15"/>
          <w:szCs w:val="15"/>
          <w:color w:val="auto"/>
        </w:rPr>
        <w:t>“FOR” the ratification of the selection of KPMG as the Company’s independent registered public accounting firm for fiscal 2026.</w:t>
      </w:r>
    </w:p>
    <w:p>
      <w:pPr>
        <w:spacing w:after="0" w:line="163" w:lineRule="exact"/>
        <w:rPr>
          <w:rFonts w:ascii="Arial" w:cs="Arial" w:eastAsia="Arial" w:hAnsi="Arial"/>
          <w:sz w:val="15"/>
          <w:szCs w:val="15"/>
          <w:color w:val="auto"/>
        </w:rPr>
      </w:pPr>
    </w:p>
    <w:p>
      <w:pPr>
        <w:ind w:left="327" w:hanging="327"/>
        <w:spacing w:after="0"/>
        <w:tabs>
          <w:tab w:leader="none" w:pos="327"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Who may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3397250"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224" w:lineRule="exact"/>
        <w:rPr>
          <w:sz w:val="20"/>
          <w:szCs w:val="20"/>
          <w:color w:val="auto"/>
        </w:rPr>
      </w:pPr>
    </w:p>
    <w:p>
      <w:pPr>
        <w:ind w:left="327" w:right="120" w:hanging="327"/>
        <w:spacing w:after="0" w:line="251" w:lineRule="auto"/>
        <w:tabs>
          <w:tab w:leader="none" w:pos="327"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Shareholders of Hasbro at the close of business on the Record Date are entitled to vote on all items being voted on at the Annual Meeting and any adjournments or postponements thereof. As of the Record Date, there were 141,521,544 shares of Hasbro Common Stock outstanding. Each share of Hasbro Common Stock is entitled to one vote.</w:t>
      </w:r>
    </w:p>
    <w:p>
      <w:pPr>
        <w:spacing w:after="0" w:line="210" w:lineRule="exact"/>
        <w:rPr>
          <w:sz w:val="20"/>
          <w:szCs w:val="20"/>
          <w:color w:val="auto"/>
        </w:rPr>
      </w:pPr>
    </w:p>
    <w:p>
      <w:pPr>
        <w:ind w:left="7"/>
        <w:spacing w:after="0"/>
        <w:tabs>
          <w:tab w:leader="none" w:pos="307" w:val="left"/>
        </w:tabs>
        <w:rPr>
          <w:sz w:val="20"/>
          <w:szCs w:val="20"/>
          <w:color w:val="auto"/>
        </w:rPr>
      </w:pPr>
      <w:r>
        <w:rPr>
          <w:rFonts w:ascii="Arial" w:cs="Arial" w:eastAsia="Arial" w:hAnsi="Arial"/>
          <w:sz w:val="16"/>
          <w:szCs w:val="16"/>
          <w:b w:val="1"/>
          <w:bCs w:val="1"/>
          <w:color w:val="auto"/>
        </w:rPr>
        <w:t>Q:</w:t>
        <w:tab/>
        <w:t>Who can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3397250"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237" w:lineRule="exact"/>
        <w:rPr>
          <w:sz w:val="20"/>
          <w:szCs w:val="20"/>
          <w:color w:val="auto"/>
        </w:rPr>
      </w:pPr>
    </w:p>
    <w:p>
      <w:pPr>
        <w:ind w:left="327" w:hanging="327"/>
        <w:spacing w:after="0" w:line="274" w:lineRule="auto"/>
        <w:tabs>
          <w:tab w:leader="none" w:pos="327" w:val="left"/>
        </w:tabs>
        <w:numPr>
          <w:ilvl w:val="0"/>
          <w:numId w:val="89"/>
        </w:numPr>
        <w:rPr>
          <w:rFonts w:ascii="Arial" w:cs="Arial" w:eastAsia="Arial" w:hAnsi="Arial"/>
          <w:sz w:val="15"/>
          <w:szCs w:val="15"/>
          <w:b w:val="1"/>
          <w:bCs w:val="1"/>
          <w:color w:val="auto"/>
        </w:rPr>
      </w:pPr>
      <w:r>
        <w:rPr>
          <w:rFonts w:ascii="Arial" w:cs="Arial" w:eastAsia="Arial" w:hAnsi="Arial"/>
          <w:sz w:val="15"/>
          <w:szCs w:val="15"/>
          <w:color w:val="auto"/>
        </w:rPr>
        <w:t>Attendance at the Annual Meeting through the website www.meetnow.global/MHMKPY9 or any adjournment or postponement thereof will be limited to shareholders of the Company as of the close of business on the Record Date and guests. You will not be able to attend the Annual Meeting in person at a physical location.</w:t>
      </w:r>
    </w:p>
    <w:p>
      <w:pPr>
        <w:spacing w:after="0" w:line="192" w:lineRule="exact"/>
        <w:rPr>
          <w:sz w:val="20"/>
          <w:szCs w:val="20"/>
          <w:color w:val="auto"/>
        </w:rPr>
      </w:pPr>
    </w:p>
    <w:p>
      <w:pPr>
        <w:ind w:left="7"/>
        <w:spacing w:after="0"/>
        <w:tabs>
          <w:tab w:leader="none" w:pos="307" w:val="left"/>
        </w:tabs>
        <w:rPr>
          <w:sz w:val="20"/>
          <w:szCs w:val="20"/>
          <w:color w:val="auto"/>
        </w:rPr>
      </w:pPr>
      <w:r>
        <w:rPr>
          <w:rFonts w:ascii="Arial" w:cs="Arial" w:eastAsia="Arial" w:hAnsi="Arial"/>
          <w:sz w:val="16"/>
          <w:szCs w:val="16"/>
          <w:b w:val="1"/>
          <w:bCs w:val="1"/>
          <w:color w:val="auto"/>
        </w:rPr>
        <w:t>Q:</w:t>
        <w:tab/>
        <w:t>How can I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339725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237" w:lineRule="exact"/>
        <w:rPr>
          <w:sz w:val="20"/>
          <w:szCs w:val="20"/>
          <w:color w:val="auto"/>
        </w:rPr>
      </w:pPr>
    </w:p>
    <w:p>
      <w:pPr>
        <w:ind w:left="7"/>
        <w:spacing w:after="0"/>
        <w:tabs>
          <w:tab w:leader="none" w:pos="307" w:val="left"/>
        </w:tabs>
        <w:rPr>
          <w:sz w:val="20"/>
          <w:szCs w:val="20"/>
          <w:color w:val="auto"/>
        </w:rPr>
      </w:pPr>
      <w:r>
        <w:rPr>
          <w:rFonts w:ascii="Arial" w:cs="Arial" w:eastAsia="Arial" w:hAnsi="Arial"/>
          <w:sz w:val="16"/>
          <w:szCs w:val="16"/>
          <w:b w:val="1"/>
          <w:bCs w:val="1"/>
          <w:color w:val="auto"/>
        </w:rPr>
        <w:t>A:</w:t>
        <w:tab/>
        <w:t>Registered Holders.</w:t>
      </w:r>
    </w:p>
    <w:p>
      <w:pPr>
        <w:spacing w:after="0" w:line="150" w:lineRule="exact"/>
        <w:rPr>
          <w:sz w:val="20"/>
          <w:szCs w:val="20"/>
          <w:color w:val="auto"/>
        </w:rPr>
      </w:pPr>
    </w:p>
    <w:p>
      <w:pPr>
        <w:ind w:left="327" w:right="100" w:hanging="327"/>
        <w:spacing w:after="0" w:line="253" w:lineRule="auto"/>
        <w:tabs>
          <w:tab w:leader="none" w:pos="327" w:val="left"/>
        </w:tabs>
        <w:numPr>
          <w:ilvl w:val="0"/>
          <w:numId w:val="90"/>
        </w:numPr>
        <w:rPr>
          <w:rFonts w:ascii="Arial" w:cs="Arial" w:eastAsia="Arial" w:hAnsi="Arial"/>
          <w:sz w:val="16"/>
          <w:szCs w:val="16"/>
          <w:color w:val="auto"/>
        </w:rPr>
      </w:pPr>
      <w:r>
        <w:rPr>
          <w:rFonts w:ascii="Arial" w:cs="Arial" w:eastAsia="Arial" w:hAnsi="Arial"/>
          <w:sz w:val="16"/>
          <w:szCs w:val="16"/>
          <w:color w:val="auto"/>
        </w:rPr>
        <w:t>As a registered holder, you will be able to attend the Annual Meeting online, ask a question and vote by visiting www.meetnow.global/MHMKPY9 and following the instructions on your Notice, proxy card, or on the instructions that accompanied your proxy materials.</w:t>
      </w:r>
    </w:p>
    <w:p>
      <w:pPr>
        <w:spacing w:after="0" w:line="100" w:lineRule="exact"/>
        <w:rPr>
          <w:rFonts w:ascii="Arial" w:cs="Arial" w:eastAsia="Arial" w:hAnsi="Arial"/>
          <w:sz w:val="16"/>
          <w:szCs w:val="16"/>
          <w:color w:val="auto"/>
        </w:rPr>
      </w:pPr>
    </w:p>
    <w:p>
      <w:pPr>
        <w:ind w:left="327"/>
        <w:spacing w:after="0"/>
        <w:rPr>
          <w:rFonts w:ascii="Arial" w:cs="Arial" w:eastAsia="Arial" w:hAnsi="Arial"/>
          <w:sz w:val="16"/>
          <w:szCs w:val="16"/>
          <w:color w:val="auto"/>
        </w:rPr>
      </w:pPr>
      <w:r>
        <w:rPr>
          <w:rFonts w:ascii="Arial" w:cs="Arial" w:eastAsia="Arial" w:hAnsi="Arial"/>
          <w:sz w:val="16"/>
          <w:szCs w:val="16"/>
          <w:b w:val="1"/>
          <w:bCs w:val="1"/>
          <w:color w:val="auto"/>
        </w:rPr>
        <w:t>Beneficial Holders.</w:t>
      </w:r>
    </w:p>
    <w:p>
      <w:pPr>
        <w:spacing w:after="0" w:line="150" w:lineRule="exact"/>
        <w:rPr>
          <w:rFonts w:ascii="Arial" w:cs="Arial" w:eastAsia="Arial" w:hAnsi="Arial"/>
          <w:sz w:val="16"/>
          <w:szCs w:val="16"/>
          <w:color w:val="auto"/>
        </w:rPr>
      </w:pPr>
    </w:p>
    <w:p>
      <w:pPr>
        <w:ind w:left="327" w:right="80" w:hanging="327"/>
        <w:spacing w:after="0" w:line="279" w:lineRule="auto"/>
        <w:tabs>
          <w:tab w:leader="none" w:pos="327"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you hold your shares in street name as a beneficial holder and wish to virtually attend the Annual Meeting, you have two options:</w:t>
      </w:r>
    </w:p>
    <w:p>
      <w:pPr>
        <w:spacing w:after="0" w:line="93" w:lineRule="exact"/>
        <w:rPr>
          <w:rFonts w:ascii="Arial" w:cs="Arial" w:eastAsia="Arial" w:hAnsi="Arial"/>
          <w:sz w:val="16"/>
          <w:szCs w:val="16"/>
          <w:color w:val="auto"/>
        </w:rPr>
      </w:pPr>
    </w:p>
    <w:p>
      <w:pPr>
        <w:ind w:left="1007" w:right="120" w:hanging="352"/>
        <w:spacing w:after="0" w:line="250" w:lineRule="auto"/>
        <w:tabs>
          <w:tab w:leader="none" w:pos="1007"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Option 1 Register in Advance</w:t>
      </w:r>
      <w:r>
        <w:rPr>
          <w:rFonts w:ascii="Arial" w:cs="Arial" w:eastAsia="Arial" w:hAnsi="Arial"/>
          <w:sz w:val="16"/>
          <w:szCs w:val="16"/>
          <w:color w:val="auto"/>
        </w:rPr>
        <w:t>. You may register in advance by submitting proof of your proxy power by submitting a “legal proxy” form that you can obtain from your broker by following the instructions on their voting instructions. Upon receipt, send the legal proxy reflecting your holdings in Hasbro along with your name and email address to Computershare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328930</wp:posOffset>
            </wp:positionV>
            <wp:extent cx="6964045" cy="39052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53"/>
            <w:col w:w="5327"/>
          </w:cols>
          <w:pgMar w:left="320" w:top="478" w:right="51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FCFCFC"/>
        </w:rPr>
        <w:t>    70</w:t>
      </w:r>
    </w:p>
    <w:p>
      <w:pPr>
        <w:sectPr>
          <w:pgSz w:w="11900" w:h="16838" w:orient="portrait"/>
          <w:cols w:equalWidth="0" w:num="1">
            <w:col w:w="11060"/>
          </w:cols>
          <w:pgMar w:left="320" w:top="478" w:right="51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76" w:lineRule="exact"/>
        <w:rPr>
          <w:sz w:val="20"/>
          <w:szCs w:val="20"/>
          <w:color w:val="auto"/>
        </w:rPr>
      </w:pPr>
    </w:p>
    <w:p>
      <w:pPr>
        <w:ind w:left="1180" w:right="60"/>
        <w:spacing w:after="0" w:line="256" w:lineRule="auto"/>
        <w:rPr>
          <w:sz w:val="20"/>
          <w:szCs w:val="20"/>
          <w:color w:val="auto"/>
        </w:rPr>
      </w:pPr>
      <w:r>
        <w:rPr>
          <w:rFonts w:ascii="Arial" w:cs="Arial" w:eastAsia="Arial" w:hAnsi="Arial"/>
          <w:sz w:val="16"/>
          <w:szCs w:val="16"/>
          <w:color w:val="auto"/>
        </w:rPr>
        <w:t>Company (“Computershare”) by email or mail as set forth below. Requests for registration must be labeled as “Legal Proxy” and be received no later than 5:00 p.m., Eastern Time, on June 8, 2026.</w:t>
      </w:r>
    </w:p>
    <w:p>
      <w:pPr>
        <w:spacing w:after="0" w:line="111" w:lineRule="exact"/>
        <w:rPr>
          <w:sz w:val="20"/>
          <w:szCs w:val="20"/>
          <w:color w:val="auto"/>
        </w:rPr>
      </w:pPr>
    </w:p>
    <w:p>
      <w:pPr>
        <w:ind w:left="1140" w:hanging="317"/>
        <w:spacing w:after="0" w:line="262" w:lineRule="auto"/>
        <w:tabs>
          <w:tab w:leader="none" w:pos="11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By email: Forward the email from your broker and attach an image of your legal proxy, to </w:t>
      </w:r>
      <w:r>
        <w:rPr>
          <w:rFonts w:ascii="Arial" w:cs="Arial" w:eastAsia="Arial" w:hAnsi="Arial"/>
          <w:sz w:val="16"/>
          <w:szCs w:val="16"/>
          <w:u w:val="single" w:color="auto"/>
          <w:color w:val="auto"/>
        </w:rPr>
        <w:t>legalproxy@computershare.com</w:t>
      </w:r>
      <w:r>
        <w:rPr>
          <w:rFonts w:ascii="Arial" w:cs="Arial" w:eastAsia="Arial" w:hAnsi="Arial"/>
          <w:sz w:val="16"/>
          <w:szCs w:val="16"/>
          <w:color w:val="auto"/>
        </w:rPr>
        <w:t>.</w:t>
      </w:r>
    </w:p>
    <w:p>
      <w:pPr>
        <w:spacing w:after="0" w:line="92" w:lineRule="exact"/>
        <w:rPr>
          <w:rFonts w:ascii="Arial" w:cs="Arial" w:eastAsia="Arial" w:hAnsi="Arial"/>
          <w:sz w:val="16"/>
          <w:szCs w:val="16"/>
          <w:color w:val="auto"/>
        </w:rPr>
      </w:pPr>
    </w:p>
    <w:p>
      <w:pPr>
        <w:ind w:left="1140" w:right="2300"/>
        <w:spacing w:after="0" w:line="256" w:lineRule="auto"/>
        <w:rPr>
          <w:rFonts w:ascii="Arial" w:cs="Arial" w:eastAsia="Arial" w:hAnsi="Arial"/>
          <w:sz w:val="16"/>
          <w:szCs w:val="16"/>
          <w:color w:val="auto"/>
        </w:rPr>
      </w:pPr>
      <w:r>
        <w:rPr>
          <w:rFonts w:ascii="Arial" w:cs="Arial" w:eastAsia="Arial" w:hAnsi="Arial"/>
          <w:sz w:val="16"/>
          <w:szCs w:val="16"/>
          <w:color w:val="auto"/>
        </w:rPr>
        <w:t>By mail: Computershare Hasbro Legal Proxy P.O. Box 43001 Providence, RI 02940-3001</w:t>
      </w:r>
    </w:p>
    <w:p>
      <w:pPr>
        <w:spacing w:after="0" w:line="111" w:lineRule="exact"/>
        <w:rPr>
          <w:sz w:val="20"/>
          <w:szCs w:val="20"/>
          <w:color w:val="auto"/>
        </w:rPr>
      </w:pPr>
    </w:p>
    <w:p>
      <w:pPr>
        <w:ind w:left="1180" w:right="20" w:hanging="357"/>
        <w:spacing w:after="0" w:line="246" w:lineRule="auto"/>
        <w:tabs>
          <w:tab w:leader="none" w:pos="1180"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Option 2 Register at the Annual Meeting</w:t>
      </w:r>
      <w:r>
        <w:rPr>
          <w:rFonts w:ascii="Arial" w:cs="Arial" w:eastAsia="Arial" w:hAnsi="Arial"/>
          <w:sz w:val="16"/>
          <w:szCs w:val="16"/>
          <w:color w:val="auto"/>
        </w:rPr>
        <w:t>. An industry solution has been agreed upon to allow beneficial holders to register online at the Annual Meeting to attend, ask questions and vote. We expect that the vast majority of beneficial holders will be able to fully participate using the control number received with their voting instruction form. Please note, however, that this option is intended to be provided as a convenience to beneficial holders only, and there is no guarantee this option will be available for every type of beneficial holder voting control number. The inability to provide this option to any or all beneficial holders shall in no way impact the validity of the Annual Meeting. Beneficial holders may choose the Register in Advance of the Annual Meeting option above, if they prefer to use this traditional, paper-based option.</w:t>
      </w:r>
    </w:p>
    <w:p>
      <w:pPr>
        <w:spacing w:after="0" w:line="126" w:lineRule="exact"/>
        <w:rPr>
          <w:rFonts w:ascii="Arial" w:cs="Arial" w:eastAsia="Arial" w:hAnsi="Arial"/>
          <w:sz w:val="16"/>
          <w:szCs w:val="16"/>
          <w:color w:val="auto"/>
        </w:rPr>
      </w:pPr>
    </w:p>
    <w:p>
      <w:pPr>
        <w:ind w:left="480" w:hanging="313"/>
        <w:spacing w:after="0" w:line="251" w:lineRule="auto"/>
        <w:tabs>
          <w:tab w:leader="none" w:pos="4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any event, please go to www.meetnow.global/MHMKPY9 for more information on the available options and registration instructions. The online meeting will begin promptly at 11:00 A.M. Eastern Time. We encourage you to access the Annual Meeting prior to the start time leaving ample time for the check-in. Please follow the registration instructions as outlined in this proxy statement.</w:t>
      </w:r>
    </w:p>
    <w:p>
      <w:pPr>
        <w:spacing w:after="0" w:line="210"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6"/>
          <w:szCs w:val="16"/>
          <w:b w:val="1"/>
          <w:bCs w:val="1"/>
          <w:color w:val="auto"/>
        </w:rPr>
        <w:t>Q:</w:t>
        <w:tab/>
        <w:t>How can I attend the Annual Meeting as a guest?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45085</wp:posOffset>
            </wp:positionV>
            <wp:extent cx="332930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237" w:lineRule="exact"/>
        <w:rPr>
          <w:sz w:val="20"/>
          <w:szCs w:val="20"/>
          <w:color w:val="auto"/>
        </w:rPr>
      </w:pPr>
    </w:p>
    <w:p>
      <w:pPr>
        <w:ind w:left="480" w:right="60" w:hanging="313"/>
        <w:spacing w:after="0" w:line="251" w:lineRule="auto"/>
        <w:tabs>
          <w:tab w:leader="none" w:pos="480" w:val="left"/>
        </w:tabs>
        <w:numPr>
          <w:ilvl w:val="0"/>
          <w:numId w:val="93"/>
        </w:numPr>
        <w:rPr>
          <w:rFonts w:ascii="Arial" w:cs="Arial" w:eastAsia="Arial" w:hAnsi="Arial"/>
          <w:sz w:val="16"/>
          <w:szCs w:val="16"/>
          <w:b w:val="1"/>
          <w:bCs w:val="1"/>
          <w:color w:val="auto"/>
        </w:rPr>
      </w:pPr>
      <w:r>
        <w:rPr>
          <w:rFonts w:ascii="Arial" w:cs="Arial" w:eastAsia="Arial" w:hAnsi="Arial"/>
          <w:sz w:val="16"/>
          <w:szCs w:val="16"/>
          <w:color w:val="auto"/>
        </w:rPr>
        <w:t>Guests will be allowed to attend the Annual Meeting by accessing the website www.meetnow.global/MHMKPY9, beginning 15 minutes prior to the Annual Meeting’s scheduled start time and following the instructions provided to attend. Guests at the Annual Meeting will be able to listen to the Annual Meeting but will not be able to vote nor submit a comment or question during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ind w:left="7"/>
        <w:spacing w:after="0"/>
        <w:tabs>
          <w:tab w:leader="none" w:pos="307" w:val="left"/>
        </w:tabs>
        <w:rPr>
          <w:sz w:val="20"/>
          <w:szCs w:val="20"/>
          <w:color w:val="auto"/>
        </w:rPr>
      </w:pPr>
      <w:r>
        <w:rPr>
          <w:rFonts w:ascii="Arial" w:cs="Arial" w:eastAsia="Arial" w:hAnsi="Arial"/>
          <w:sz w:val="16"/>
          <w:szCs w:val="16"/>
          <w:b w:val="1"/>
          <w:bCs w:val="1"/>
          <w:color w:val="auto"/>
        </w:rPr>
        <w:t>Q:</w:t>
        <w:tab/>
        <w:t>Do I need to register to attend the Annual Meeting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-701675</wp:posOffset>
            </wp:positionV>
            <wp:extent cx="7176135" cy="5524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45085</wp:posOffset>
            </wp:positionV>
            <wp:extent cx="3397250"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224" w:lineRule="exact"/>
        <w:rPr>
          <w:sz w:val="20"/>
          <w:szCs w:val="20"/>
          <w:color w:val="auto"/>
        </w:rPr>
      </w:pPr>
    </w:p>
    <w:p>
      <w:pPr>
        <w:ind w:left="327" w:hanging="327"/>
        <w:spacing w:after="0" w:line="249" w:lineRule="auto"/>
        <w:tabs>
          <w:tab w:leader="none" w:pos="327" w:val="left"/>
        </w:tabs>
        <w:numPr>
          <w:ilvl w:val="0"/>
          <w:numId w:val="94"/>
        </w:numPr>
        <w:rPr>
          <w:rFonts w:ascii="Arial" w:cs="Arial" w:eastAsia="Arial" w:hAnsi="Arial"/>
          <w:sz w:val="16"/>
          <w:szCs w:val="16"/>
          <w:b w:val="1"/>
          <w:bCs w:val="1"/>
          <w:color w:val="auto"/>
        </w:rPr>
      </w:pPr>
      <w:r>
        <w:rPr>
          <w:rFonts w:ascii="Arial" w:cs="Arial" w:eastAsia="Arial" w:hAnsi="Arial"/>
          <w:sz w:val="16"/>
          <w:szCs w:val="16"/>
          <w:color w:val="auto"/>
        </w:rPr>
        <w:t>Registration is only required if you are a Beneficial Holder choosing to use the “Register in Advance” option set forth above. Online access to the webcast will open approximately 15 minutes prior to the start of the Annual Meeting. Shareholders attending the meeting virtually will be able to submit questions before or during the Annual Meeting using the Q&amp;A icon. To submit questions in advance of the Annual Meeting, visit www.meetnow.global/MHMKPY9 before 11:00 A.M. Eastern Time on June 11, 2026.</w:t>
      </w:r>
    </w:p>
    <w:p>
      <w:pPr>
        <w:spacing w:after="0" w:line="185" w:lineRule="exact"/>
        <w:rPr>
          <w:sz w:val="20"/>
          <w:szCs w:val="20"/>
          <w:color w:val="auto"/>
        </w:rPr>
      </w:pPr>
    </w:p>
    <w:p>
      <w:pPr>
        <w:ind w:left="7" w:right="40"/>
        <w:spacing w:after="0" w:line="292" w:lineRule="auto"/>
        <w:rPr>
          <w:sz w:val="20"/>
          <w:szCs w:val="20"/>
          <w:color w:val="auto"/>
        </w:rPr>
      </w:pPr>
      <w:r>
        <w:rPr>
          <w:rFonts w:ascii="Arial" w:cs="Arial" w:eastAsia="Arial" w:hAnsi="Arial"/>
          <w:sz w:val="16"/>
          <w:szCs w:val="16"/>
          <w:b w:val="1"/>
          <w:bCs w:val="1"/>
          <w:color w:val="auto"/>
        </w:rPr>
        <w:t>Shareholders who attend the Annual Meeting virtually via the Internet will have the opportunity to participate fully in the Annual Meeting.</w:t>
      </w:r>
    </w:p>
    <w:p>
      <w:pPr>
        <w:spacing w:after="0" w:line="167" w:lineRule="exact"/>
        <w:rPr>
          <w:sz w:val="20"/>
          <w:szCs w:val="20"/>
          <w:color w:val="auto"/>
        </w:rPr>
      </w:pPr>
    </w:p>
    <w:p>
      <w:pPr>
        <w:ind w:left="7"/>
        <w:spacing w:after="0"/>
        <w:tabs>
          <w:tab w:leader="none" w:pos="307" w:val="left"/>
        </w:tabs>
        <w:rPr>
          <w:sz w:val="20"/>
          <w:szCs w:val="20"/>
          <w:color w:val="auto"/>
        </w:rPr>
      </w:pPr>
      <w:r>
        <w:rPr>
          <w:rFonts w:ascii="Arial" w:cs="Arial" w:eastAsia="Arial" w:hAnsi="Arial"/>
          <w:sz w:val="16"/>
          <w:szCs w:val="16"/>
          <w:b w:val="1"/>
          <w:bCs w:val="1"/>
          <w:color w:val="auto"/>
        </w:rPr>
        <w:t>Q:</w:t>
      </w:r>
      <w:r>
        <w:rPr>
          <w:sz w:val="20"/>
          <w:szCs w:val="20"/>
          <w:color w:val="auto"/>
        </w:rPr>
        <w:tab/>
      </w:r>
      <w:r>
        <w:rPr>
          <w:rFonts w:ascii="Arial" w:cs="Arial" w:eastAsia="Arial" w:hAnsi="Arial"/>
          <w:sz w:val="15"/>
          <w:szCs w:val="15"/>
          <w:b w:val="1"/>
          <w:bCs w:val="1"/>
          <w:color w:val="auto"/>
        </w:rPr>
        <w:t>What shares are included on the enclosed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3397250"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237" w:lineRule="exact"/>
        <w:rPr>
          <w:sz w:val="20"/>
          <w:szCs w:val="20"/>
          <w:color w:val="auto"/>
        </w:rPr>
      </w:pPr>
    </w:p>
    <w:p>
      <w:pPr>
        <w:ind w:left="327" w:right="100" w:hanging="327"/>
        <w:spacing w:after="0" w:line="253" w:lineRule="auto"/>
        <w:tabs>
          <w:tab w:leader="none" w:pos="327" w:val="left"/>
        </w:tabs>
        <w:numPr>
          <w:ilvl w:val="0"/>
          <w:numId w:val="95"/>
        </w:numPr>
        <w:rPr>
          <w:rFonts w:ascii="Arial" w:cs="Arial" w:eastAsia="Arial" w:hAnsi="Arial"/>
          <w:sz w:val="16"/>
          <w:szCs w:val="16"/>
          <w:b w:val="1"/>
          <w:bCs w:val="1"/>
          <w:color w:val="auto"/>
        </w:rPr>
      </w:pPr>
      <w:r>
        <w:rPr>
          <w:rFonts w:ascii="Arial" w:cs="Arial" w:eastAsia="Arial" w:hAnsi="Arial"/>
          <w:sz w:val="16"/>
          <w:szCs w:val="16"/>
          <w:color w:val="auto"/>
        </w:rPr>
        <w:t>If you are a Registered shareholder of Hasbro as of the Record Date, the enclosed proxy card represents all shares of Hasbro Common Stock that are registered in your name, including shares purchased through the Computershare CIP, a Direct Stock Purchase and Dividend Reinvestment Plan for Hasbro.</w:t>
      </w:r>
    </w:p>
    <w:p>
      <w:pPr>
        <w:spacing w:after="0" w:line="114" w:lineRule="exact"/>
        <w:rPr>
          <w:sz w:val="20"/>
          <w:szCs w:val="20"/>
          <w:color w:val="auto"/>
        </w:rPr>
      </w:pPr>
    </w:p>
    <w:p>
      <w:pPr>
        <w:ind w:left="327" w:right="100" w:hanging="327"/>
        <w:spacing w:after="0" w:line="250" w:lineRule="auto"/>
        <w:tabs>
          <w:tab w:leader="none" w:pos="327"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your shares are held through a broker, bank or other nominee, your broker, bank or other nominee has enclosed a voting instruction form for you to use to direct it how to vote the shares held by such broker, bank or other nominee. Please return your completed voting instruction form to your broker, bank or other nominee. If your broker, bank or other nominee permits you to provide voting instructions via the Internet or by telephone, you may vote that way as well.</w:t>
      </w:r>
    </w:p>
    <w:p>
      <w:pPr>
        <w:spacing w:after="0" w:line="116" w:lineRule="exact"/>
        <w:rPr>
          <w:rFonts w:ascii="Arial" w:cs="Arial" w:eastAsia="Arial" w:hAnsi="Arial"/>
          <w:sz w:val="16"/>
          <w:szCs w:val="16"/>
          <w:color w:val="auto"/>
        </w:rPr>
      </w:pPr>
    </w:p>
    <w:p>
      <w:pPr>
        <w:ind w:left="327" w:right="20" w:hanging="327"/>
        <w:spacing w:after="0" w:line="251" w:lineRule="auto"/>
        <w:tabs>
          <w:tab w:leader="none" w:pos="327"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you hold shares in the Hasbro Retirement Savings Plan, you will receive paper proxy materials together with a proxy card reflecting your shares held in the Plan, along with any shares you may hold as a registered holder, if applicable. If you consented to receive proxy materials electronically, you will receive an email notification with links to the proxy materials and the Internet site to vote your shares.</w:t>
      </w:r>
    </w:p>
    <w:p>
      <w:pPr>
        <w:spacing w:after="0" w:line="210" w:lineRule="exact"/>
        <w:rPr>
          <w:sz w:val="20"/>
          <w:szCs w:val="20"/>
          <w:color w:val="auto"/>
        </w:rPr>
      </w:pPr>
    </w:p>
    <w:p>
      <w:pPr>
        <w:ind w:left="327" w:right="300" w:hanging="327"/>
        <w:spacing w:after="0" w:line="292" w:lineRule="auto"/>
        <w:tabs>
          <w:tab w:leader="none" w:pos="327"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What does it mean if I receive more than one proxy card on or about the same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339725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161" w:lineRule="exact"/>
        <w:rPr>
          <w:sz w:val="20"/>
          <w:szCs w:val="20"/>
          <w:color w:val="auto"/>
        </w:rPr>
      </w:pPr>
    </w:p>
    <w:p>
      <w:pPr>
        <w:ind w:left="327" w:right="200" w:hanging="327"/>
        <w:spacing w:after="0" w:line="262" w:lineRule="auto"/>
        <w:tabs>
          <w:tab w:leader="none" w:pos="327"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It generally means that you hold shares registered in more than one account. In order to vote all of your shares, please sign, date and return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526415</wp:posOffset>
            </wp:positionV>
            <wp:extent cx="6964045" cy="39052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5380" w:space="353"/>
            <w:col w:w="5327"/>
          </w:cols>
          <w:pgMar w:left="320" w:top="478"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FCFCFC"/>
        </w:rPr>
        <w:t>    71</w:t>
      </w:r>
    </w:p>
    <w:p>
      <w:pPr>
        <w:sectPr>
          <w:pgSz w:w="11900" w:h="16838" w:orient="portrait"/>
          <w:cols w:equalWidth="0" w:num="1">
            <w:col w:w="11060"/>
          </w:cols>
          <w:pgMar w:left="320" w:top="478" w:right="51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76" w:lineRule="exact"/>
        <w:rPr>
          <w:sz w:val="20"/>
          <w:szCs w:val="20"/>
          <w:color w:val="auto"/>
        </w:rPr>
      </w:pPr>
    </w:p>
    <w:p>
      <w:pPr>
        <w:ind w:left="480"/>
        <w:spacing w:after="0" w:line="251" w:lineRule="auto"/>
        <w:rPr>
          <w:sz w:val="20"/>
          <w:szCs w:val="20"/>
          <w:color w:val="auto"/>
        </w:rPr>
      </w:pPr>
      <w:r>
        <w:rPr>
          <w:rFonts w:ascii="Arial" w:cs="Arial" w:eastAsia="Arial" w:hAnsi="Arial"/>
          <w:sz w:val="16"/>
          <w:szCs w:val="16"/>
          <w:color w:val="auto"/>
        </w:rPr>
        <w:t>proxy card or voting instruction form in the postage-paid envelope provided or, if you vote via the Internet or telephone, please be sure to vote using each proxy card or voting instruction form you receive. The latest-dated, validly executed proxy you submit will be counted, and, if you wish to vote as recommended by your Board of Directors, then you should only submit proxy cards.</w:t>
      </w:r>
    </w:p>
    <w:p>
      <w:pPr>
        <w:spacing w:after="0" w:line="210"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6"/>
          <w:szCs w:val="16"/>
          <w:b w:val="1"/>
          <w:bCs w:val="1"/>
          <w:color w:val="auto"/>
        </w:rPr>
        <w:t>Q:</w:t>
        <w:tab/>
        <w:t>How do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45085</wp:posOffset>
            </wp:positionV>
            <wp:extent cx="3329305"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224" w:lineRule="exact"/>
        <w:rPr>
          <w:sz w:val="20"/>
          <w:szCs w:val="20"/>
          <w:color w:val="auto"/>
        </w:rPr>
      </w:pPr>
    </w:p>
    <w:p>
      <w:pPr>
        <w:ind w:left="480" w:right="120" w:hanging="313"/>
        <w:spacing w:after="0" w:line="253" w:lineRule="auto"/>
        <w:tabs>
          <w:tab w:leader="none" w:pos="480" w:val="left"/>
        </w:tabs>
        <w:numPr>
          <w:ilvl w:val="0"/>
          <w:numId w:val="99"/>
        </w:numPr>
        <w:rPr>
          <w:rFonts w:ascii="Arial" w:cs="Arial" w:eastAsia="Arial" w:hAnsi="Arial"/>
          <w:sz w:val="16"/>
          <w:szCs w:val="16"/>
          <w:b w:val="1"/>
          <w:bCs w:val="1"/>
          <w:color w:val="auto"/>
        </w:rPr>
      </w:pPr>
      <w:r>
        <w:rPr>
          <w:rFonts w:ascii="Arial" w:cs="Arial" w:eastAsia="Arial" w:hAnsi="Arial"/>
          <w:sz w:val="16"/>
          <w:szCs w:val="16"/>
          <w:color w:val="auto"/>
        </w:rPr>
        <w:t>We encourage all shareholders to submit proxies in advance of the Annual Meeting by telephone, by Internet or by mail. Sending your proxy by any of these methods will not affect your right to virtually attend and vote at the Annual Meeting or by executing a proxy designating a representative to vote for you at the Annual Meeting.</w:t>
      </w:r>
    </w:p>
    <w:p>
      <w:pPr>
        <w:spacing w:after="0" w:line="114" w:lineRule="exact"/>
        <w:rPr>
          <w:sz w:val="20"/>
          <w:szCs w:val="20"/>
          <w:color w:val="auto"/>
        </w:rPr>
      </w:pPr>
    </w:p>
    <w:p>
      <w:pPr>
        <w:ind w:left="480" w:right="100" w:hanging="313"/>
        <w:spacing w:after="0" w:line="249" w:lineRule="auto"/>
        <w:tabs>
          <w:tab w:leader="none" w:pos="4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you are a Registered shareholder as of the Record Date, you can vote by following the instructions on the notice, email or the proxy card you received to vote by (i) telephone or Internet, (ii) by completing, signing, dating and mailing the enclosed proxy card in the postage-paid envelope provided or (iii) by attending the Annual Meeting virtually and voting during the meeting as described below under the heading “How do I vote my shares during the Annual Meeting?”</w:t>
      </w:r>
    </w:p>
    <w:p>
      <w:pPr>
        <w:spacing w:after="0" w:line="117" w:lineRule="exact"/>
        <w:rPr>
          <w:rFonts w:ascii="Arial" w:cs="Arial" w:eastAsia="Arial" w:hAnsi="Arial"/>
          <w:sz w:val="16"/>
          <w:szCs w:val="16"/>
          <w:color w:val="auto"/>
        </w:rPr>
      </w:pPr>
    </w:p>
    <w:p>
      <w:pPr>
        <w:ind w:left="480" w:right="60" w:hanging="313"/>
        <w:spacing w:after="0" w:line="250" w:lineRule="auto"/>
        <w:tabs>
          <w:tab w:leader="none" w:pos="4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you hold shares through a broker, bank or other nominee, that institution has enclosed a voting instruction form for you to use to direct it how to vote those shares held by such broker, bank or other nominee. Your ability to vote by telephone or over the Internet depends upon your broker, bank or other nominee’s voting process. Please follow the instructions on your voting instruction form carefully.</w:t>
      </w:r>
    </w:p>
    <w:p>
      <w:pPr>
        <w:spacing w:after="0" w:line="116" w:lineRule="exact"/>
        <w:rPr>
          <w:rFonts w:ascii="Arial" w:cs="Arial" w:eastAsia="Arial" w:hAnsi="Arial"/>
          <w:sz w:val="16"/>
          <w:szCs w:val="16"/>
          <w:color w:val="auto"/>
        </w:rPr>
      </w:pPr>
    </w:p>
    <w:p>
      <w:pPr>
        <w:ind w:left="480" w:right="80" w:hanging="313"/>
        <w:spacing w:after="0" w:line="262" w:lineRule="auto"/>
        <w:tabs>
          <w:tab w:leader="none" w:pos="4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Even if you plan to attend the Annual Meeting virtually, we encourage you to vote your shares by submitting your proxy card or voting instruction form in advance of the Annual Meeting.</w:t>
      </w:r>
    </w:p>
    <w:p>
      <w:pPr>
        <w:spacing w:after="0" w:line="200"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6"/>
          <w:szCs w:val="16"/>
          <w:b w:val="1"/>
          <w:bCs w:val="1"/>
          <w:color w:val="auto"/>
        </w:rPr>
        <w:t>Q:</w:t>
        <w:tab/>
        <w:t>How do I vote my shares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45085</wp:posOffset>
            </wp:positionV>
            <wp:extent cx="332930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237" w:lineRule="exact"/>
        <w:rPr>
          <w:sz w:val="20"/>
          <w:szCs w:val="20"/>
          <w:color w:val="auto"/>
        </w:rPr>
      </w:pPr>
    </w:p>
    <w:p>
      <w:pPr>
        <w:ind w:left="480" w:right="80" w:hanging="313"/>
        <w:spacing w:after="0" w:line="253" w:lineRule="auto"/>
        <w:tabs>
          <w:tab w:leader="none" w:pos="480" w:val="left"/>
        </w:tabs>
        <w:numPr>
          <w:ilvl w:val="0"/>
          <w:numId w:val="101"/>
        </w:numPr>
        <w:rPr>
          <w:rFonts w:ascii="Arial" w:cs="Arial" w:eastAsia="Arial" w:hAnsi="Arial"/>
          <w:sz w:val="16"/>
          <w:szCs w:val="16"/>
          <w:b w:val="1"/>
          <w:bCs w:val="1"/>
          <w:color w:val="auto"/>
        </w:rPr>
      </w:pPr>
      <w:r>
        <w:rPr>
          <w:rFonts w:ascii="Arial" w:cs="Arial" w:eastAsia="Arial" w:hAnsi="Arial"/>
          <w:sz w:val="16"/>
          <w:szCs w:val="16"/>
          <w:color w:val="auto"/>
        </w:rPr>
        <w:t>If you are a registered shareholder or a Beneficial holder you can vote during the Annual Meeting by clicking on the “Vote” icon on the Annual Meeting site. If you have already voted your shares there is no need to vote during the Annual Meeting unless you wish to change your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ind w:left="7"/>
        <w:spacing w:after="0"/>
        <w:tabs>
          <w:tab w:leader="none" w:pos="307" w:val="left"/>
        </w:tabs>
        <w:rPr>
          <w:sz w:val="20"/>
          <w:szCs w:val="20"/>
          <w:color w:val="auto"/>
        </w:rPr>
      </w:pPr>
      <w:r>
        <w:rPr>
          <w:rFonts w:ascii="Arial" w:cs="Arial" w:eastAsia="Arial" w:hAnsi="Arial"/>
          <w:sz w:val="16"/>
          <w:szCs w:val="16"/>
          <w:b w:val="1"/>
          <w:bCs w:val="1"/>
          <w:color w:val="auto"/>
        </w:rPr>
        <w:t>Q:</w:t>
        <w:tab/>
        <w:t>What vote is required for approval of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-701675</wp:posOffset>
            </wp:positionV>
            <wp:extent cx="7176135" cy="5524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45085</wp:posOffset>
            </wp:positionV>
            <wp:extent cx="339725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224" w:lineRule="exact"/>
        <w:rPr>
          <w:sz w:val="20"/>
          <w:szCs w:val="20"/>
          <w:color w:val="auto"/>
        </w:rPr>
      </w:pPr>
    </w:p>
    <w:p>
      <w:pPr>
        <w:ind w:left="327" w:hanging="327"/>
        <w:spacing w:after="0" w:line="250" w:lineRule="auto"/>
        <w:tabs>
          <w:tab w:leader="none" w:pos="327" w:val="left"/>
        </w:tabs>
        <w:numPr>
          <w:ilvl w:val="0"/>
          <w:numId w:val="102"/>
        </w:numPr>
        <w:rPr>
          <w:rFonts w:ascii="Arial" w:cs="Arial" w:eastAsia="Arial" w:hAnsi="Arial"/>
          <w:sz w:val="16"/>
          <w:szCs w:val="16"/>
          <w:b w:val="1"/>
          <w:bCs w:val="1"/>
          <w:color w:val="auto"/>
        </w:rPr>
      </w:pPr>
      <w:r>
        <w:rPr>
          <w:rFonts w:ascii="Arial" w:cs="Arial" w:eastAsia="Arial" w:hAnsi="Arial"/>
          <w:sz w:val="16"/>
          <w:szCs w:val="16"/>
          <w:color w:val="auto"/>
        </w:rPr>
        <w:t>Under Article II, Section 2.6 of Hasbro’s By-laws, the affirmative vote of a majority of votes cast with respect to each director nominee will be required for the nominee to be elected. A majority of the number of votes cast “FOR” a director nominee must exceed the number of votes cast “AGAINST” that director nominee. For each of the nominees you may vote “FOR” such nominee, “AGAINST” such nominee or you may “ABSTAIN” with respect to each nominee.</w:t>
      </w:r>
    </w:p>
    <w:p>
      <w:pPr>
        <w:spacing w:after="0" w:line="210" w:lineRule="exact"/>
        <w:rPr>
          <w:sz w:val="20"/>
          <w:szCs w:val="20"/>
          <w:color w:val="auto"/>
        </w:rPr>
      </w:pPr>
    </w:p>
    <w:p>
      <w:pPr>
        <w:ind w:left="327" w:right="380" w:hanging="327"/>
        <w:spacing w:after="0" w:line="292" w:lineRule="auto"/>
        <w:tabs>
          <w:tab w:leader="none" w:pos="327"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What vote is required for approval of each other matter to be considered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3397250"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161" w:lineRule="exact"/>
        <w:rPr>
          <w:sz w:val="20"/>
          <w:szCs w:val="20"/>
          <w:color w:val="auto"/>
        </w:rPr>
      </w:pPr>
    </w:p>
    <w:p>
      <w:pPr>
        <w:ind w:left="327" w:right="20" w:hanging="327"/>
        <w:spacing w:after="0" w:line="256" w:lineRule="auto"/>
        <w:tabs>
          <w:tab w:leader="none" w:pos="327" w:val="left"/>
        </w:tabs>
        <w:numPr>
          <w:ilvl w:val="0"/>
          <w:numId w:val="104"/>
        </w:numPr>
        <w:rPr>
          <w:rFonts w:ascii="Arial" w:cs="Arial" w:eastAsia="Arial" w:hAnsi="Arial"/>
          <w:sz w:val="16"/>
          <w:szCs w:val="16"/>
          <w:b w:val="1"/>
          <w:bCs w:val="1"/>
          <w:color w:val="auto"/>
        </w:rPr>
      </w:pPr>
      <w:r>
        <w:rPr>
          <w:rFonts w:ascii="Arial" w:cs="Arial" w:eastAsia="Arial" w:hAnsi="Arial"/>
          <w:sz w:val="16"/>
          <w:szCs w:val="16"/>
          <w:color w:val="auto"/>
        </w:rPr>
        <w:t xml:space="preserve">Proposal 2 — </w:t>
      </w:r>
      <w:r>
        <w:rPr>
          <w:rFonts w:ascii="Arial" w:cs="Arial" w:eastAsia="Arial" w:hAnsi="Arial"/>
          <w:sz w:val="16"/>
          <w:szCs w:val="16"/>
          <w:b w:val="1"/>
          <w:bCs w:val="1"/>
          <w:color w:val="auto"/>
        </w:rPr>
        <w:t>Advisory Vote on Compensation.</w:t>
      </w:r>
      <w:r>
        <w:rPr>
          <w:rFonts w:ascii="Arial" w:cs="Arial" w:eastAsia="Arial" w:hAnsi="Arial"/>
          <w:sz w:val="16"/>
          <w:szCs w:val="16"/>
          <w:color w:val="auto"/>
        </w:rPr>
        <w:t xml:space="preserve"> The affirmative vote of a majority of the shares of Common Stock present (in person or by proxy) and entitled to vote at the Annual Meeting on this shareholder advisory vote is required for approval of this proposal.</w:t>
      </w:r>
    </w:p>
    <w:p>
      <w:pPr>
        <w:spacing w:after="0" w:line="111" w:lineRule="exact"/>
        <w:rPr>
          <w:sz w:val="20"/>
          <w:szCs w:val="20"/>
          <w:color w:val="auto"/>
        </w:rPr>
      </w:pPr>
    </w:p>
    <w:p>
      <w:pPr>
        <w:ind w:left="327" w:hanging="327"/>
        <w:spacing w:after="0" w:line="253" w:lineRule="auto"/>
        <w:tabs>
          <w:tab w:leader="none" w:pos="32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Proposal 3 — </w:t>
      </w:r>
      <w:r>
        <w:rPr>
          <w:rFonts w:ascii="Arial" w:cs="Arial" w:eastAsia="Arial" w:hAnsi="Arial"/>
          <w:sz w:val="16"/>
          <w:szCs w:val="16"/>
          <w:b w:val="1"/>
          <w:bCs w:val="1"/>
          <w:color w:val="auto"/>
        </w:rPr>
        <w:t>Ratification of the Selection of KPMG.</w:t>
      </w:r>
      <w:r>
        <w:rPr>
          <w:rFonts w:ascii="Arial" w:cs="Arial" w:eastAsia="Arial" w:hAnsi="Arial"/>
          <w:sz w:val="16"/>
          <w:szCs w:val="16"/>
          <w:color w:val="auto"/>
        </w:rPr>
        <w:t xml:space="preserve"> The affirmative vote of a majority of the shares of Common Stock present (in person or by proxy) and entitled to vote at the Annual Meeting on the ratification of the selection of KPMG is required for approval of this proposal.</w:t>
      </w:r>
    </w:p>
    <w:p>
      <w:pPr>
        <w:spacing w:after="0" w:line="114" w:lineRule="exact"/>
        <w:rPr>
          <w:sz w:val="20"/>
          <w:szCs w:val="20"/>
          <w:color w:val="auto"/>
        </w:rPr>
      </w:pPr>
    </w:p>
    <w:p>
      <w:pPr>
        <w:ind w:left="327" w:right="400" w:hanging="327"/>
        <w:spacing w:after="0" w:line="262" w:lineRule="auto"/>
        <w:tabs>
          <w:tab w:leader="none" w:pos="32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For proposals 2 and 3, you may vote “FOR”, “AGAINST” or “ABSTAIN”. If you “ABSTAIN” for proposal 2 or 3, it has the same effect as a vote “AGAINST” that proposal.</w:t>
      </w:r>
    </w:p>
    <w:p>
      <w:pPr>
        <w:spacing w:after="0" w:line="200" w:lineRule="exact"/>
        <w:rPr>
          <w:sz w:val="20"/>
          <w:szCs w:val="20"/>
          <w:color w:val="auto"/>
        </w:rPr>
      </w:pPr>
    </w:p>
    <w:p>
      <w:pPr>
        <w:ind w:left="327" w:right="160" w:hanging="327"/>
        <w:spacing w:after="0" w:line="292" w:lineRule="auto"/>
        <w:tabs>
          <w:tab w:leader="none" w:pos="327"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I hold shares in street name and do not submit voting instructions? 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3397250"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161" w:lineRule="exact"/>
        <w:rPr>
          <w:sz w:val="20"/>
          <w:szCs w:val="20"/>
          <w:color w:val="auto"/>
        </w:rPr>
      </w:pPr>
    </w:p>
    <w:p>
      <w:pPr>
        <w:ind w:left="327" w:right="20" w:hanging="327"/>
        <w:spacing w:after="0" w:line="249" w:lineRule="auto"/>
        <w:tabs>
          <w:tab w:leader="none" w:pos="327"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A broker non-vote occurs when a broker or other nominee holding shares for a beneficial owner does not vote on a particular proposal because the broker or nominee does not have discretionary voting power for that particular item and has not received instructions from the beneficial owner. Under applicable rules that govern brokers or other nominees who are voting with respect to shares held in street name, brokers or other nominees ordinarily have the discretion to vote on “routine” matters but not on non-routine matters.</w:t>
      </w:r>
    </w:p>
    <w:p>
      <w:pPr>
        <w:spacing w:after="0" w:line="118" w:lineRule="exact"/>
        <w:rPr>
          <w:sz w:val="20"/>
          <w:szCs w:val="20"/>
          <w:color w:val="auto"/>
        </w:rPr>
      </w:pPr>
    </w:p>
    <w:p>
      <w:pPr>
        <w:ind w:left="327" w:right="140" w:hanging="327"/>
        <w:spacing w:after="0" w:line="256" w:lineRule="auto"/>
        <w:tabs>
          <w:tab w:leader="none" w:pos="32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you are a beneficial shareholder and do not vote via the Internet, telephone, during the Annual Meeting or by returning a signed voting instruction card, your shares may only be voted in situations where brokers have discretionary voting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317500</wp:posOffset>
            </wp:positionV>
            <wp:extent cx="6964045" cy="39052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2">
            <w:col w:w="5360" w:space="373"/>
            <w:col w:w="5327"/>
          </w:cols>
          <w:pgMar w:left="320" w:top="478" w:right="5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76" w:lineRule="exact"/>
        <w:rPr>
          <w:sz w:val="20"/>
          <w:szCs w:val="20"/>
          <w:color w:val="auto"/>
        </w:rPr>
      </w:pPr>
    </w:p>
    <w:p>
      <w:pPr>
        <w:ind w:left="480" w:right="200"/>
        <w:spacing w:after="0" w:line="256" w:lineRule="auto"/>
        <w:rPr>
          <w:sz w:val="20"/>
          <w:szCs w:val="20"/>
          <w:color w:val="auto"/>
        </w:rPr>
      </w:pPr>
      <w:r>
        <w:rPr>
          <w:rFonts w:ascii="Arial" w:cs="Arial" w:eastAsia="Arial" w:hAnsi="Arial"/>
          <w:sz w:val="16"/>
          <w:szCs w:val="16"/>
          <w:color w:val="auto"/>
        </w:rPr>
        <w:t>over the shares. Discretionary voting authority is only permitted on the proposal for the ratification of the selection of KPMG as the Company’s independent registered public accounting firm for 2026 which is a “routine” matter.</w:t>
      </w:r>
    </w:p>
    <w:p>
      <w:pPr>
        <w:spacing w:after="0" w:line="205" w:lineRule="exact"/>
        <w:rPr>
          <w:sz w:val="20"/>
          <w:szCs w:val="20"/>
          <w:color w:val="auto"/>
        </w:rPr>
      </w:pPr>
    </w:p>
    <w:p>
      <w:pPr>
        <w:ind w:left="480" w:right="100" w:hanging="313"/>
        <w:spacing w:after="0" w:line="292" w:lineRule="auto"/>
        <w:tabs>
          <w:tab w:leader="none" w:pos="48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How will my shares be voted if I submit a proxy card but do not specify how I want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wp:posOffset>
            </wp:positionV>
            <wp:extent cx="3329305"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147" w:lineRule="exact"/>
        <w:rPr>
          <w:sz w:val="20"/>
          <w:szCs w:val="20"/>
          <w:color w:val="auto"/>
        </w:rPr>
      </w:pPr>
    </w:p>
    <w:p>
      <w:pPr>
        <w:ind w:left="480" w:hanging="313"/>
        <w:spacing w:after="0" w:line="249" w:lineRule="auto"/>
        <w:tabs>
          <w:tab w:leader="none" w:pos="480" w:val="left"/>
        </w:tabs>
        <w:numPr>
          <w:ilvl w:val="0"/>
          <w:numId w:val="111"/>
        </w:numPr>
        <w:rPr>
          <w:rFonts w:ascii="Arial" w:cs="Arial" w:eastAsia="Arial" w:hAnsi="Arial"/>
          <w:sz w:val="16"/>
          <w:szCs w:val="16"/>
          <w:b w:val="1"/>
          <w:bCs w:val="1"/>
          <w:color w:val="auto"/>
        </w:rPr>
      </w:pPr>
      <w:r>
        <w:rPr>
          <w:rFonts w:ascii="Arial" w:cs="Arial" w:eastAsia="Arial" w:hAnsi="Arial"/>
          <w:sz w:val="16"/>
          <w:szCs w:val="16"/>
          <w:color w:val="auto"/>
        </w:rPr>
        <w:t>If you submit a validly executed proxy card or voting instruction form but do not specify how you want to vote your shares with respect to a particular proposal, then your shares will be voted in line with the Board’s recommendations with respect to any such proposal, i.e.,</w:t>
      </w:r>
    </w:p>
    <w:p>
      <w:pPr>
        <w:spacing w:after="0" w:line="1" w:lineRule="exact"/>
        <w:rPr>
          <w:rFonts w:ascii="Arial" w:cs="Arial" w:eastAsia="Arial" w:hAnsi="Arial"/>
          <w:sz w:val="16"/>
          <w:szCs w:val="16"/>
          <w:b w:val="1"/>
          <w:bCs w:val="1"/>
          <w:color w:val="auto"/>
        </w:rPr>
      </w:pPr>
    </w:p>
    <w:p>
      <w:pPr>
        <w:ind w:left="480" w:right="100"/>
        <w:spacing w:after="0" w:line="247" w:lineRule="auto"/>
        <w:rPr>
          <w:rFonts w:ascii="Arial" w:cs="Arial" w:eastAsia="Arial" w:hAnsi="Arial"/>
          <w:sz w:val="16"/>
          <w:szCs w:val="16"/>
          <w:b w:val="1"/>
          <w:bCs w:val="1"/>
          <w:color w:val="auto"/>
        </w:rPr>
      </w:pPr>
      <w:r>
        <w:rPr>
          <w:rFonts w:ascii="Arial" w:cs="Arial" w:eastAsia="Arial" w:hAnsi="Arial"/>
          <w:sz w:val="16"/>
          <w:szCs w:val="16"/>
          <w:color w:val="auto"/>
        </w:rPr>
        <w:t>(i) “FOR ALL” your Board’s eleven (11) director nominees, (ii) “FOR” the approval, on a non-binding advisory basis, of the compensation of the Company’s Named Executive Officers, and (iii) “FOR” the ratification of the selection of KPMG as the Company’s independent registered public accounting firm for fiscal 2026.</w:t>
      </w:r>
    </w:p>
    <w:p>
      <w:pPr>
        <w:spacing w:after="0" w:line="121" w:lineRule="exact"/>
        <w:rPr>
          <w:sz w:val="20"/>
          <w:szCs w:val="20"/>
          <w:color w:val="auto"/>
        </w:rPr>
      </w:pPr>
    </w:p>
    <w:p>
      <w:pPr>
        <w:ind w:left="480" w:right="200" w:hanging="313"/>
        <w:spacing w:after="0" w:line="250" w:lineRule="auto"/>
        <w:tabs>
          <w:tab w:leader="none" w:pos="4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As of the date of this Proxy Statement, your Board of Directors knows of no business other than that set forth above to be transacted at the Annual Meeting, but if other matters requiring a vote do arise, it is the intention of Mr. Chris Cocks and Ms. Gina Goetter, as the individuals to whom you are granting your proxy on the proxy card, to vote in accordance with their best judgment on such matters.</w:t>
      </w:r>
    </w:p>
    <w:p>
      <w:pPr>
        <w:spacing w:after="0" w:line="116" w:lineRule="exact"/>
        <w:rPr>
          <w:rFonts w:ascii="Arial" w:cs="Arial" w:eastAsia="Arial" w:hAnsi="Arial"/>
          <w:sz w:val="16"/>
          <w:szCs w:val="16"/>
          <w:color w:val="auto"/>
        </w:rPr>
      </w:pPr>
    </w:p>
    <w:p>
      <w:pPr>
        <w:ind w:left="480" w:right="260" w:hanging="313"/>
        <w:spacing w:after="0" w:line="279" w:lineRule="auto"/>
        <w:tabs>
          <w:tab w:leader="none" w:pos="4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Your Board urges you to mark your proxy card in accordance with your Board’s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  73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ind w:left="7"/>
        <w:spacing w:after="0"/>
        <w:tabs>
          <w:tab w:leader="none" w:pos="307" w:val="left"/>
        </w:tabs>
        <w:rPr>
          <w:sz w:val="20"/>
          <w:szCs w:val="20"/>
          <w:color w:val="auto"/>
        </w:rPr>
      </w:pPr>
      <w:r>
        <w:rPr>
          <w:rFonts w:ascii="Arial" w:cs="Arial" w:eastAsia="Arial" w:hAnsi="Arial"/>
          <w:sz w:val="16"/>
          <w:szCs w:val="16"/>
          <w:b w:val="1"/>
          <w:bCs w:val="1"/>
          <w:color w:val="auto"/>
        </w:rPr>
        <w:t>Q:</w:t>
        <w:tab/>
        <w:t>What if I have trouble accessing the Annual Meeting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-701675</wp:posOffset>
            </wp:positionV>
            <wp:extent cx="7176135" cy="5524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45085</wp:posOffset>
            </wp:positionV>
            <wp:extent cx="3397250"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224" w:lineRule="exact"/>
        <w:rPr>
          <w:sz w:val="20"/>
          <w:szCs w:val="20"/>
          <w:color w:val="auto"/>
        </w:rPr>
      </w:pPr>
    </w:p>
    <w:p>
      <w:pPr>
        <w:ind w:left="327" w:hanging="327"/>
        <w:spacing w:after="0" w:line="246" w:lineRule="auto"/>
        <w:tabs>
          <w:tab w:leader="none" w:pos="327"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The virtual meeting platform is fully supported across browsers (MS Edge, Firefox, Chrome and Safari) and devices (desktops, laptops, tablets and cell phones) running the most up-to-date version of applicable software and plugins. Note: Internet Explorer is not a supported browser. Participants should ensure that they have a strong Wi-Fi connection wherever they intend to participate in the meeting. We encourage you to access the Annual Meeting prior to the start time. For further assistance should you need it you may call</w:t>
      </w:r>
    </w:p>
    <w:p>
      <w:pPr>
        <w:spacing w:after="0" w:line="5" w:lineRule="exact"/>
        <w:rPr>
          <w:rFonts w:ascii="Arial" w:cs="Arial" w:eastAsia="Arial" w:hAnsi="Arial"/>
          <w:sz w:val="16"/>
          <w:szCs w:val="16"/>
          <w:b w:val="1"/>
          <w:bCs w:val="1"/>
          <w:color w:val="auto"/>
        </w:rPr>
      </w:pPr>
    </w:p>
    <w:p>
      <w:pPr>
        <w:ind w:left="327" w:right="200"/>
        <w:spacing w:after="0" w:line="258" w:lineRule="auto"/>
        <w:rPr>
          <w:rFonts w:ascii="Arial" w:cs="Arial" w:eastAsia="Arial" w:hAnsi="Arial"/>
          <w:sz w:val="16"/>
          <w:szCs w:val="16"/>
          <w:b w:val="1"/>
          <w:bCs w:val="1"/>
          <w:color w:val="auto"/>
        </w:rPr>
      </w:pPr>
      <w:r>
        <w:rPr>
          <w:rFonts w:ascii="Arial" w:cs="Arial" w:eastAsia="Arial" w:hAnsi="Arial"/>
          <w:sz w:val="16"/>
          <w:szCs w:val="16"/>
          <w:color w:val="auto"/>
        </w:rPr>
        <w:t>1-888-724-2416, Monday through Friday between the hours of 7:30 a.m. and 8 p.m.</w:t>
      </w:r>
    </w:p>
    <w:p>
      <w:pPr>
        <w:spacing w:after="0" w:line="204" w:lineRule="exact"/>
        <w:rPr>
          <w:sz w:val="20"/>
          <w:szCs w:val="20"/>
          <w:color w:val="auto"/>
        </w:rPr>
      </w:pPr>
    </w:p>
    <w:p>
      <w:pPr>
        <w:ind w:left="7"/>
        <w:spacing w:after="0"/>
        <w:tabs>
          <w:tab w:leader="none" w:pos="307" w:val="left"/>
        </w:tabs>
        <w:rPr>
          <w:sz w:val="20"/>
          <w:szCs w:val="20"/>
          <w:color w:val="auto"/>
        </w:rPr>
      </w:pPr>
      <w:r>
        <w:rPr>
          <w:rFonts w:ascii="Arial" w:cs="Arial" w:eastAsia="Arial" w:hAnsi="Arial"/>
          <w:sz w:val="16"/>
          <w:szCs w:val="16"/>
          <w:b w:val="1"/>
          <w:bCs w:val="1"/>
          <w:color w:val="auto"/>
        </w:rPr>
        <w:t>Q:</w:t>
        <w:tab/>
        <w:t>Where can I find the voting results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3397250"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237" w:lineRule="exact"/>
        <w:rPr>
          <w:sz w:val="20"/>
          <w:szCs w:val="20"/>
          <w:color w:val="auto"/>
        </w:rPr>
      </w:pPr>
    </w:p>
    <w:p>
      <w:pPr>
        <w:ind w:left="327" w:right="120" w:hanging="327"/>
        <w:spacing w:after="0" w:line="262" w:lineRule="auto"/>
        <w:tabs>
          <w:tab w:leader="none" w:pos="327" w:val="left"/>
        </w:tabs>
        <w:numPr>
          <w:ilvl w:val="0"/>
          <w:numId w:val="114"/>
        </w:numPr>
        <w:rPr>
          <w:rFonts w:ascii="Arial" w:cs="Arial" w:eastAsia="Arial" w:hAnsi="Arial"/>
          <w:sz w:val="16"/>
          <w:szCs w:val="16"/>
          <w:b w:val="1"/>
          <w:bCs w:val="1"/>
          <w:color w:val="auto"/>
        </w:rPr>
      </w:pPr>
      <w:r>
        <w:rPr>
          <w:rFonts w:ascii="Arial" w:cs="Arial" w:eastAsia="Arial" w:hAnsi="Arial"/>
          <w:sz w:val="16"/>
          <w:szCs w:val="16"/>
          <w:color w:val="auto"/>
        </w:rPr>
        <w:t>We expect to report results based on the report of the Independent Inspector of Elections on a Current Report on Form 8-K filed with the SEC within four business days following the Annual Meeting.</w:t>
      </w:r>
    </w:p>
    <w:p>
      <w:pPr>
        <w:spacing w:after="0" w:line="200" w:lineRule="exact"/>
        <w:rPr>
          <w:sz w:val="20"/>
          <w:szCs w:val="20"/>
          <w:color w:val="auto"/>
        </w:rPr>
      </w:pPr>
    </w:p>
    <w:p>
      <w:pPr>
        <w:ind w:left="327" w:right="120" w:hanging="327"/>
        <w:spacing w:after="0" w:line="292" w:lineRule="auto"/>
        <w:tabs>
          <w:tab w:leader="none" w:pos="327"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Do I have any dissenters’ or appraisal rights with respect to any of the matters to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339725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161" w:lineRule="exact"/>
        <w:rPr>
          <w:sz w:val="20"/>
          <w:szCs w:val="20"/>
          <w:color w:val="auto"/>
        </w:rPr>
      </w:pPr>
    </w:p>
    <w:p>
      <w:pPr>
        <w:ind w:left="327" w:right="60" w:hanging="327"/>
        <w:spacing w:after="0" w:line="262" w:lineRule="auto"/>
        <w:tabs>
          <w:tab w:leader="none" w:pos="327" w:val="left"/>
        </w:tabs>
        <w:numPr>
          <w:ilvl w:val="0"/>
          <w:numId w:val="116"/>
        </w:numPr>
        <w:rPr>
          <w:rFonts w:ascii="Arial" w:cs="Arial" w:eastAsia="Arial" w:hAnsi="Arial"/>
          <w:sz w:val="16"/>
          <w:szCs w:val="16"/>
          <w:b w:val="1"/>
          <w:bCs w:val="1"/>
          <w:color w:val="auto"/>
        </w:rPr>
      </w:pPr>
      <w:r>
        <w:rPr>
          <w:rFonts w:ascii="Arial" w:cs="Arial" w:eastAsia="Arial" w:hAnsi="Arial"/>
          <w:sz w:val="16"/>
          <w:szCs w:val="16"/>
          <w:color w:val="auto"/>
        </w:rPr>
        <w:t>No. Rhode Island law does not provide shareholders any dissenters’ or appraisal rights with respect to any of the matters to be voted on at the Annual Meeting.</w:t>
      </w:r>
    </w:p>
    <w:p>
      <w:pPr>
        <w:spacing w:after="0" w:line="200" w:lineRule="exact"/>
        <w:rPr>
          <w:sz w:val="20"/>
          <w:szCs w:val="20"/>
          <w:color w:val="auto"/>
        </w:rPr>
      </w:pPr>
    </w:p>
    <w:p>
      <w:pPr>
        <w:jc w:val="both"/>
        <w:ind w:left="327" w:right="440" w:hanging="327"/>
        <w:spacing w:after="0" w:line="268" w:lineRule="auto"/>
        <w:tabs>
          <w:tab w:leader="none" w:pos="327"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Who can I contact if I have questions or need assistance in voting my shares, or if I need additional copies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3397250"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166" w:lineRule="exact"/>
        <w:rPr>
          <w:sz w:val="20"/>
          <w:szCs w:val="20"/>
          <w:color w:val="auto"/>
        </w:rPr>
      </w:pPr>
    </w:p>
    <w:p>
      <w:pPr>
        <w:ind w:left="327" w:right="120" w:hanging="327"/>
        <w:spacing w:after="0" w:line="279" w:lineRule="auto"/>
        <w:tabs>
          <w:tab w:leader="none" w:pos="327"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Please contact Morrow Sodali, the firm assisting us in the solicitation of proxies, toll-free at (800) 662-5200.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314960</wp:posOffset>
            </wp:positionV>
            <wp:extent cx="6964045" cy="39052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2">
            <w:col w:w="5400" w:space="333"/>
            <w:col w:w="5307"/>
          </w:cols>
          <w:pgMar w:left="320" w:top="478" w:right="5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39941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6929755" cy="399415"/>
                    </a:xfrm>
                    <a:prstGeom prst="rect">
                      <a:avLst/>
                    </a:prstGeom>
                    <a:noFill/>
                  </pic:spPr>
                </pic:pic>
              </a:graphicData>
            </a:graphic>
          </wp:anchor>
        </w:drawing>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Deadlines for 2027 Shareholder Proposals</w:t>
      </w:r>
    </w:p>
    <w:p>
      <w:pPr>
        <w:spacing w:after="0" w:line="375"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b w:val="1"/>
          <w:bCs w:val="1"/>
          <w:i w:val="1"/>
          <w:iCs w:val="1"/>
          <w:color w:val="009BDE"/>
        </w:rPr>
        <w:t xml:space="preserve">To Be Considered at the Annual Meeting and Considered for Inclusion in the Proxy Materials. </w:t>
      </w:r>
      <w:r>
        <w:rPr>
          <w:rFonts w:ascii="Arial" w:cs="Arial" w:eastAsia="Arial" w:hAnsi="Arial"/>
          <w:sz w:val="16"/>
          <w:szCs w:val="16"/>
          <w:color w:val="000000"/>
        </w:rPr>
        <w:t>Any proposal which a shareholder of the Company</w:t>
      </w:r>
      <w:r>
        <w:rPr>
          <w:rFonts w:ascii="Arial" w:cs="Arial" w:eastAsia="Arial" w:hAnsi="Arial"/>
          <w:sz w:val="16"/>
          <w:szCs w:val="16"/>
          <w:b w:val="1"/>
          <w:bCs w:val="1"/>
          <w:i w:val="1"/>
          <w:iCs w:val="1"/>
          <w:color w:val="009BDE"/>
        </w:rPr>
        <w:t xml:space="preserve"> </w:t>
      </w:r>
      <w:r>
        <w:rPr>
          <w:rFonts w:ascii="Arial" w:cs="Arial" w:eastAsia="Arial" w:hAnsi="Arial"/>
          <w:sz w:val="16"/>
          <w:szCs w:val="16"/>
          <w:color w:val="000000"/>
        </w:rPr>
        <w:t>wishes to have considered for inclusion in the proxy statement and proxy relating to the Company’s 2027 Annual Meeting of Shareholders pursuant to Rule 14a-8 must be received by the Secretary of the Company at the Company’s executive offices no later than December 18, 2026 (the date that is 120 calendar days before the anniversary of the release date of the proxy statement relating to the 2027 Annual Meeting of Shareholders). The address of the Company’s executive offices for this purpose is 400 Summer Street, Boston, Massachusetts 02210. Such proposals should be sent to the attention of the Chief Legal Officer and Corporate Secretary and must also comply with the other requirements of the rules of the SEC relating to shareholder proposals.</w:t>
      </w:r>
    </w:p>
    <w:p>
      <w:pPr>
        <w:spacing w:after="0" w:line="116" w:lineRule="exact"/>
        <w:rPr>
          <w:sz w:val="20"/>
          <w:szCs w:val="20"/>
          <w:color w:val="auto"/>
        </w:rPr>
      </w:pPr>
    </w:p>
    <w:p>
      <w:pPr>
        <w:ind w:left="160"/>
        <w:spacing w:after="0" w:line="236" w:lineRule="auto"/>
        <w:rPr>
          <w:sz w:val="20"/>
          <w:szCs w:val="20"/>
          <w:color w:val="auto"/>
        </w:rPr>
      </w:pPr>
      <w:r>
        <w:rPr>
          <w:rFonts w:ascii="Arial" w:cs="Arial" w:eastAsia="Arial" w:hAnsi="Arial"/>
          <w:sz w:val="16"/>
          <w:szCs w:val="16"/>
          <w:b w:val="1"/>
          <w:bCs w:val="1"/>
          <w:i w:val="1"/>
          <w:iCs w:val="1"/>
          <w:color w:val="009BDE"/>
        </w:rPr>
        <w:t xml:space="preserve">To Be Considered at the Annual Meeting But Not Included in the Proxy Materials. </w:t>
      </w:r>
      <w:r>
        <w:rPr>
          <w:rFonts w:ascii="Arial" w:cs="Arial" w:eastAsia="Arial" w:hAnsi="Arial"/>
          <w:sz w:val="16"/>
          <w:szCs w:val="16"/>
          <w:color w:val="000000"/>
        </w:rPr>
        <w:t>With the exception of the submission of director nominations for</w:t>
      </w:r>
      <w:r>
        <w:rPr>
          <w:rFonts w:ascii="Arial" w:cs="Arial" w:eastAsia="Arial" w:hAnsi="Arial"/>
          <w:sz w:val="16"/>
          <w:szCs w:val="16"/>
          <w:b w:val="1"/>
          <w:bCs w:val="1"/>
          <w:i w:val="1"/>
          <w:iCs w:val="1"/>
          <w:color w:val="009BDE"/>
        </w:rPr>
        <w:t xml:space="preserve"> </w:t>
      </w:r>
      <w:r>
        <w:rPr>
          <w:rFonts w:ascii="Arial" w:cs="Arial" w:eastAsia="Arial" w:hAnsi="Arial"/>
          <w:sz w:val="16"/>
          <w:szCs w:val="16"/>
          <w:color w:val="000000"/>
        </w:rPr>
        <w:t>consideration by the Nominating, Governance and Social Responsibility Committee, which must be submitted to the Company in the manner described below, any new business proposed by any shareholder to be taken up at the 2027 Annual Meeting, but not included in the proxy statement or proxy relating to that meeting, must be stated in writing and filed with the Secretary of the Company not less than 90 days nor more than 120 days prior to the one-year anniversary date of the immediately preceding annual meeting of shareholders (provided that if the date of the annual meeting is advanced by more than 30 days prior to or delayed by more than 30 days before or after such anniversary date, notice by the shareholder must be delivered not earlier than 120 days prior to the annual meeting and not later than (i) the ninetieth (90</w:t>
      </w:r>
      <w:r>
        <w:rPr>
          <w:rFonts w:ascii="Arial" w:cs="Arial" w:eastAsia="Arial" w:hAnsi="Arial"/>
          <w:sz w:val="24"/>
          <w:szCs w:val="24"/>
          <w:color w:val="000000"/>
          <w:vertAlign w:val="superscript"/>
        </w:rPr>
        <w:t>th</w:t>
      </w:r>
      <w:r>
        <w:rPr>
          <w:rFonts w:ascii="Arial" w:cs="Arial" w:eastAsia="Arial" w:hAnsi="Arial"/>
          <w:sz w:val="16"/>
          <w:szCs w:val="16"/>
          <w:color w:val="000000"/>
        </w:rPr>
        <w:t>) day prior to the date of such annual meeting or (ii) the tenth (10</w:t>
      </w:r>
      <w:r>
        <w:rPr>
          <w:rFonts w:ascii="Arial" w:cs="Arial" w:eastAsia="Arial" w:hAnsi="Arial"/>
          <w:sz w:val="24"/>
          <w:szCs w:val="24"/>
          <w:color w:val="000000"/>
          <w:vertAlign w:val="superscript"/>
        </w:rPr>
        <w:t>th</w:t>
      </w:r>
      <w:r>
        <w:rPr>
          <w:rFonts w:ascii="Arial" w:cs="Arial" w:eastAsia="Arial" w:hAnsi="Arial"/>
          <w:sz w:val="16"/>
          <w:szCs w:val="16"/>
          <w:color w:val="000000"/>
        </w:rPr>
        <w:t>) day following the day on which the notice of the date of the annual meeting was mailed or public disclosure of the date of the annual meeting was made, whichever first occurs. To be in proper form the notice must provide specified information regarding the proposed nominee and each shareholder proposing such nomination, as set forth in the Company’s By-Laws. As such, shareholder proposals to be considered for the Company’s 2027 Annual Meeting of Shareholders must be submitted no earlier than February 11, 2027, and no later than March 13,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224790</wp:posOffset>
            </wp:positionV>
            <wp:extent cx="6929755" cy="39878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6929755" cy="39878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Deadlines for 2027 Director Nominations</w:t>
      </w:r>
    </w:p>
    <w:p>
      <w:pPr>
        <w:spacing w:after="0" w:line="388"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The Nominating, Governance and Social Responsibility Committee is responsible for identifying individuals qualified to be members of your Board of Directors and reviewing candidates recommended by our shareholders. In making its nominations for election to the Board, the Nominating, Governance and Social Responsibility Committee seeks candidates who meet the current challenges and needs of the Board and the Company. As part of this process the Nominating, Governance and Social Responsibility Committee considers a number of factors, including:</w:t>
      </w:r>
    </w:p>
    <w:p>
      <w:pPr>
        <w:spacing w:after="0" w:line="205" w:lineRule="exact"/>
        <w:rPr>
          <w:sz w:val="20"/>
          <w:szCs w:val="20"/>
          <w:color w:val="auto"/>
        </w:rPr>
      </w:pPr>
    </w:p>
    <w:p>
      <w:pPr>
        <w:ind w:left="160"/>
        <w:spacing w:after="0"/>
        <w:tabs>
          <w:tab w:leader="none" w:pos="3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 candidate’s:</w:t>
      </w:r>
    </w:p>
    <w:p>
      <w:pPr>
        <w:spacing w:after="0" w:line="124" w:lineRule="exact"/>
        <w:rPr>
          <w:sz w:val="20"/>
          <w:szCs w:val="20"/>
          <w:color w:val="auto"/>
        </w:rPr>
      </w:pPr>
    </w:p>
    <w:p>
      <w:pPr>
        <w:ind w:left="1020" w:hanging="425"/>
        <w:spacing w:after="0"/>
        <w:tabs>
          <w:tab w:leader="none" w:pos="102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employment and other experience and qualifications;</w:t>
      </w:r>
    </w:p>
    <w:p>
      <w:pPr>
        <w:spacing w:after="0" w:line="123" w:lineRule="exact"/>
        <w:rPr>
          <w:rFonts w:ascii="Arial" w:cs="Arial" w:eastAsia="Arial" w:hAnsi="Arial"/>
          <w:sz w:val="16"/>
          <w:szCs w:val="16"/>
          <w:color w:val="auto"/>
        </w:rPr>
      </w:pPr>
    </w:p>
    <w:p>
      <w:pPr>
        <w:ind w:left="1020" w:hanging="425"/>
        <w:spacing w:after="0"/>
        <w:tabs>
          <w:tab w:leader="none" w:pos="102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skills, expertise and involvement in areas that are of importance to the Company’s business;</w:t>
      </w:r>
    </w:p>
    <w:p>
      <w:pPr>
        <w:spacing w:after="0" w:line="123" w:lineRule="exact"/>
        <w:rPr>
          <w:rFonts w:ascii="Arial" w:cs="Arial" w:eastAsia="Arial" w:hAnsi="Arial"/>
          <w:sz w:val="16"/>
          <w:szCs w:val="16"/>
          <w:color w:val="auto"/>
        </w:rPr>
      </w:pPr>
    </w:p>
    <w:p>
      <w:pPr>
        <w:ind w:left="1020" w:hanging="425"/>
        <w:spacing w:after="0"/>
        <w:tabs>
          <w:tab w:leader="none" w:pos="102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business ethics and professional reputation;</w:t>
      </w:r>
    </w:p>
    <w:p>
      <w:pPr>
        <w:spacing w:after="0" w:line="123" w:lineRule="exact"/>
        <w:rPr>
          <w:rFonts w:ascii="Arial" w:cs="Arial" w:eastAsia="Arial" w:hAnsi="Arial"/>
          <w:sz w:val="16"/>
          <w:szCs w:val="16"/>
          <w:color w:val="auto"/>
        </w:rPr>
      </w:pPr>
    </w:p>
    <w:p>
      <w:pPr>
        <w:ind w:left="1020" w:hanging="425"/>
        <w:spacing w:after="0"/>
        <w:tabs>
          <w:tab w:leader="none" w:pos="102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other board service; and</w:t>
      </w:r>
    </w:p>
    <w:p>
      <w:pPr>
        <w:spacing w:after="0" w:line="123" w:lineRule="exact"/>
        <w:rPr>
          <w:rFonts w:ascii="Arial" w:cs="Arial" w:eastAsia="Arial" w:hAnsi="Arial"/>
          <w:sz w:val="16"/>
          <w:szCs w:val="16"/>
          <w:color w:val="auto"/>
        </w:rPr>
      </w:pPr>
    </w:p>
    <w:p>
      <w:pPr>
        <w:ind w:left="1020" w:hanging="425"/>
        <w:spacing w:after="0"/>
        <w:tabs>
          <w:tab w:leader="none" w:pos="102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business, financial and strategic judgment;</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Board’s and the Company’s needs at that time; and</w:t>
      </w:r>
    </w:p>
    <w:p>
      <w:pPr>
        <w:spacing w:after="0" w:line="123" w:lineRule="exact"/>
        <w:rPr>
          <w:rFonts w:ascii="Arial" w:cs="Arial" w:eastAsia="Arial" w:hAnsi="Arial"/>
          <w:sz w:val="16"/>
          <w:szCs w:val="16"/>
          <w:color w:val="auto"/>
        </w:rPr>
      </w:pPr>
    </w:p>
    <w:p>
      <w:pPr>
        <w:ind w:left="380" w:hanging="213"/>
        <w:spacing w:after="0"/>
        <w:tabs>
          <w:tab w:leader="none" w:pos="3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Company’s desire to have a well-balanced Board that represents a diverse mix of backgrounds, perspectives and expertise.</w:t>
      </w:r>
    </w:p>
    <w:p>
      <w:pPr>
        <w:spacing w:after="0" w:line="200" w:lineRule="exact"/>
        <w:rPr>
          <w:rFonts w:ascii="Arial" w:cs="Arial" w:eastAsia="Arial" w:hAnsi="Arial"/>
          <w:sz w:val="16"/>
          <w:szCs w:val="16"/>
          <w:color w:val="auto"/>
        </w:rPr>
      </w:pPr>
    </w:p>
    <w:p>
      <w:pPr>
        <w:spacing w:after="0" w:line="391" w:lineRule="exact"/>
        <w:rPr>
          <w:rFonts w:ascii="Arial" w:cs="Arial" w:eastAsia="Arial" w:hAnsi="Arial"/>
          <w:sz w:val="16"/>
          <w:szCs w:val="16"/>
          <w:color w:val="auto"/>
        </w:rPr>
      </w:pPr>
    </w:p>
    <w:p>
      <w:pPr>
        <w:ind w:left="300" w:hanging="80"/>
        <w:spacing w:after="0"/>
        <w:tabs>
          <w:tab w:leader="none" w:pos="300" w:val="left"/>
        </w:tabs>
        <w:numPr>
          <w:ilvl w:val="1"/>
          <w:numId w:val="119"/>
        </w:numPr>
        <w:rPr>
          <w:rFonts w:ascii="Arial" w:cs="Arial" w:eastAsia="Arial" w:hAnsi="Arial"/>
          <w:sz w:val="15"/>
          <w:szCs w:val="15"/>
          <w:b w:val="1"/>
          <w:bCs w:val="1"/>
          <w:color w:val="FCFCFC"/>
        </w:rPr>
      </w:pPr>
      <w:r>
        <w:rPr>
          <w:rFonts w:ascii="Arial" w:cs="Arial" w:eastAsia="Arial" w:hAnsi="Arial"/>
          <w:sz w:val="15"/>
          <w:szCs w:val="15"/>
          <w:b w:val="1"/>
          <w:bCs w:val="1"/>
          <w:color w:val="FCFCFC"/>
        </w:rPr>
        <w:t>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-227330</wp:posOffset>
            </wp:positionV>
            <wp:extent cx="6964045" cy="39052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1">
            <w:col w:w="11060"/>
          </w:cols>
          <w:pgMar w:left="320" w:top="478" w:right="5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The Nominating, Governance and Social Responsibility Committee will consider and evaluate nominees recommended by shareholders for election to the Board on the same basis as candidates from other sources if such nominations are made in accordance with the processes set forth below. The Nominating, Governance and Social Responsibility Committee uses multiple sources for identifying and evaluating nominees for director, including referrals from current directors, recommendations by shareholders and input from third-party executive search firms.</w:t>
      </w:r>
    </w:p>
    <w:p>
      <w:pPr>
        <w:spacing w:after="0" w:line="98" w:lineRule="exact"/>
        <w:rPr>
          <w:sz w:val="20"/>
          <w:szCs w:val="20"/>
          <w:color w:val="auto"/>
        </w:rPr>
      </w:pPr>
    </w:p>
    <w:p>
      <w:pPr>
        <w:ind w:left="160" w:right="140"/>
        <w:spacing w:after="0" w:line="249" w:lineRule="auto"/>
        <w:rPr>
          <w:sz w:val="20"/>
          <w:szCs w:val="20"/>
          <w:color w:val="auto"/>
        </w:rPr>
      </w:pPr>
      <w:r>
        <w:rPr>
          <w:rFonts w:ascii="Arial" w:cs="Arial" w:eastAsia="Arial" w:hAnsi="Arial"/>
          <w:sz w:val="16"/>
          <w:szCs w:val="16"/>
          <w:b w:val="1"/>
          <w:bCs w:val="1"/>
          <w:i w:val="1"/>
          <w:iCs w:val="1"/>
          <w:color w:val="009BDE"/>
        </w:rPr>
        <w:t xml:space="preserve">Director Nominations to be made at the Annual Meeting. </w:t>
      </w:r>
      <w:r>
        <w:rPr>
          <w:rFonts w:ascii="Arial" w:cs="Arial" w:eastAsia="Arial" w:hAnsi="Arial"/>
          <w:sz w:val="16"/>
          <w:szCs w:val="16"/>
          <w:color w:val="000000"/>
        </w:rPr>
        <w:t>The Company’s By-Laws provide that shareholders may themselves nominate directors for</w:t>
      </w:r>
      <w:r>
        <w:rPr>
          <w:rFonts w:ascii="Arial" w:cs="Arial" w:eastAsia="Arial" w:hAnsi="Arial"/>
          <w:sz w:val="16"/>
          <w:szCs w:val="16"/>
          <w:b w:val="1"/>
          <w:bCs w:val="1"/>
          <w:i w:val="1"/>
          <w:iCs w:val="1"/>
          <w:color w:val="009BDE"/>
        </w:rPr>
        <w:t xml:space="preserve"> </w:t>
      </w:r>
      <w:r>
        <w:rPr>
          <w:rFonts w:ascii="Arial" w:cs="Arial" w:eastAsia="Arial" w:hAnsi="Arial"/>
          <w:sz w:val="16"/>
          <w:szCs w:val="16"/>
          <w:color w:val="000000"/>
        </w:rPr>
        <w:t>consideration at an annual meeting provided they give timely written notice to the Secretary of the Company. Notice must be received at the principal executive office of the Company not less than 90 days nor more than 120 days prior to the one-year anniversary date of the immediately preceding annual meeting of shareholders (provided that if the date of the annual meeting is advanced by more than 30 days prior to or delayed by more than</w:t>
      </w:r>
    </w:p>
    <w:p>
      <w:pPr>
        <w:spacing w:after="0" w:line="1" w:lineRule="exact"/>
        <w:rPr>
          <w:sz w:val="20"/>
          <w:szCs w:val="20"/>
          <w:color w:val="auto"/>
        </w:rPr>
      </w:pPr>
    </w:p>
    <w:p>
      <w:pPr>
        <w:ind w:left="160" w:right="60"/>
        <w:spacing w:after="0" w:line="231" w:lineRule="auto"/>
        <w:rPr>
          <w:sz w:val="20"/>
          <w:szCs w:val="20"/>
          <w:color w:val="auto"/>
        </w:rPr>
      </w:pPr>
      <w:r>
        <w:rPr>
          <w:rFonts w:ascii="Arial" w:cs="Arial" w:eastAsia="Arial" w:hAnsi="Arial"/>
          <w:sz w:val="16"/>
          <w:szCs w:val="16"/>
          <w:color w:val="auto"/>
        </w:rPr>
        <w:t>30 days before or after such anniversary date, notice by the shareholder must be delivered not earlier than 120 days prior to the annual meeting and not later than (i) the ninetieth (90</w:t>
      </w:r>
      <w:r>
        <w:rPr>
          <w:rFonts w:ascii="Arial" w:cs="Arial" w:eastAsia="Arial" w:hAnsi="Arial"/>
          <w:sz w:val="24"/>
          <w:szCs w:val="24"/>
          <w:color w:val="auto"/>
          <w:vertAlign w:val="superscript"/>
        </w:rPr>
        <w:t>th</w:t>
      </w:r>
      <w:r>
        <w:rPr>
          <w:rFonts w:ascii="Arial" w:cs="Arial" w:eastAsia="Arial" w:hAnsi="Arial"/>
          <w:sz w:val="16"/>
          <w:szCs w:val="16"/>
          <w:color w:val="auto"/>
        </w:rPr>
        <w:t>) day prior to the date of such annual meeting or (ii) the tenth (10</w:t>
      </w:r>
      <w:r>
        <w:rPr>
          <w:rFonts w:ascii="Arial" w:cs="Arial" w:eastAsia="Arial" w:hAnsi="Arial"/>
          <w:sz w:val="24"/>
          <w:szCs w:val="24"/>
          <w:color w:val="auto"/>
          <w:vertAlign w:val="superscript"/>
        </w:rPr>
        <w:t>th</w:t>
      </w:r>
      <w:r>
        <w:rPr>
          <w:rFonts w:ascii="Arial" w:cs="Arial" w:eastAsia="Arial" w:hAnsi="Arial"/>
          <w:sz w:val="16"/>
          <w:szCs w:val="16"/>
          <w:color w:val="auto"/>
        </w:rPr>
        <w:t>) day following the day on which the notice of the date of the annual meeting was mailed or public disclosure of the date of the annual meeting was made, whichever first occurs). To be in proper form the notice must provide specified information regarding the proposed nominee and each shareholder proposing such nomination, as set forth in the Company’s By-Laws. As such, director nominations to be considered for the Company’s 2027 Annual Meeting of Shareholders must be submitted no earlier than February 11, 2027, and no later than March 13, 2027. Nominations made by shareholders in this manner are eligible to be presented by the shareholder to the meeting, but such nominees will not have been considered by the Nominating, Governance and Social Responsibility Committee as a nominee to be potentially supported by the Company and will not have been included in the Company’s proxy materials.</w:t>
      </w:r>
    </w:p>
    <w:p>
      <w:pPr>
        <w:spacing w:after="0" w:line="124" w:lineRule="exact"/>
        <w:rPr>
          <w:sz w:val="20"/>
          <w:szCs w:val="20"/>
          <w:color w:val="auto"/>
        </w:rPr>
      </w:pPr>
    </w:p>
    <w:p>
      <w:pPr>
        <w:jc w:val="both"/>
        <w:ind w:left="160" w:right="180"/>
        <w:spacing w:after="0" w:line="262" w:lineRule="auto"/>
        <w:rPr>
          <w:sz w:val="20"/>
          <w:szCs w:val="20"/>
          <w:color w:val="auto"/>
        </w:rPr>
      </w:pPr>
      <w:r>
        <w:rPr>
          <w:rFonts w:ascii="Arial" w:cs="Arial" w:eastAsia="Arial" w:hAnsi="Arial"/>
          <w:sz w:val="16"/>
          <w:szCs w:val="16"/>
          <w:color w:val="auto"/>
        </w:rPr>
        <w:t>In addition to satisfying the foregoing requirements under Hasbro’s By-laws, to comply with the universal proxy rules, shareholders who intend to solicit proxies in support of director nominees other than the Company’s nominees must provide notice that sets forth the information required by Rule 14a-19 under the Exchange Act.</w:t>
      </w:r>
    </w:p>
    <w:p>
      <w:pPr>
        <w:spacing w:after="0" w:line="106"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b w:val="1"/>
          <w:bCs w:val="1"/>
          <w:i w:val="1"/>
          <w:iCs w:val="1"/>
          <w:color w:val="009BDE"/>
        </w:rPr>
        <w:t xml:space="preserve">Director Nominations to be Considered by the Company’s Nominating, Governance and Social Responsibility Committee. </w:t>
      </w:r>
      <w:r>
        <w:rPr>
          <w:rFonts w:ascii="Arial" w:cs="Arial" w:eastAsia="Arial" w:hAnsi="Arial"/>
          <w:sz w:val="16"/>
          <w:szCs w:val="16"/>
          <w:color w:val="000000"/>
        </w:rPr>
        <w:t>To be considered by</w:t>
      </w:r>
      <w:r>
        <w:rPr>
          <w:rFonts w:ascii="Arial" w:cs="Arial" w:eastAsia="Arial" w:hAnsi="Arial"/>
          <w:sz w:val="16"/>
          <w:szCs w:val="16"/>
          <w:b w:val="1"/>
          <w:bCs w:val="1"/>
          <w:i w:val="1"/>
          <w:iCs w:val="1"/>
          <w:color w:val="009BDE"/>
        </w:rPr>
        <w:t xml:space="preserve"> </w:t>
      </w:r>
      <w:r>
        <w:rPr>
          <w:rFonts w:ascii="Arial" w:cs="Arial" w:eastAsia="Arial" w:hAnsi="Arial"/>
          <w:sz w:val="16"/>
          <w:szCs w:val="16"/>
          <w:color w:val="000000"/>
        </w:rPr>
        <w:t>the Nominating, Governance and Social Responsibility Committee, director nominations must be submitted to the Chief Legal Officer and Corporate Secretary of the Company at the Company’s executive offices, 400 Summer Street, Boston, Massachusetts 02210 not less than ninety (90) days nor more than one hundred twenty (120) days prior to the one-year anniversary of the preceding year’s annual meeting. As such, director nominations to be considered for the Company’s 2027 Annual Meeting of Shareholders must be submitted no earlier than February 11, 2027 and no later than March 13, 2027. The Nominating, Governance and Social Responsibility Committee is only required to consider recommendations made by shareholders, or groups of shareholders, that have beneficially owned at least 1% of the Company’s Common Stock for at least one year prior to the date the shareholder(s) submit such candidate to the Nominating, Governance and Social Responsibility Committee and who undertake to continue to hold at least 1% of the Company’s Common Stock through the date of the next annual meeting. In addition, a nominating shareholder(s) may only submit one candidate to the Nominating, Governance and Social Responsibility Committee for consideration.</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Submissions to the Nominating, Governance and Social Responsibility Committee should include:</w:t>
      </w:r>
    </w:p>
    <w:p>
      <w:pPr>
        <w:spacing w:after="0" w:line="217" w:lineRule="exact"/>
        <w:rPr>
          <w:sz w:val="20"/>
          <w:szCs w:val="20"/>
          <w:color w:val="auto"/>
        </w:rPr>
      </w:pPr>
    </w:p>
    <w:p>
      <w:pPr>
        <w:ind w:left="380" w:hanging="213"/>
        <w:spacing w:after="0"/>
        <w:tabs>
          <w:tab w:leader="none" w:pos="3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as to each person whom the shareholder proposes to nominate for election or re-election as a director:</w:t>
      </w:r>
    </w:p>
    <w:p>
      <w:pPr>
        <w:spacing w:after="0" w:line="123" w:lineRule="exact"/>
        <w:rPr>
          <w:rFonts w:ascii="Arial" w:cs="Arial" w:eastAsia="Arial" w:hAnsi="Arial"/>
          <w:sz w:val="16"/>
          <w:szCs w:val="16"/>
          <w:color w:val="auto"/>
        </w:rPr>
      </w:pPr>
    </w:p>
    <w:p>
      <w:pPr>
        <w:ind w:left="1020" w:hanging="425"/>
        <w:spacing w:after="0"/>
        <w:tabs>
          <w:tab w:leader="none" w:pos="1020" w:val="left"/>
        </w:tabs>
        <w:numPr>
          <w:ilvl w:val="2"/>
          <w:numId w:val="120"/>
        </w:numPr>
        <w:rPr>
          <w:rFonts w:ascii="Arial" w:cs="Arial" w:eastAsia="Arial" w:hAnsi="Arial"/>
          <w:sz w:val="11"/>
          <w:szCs w:val="11"/>
          <w:color w:val="auto"/>
        </w:rPr>
      </w:pPr>
      <w:r>
        <w:rPr>
          <w:rFonts w:ascii="Arial" w:cs="Arial" w:eastAsia="Arial" w:hAnsi="Arial"/>
          <w:sz w:val="16"/>
          <w:szCs w:val="16"/>
          <w:color w:val="auto"/>
        </w:rPr>
        <w:t>the name, age, business address and residence address of the person;</w:t>
      </w:r>
    </w:p>
    <w:p>
      <w:pPr>
        <w:spacing w:after="0" w:line="123" w:lineRule="exact"/>
        <w:rPr>
          <w:rFonts w:ascii="Arial" w:cs="Arial" w:eastAsia="Arial" w:hAnsi="Arial"/>
          <w:sz w:val="11"/>
          <w:szCs w:val="11"/>
          <w:color w:val="auto"/>
        </w:rPr>
      </w:pPr>
    </w:p>
    <w:p>
      <w:pPr>
        <w:ind w:left="1020" w:hanging="425"/>
        <w:spacing w:after="0"/>
        <w:tabs>
          <w:tab w:leader="none" w:pos="1020" w:val="left"/>
        </w:tabs>
        <w:numPr>
          <w:ilvl w:val="2"/>
          <w:numId w:val="120"/>
        </w:numPr>
        <w:rPr>
          <w:rFonts w:ascii="Arial" w:cs="Arial" w:eastAsia="Arial" w:hAnsi="Arial"/>
          <w:sz w:val="11"/>
          <w:szCs w:val="11"/>
          <w:color w:val="auto"/>
        </w:rPr>
      </w:pPr>
      <w:r>
        <w:rPr>
          <w:rFonts w:ascii="Arial" w:cs="Arial" w:eastAsia="Arial" w:hAnsi="Arial"/>
          <w:sz w:val="16"/>
          <w:szCs w:val="16"/>
          <w:color w:val="auto"/>
        </w:rPr>
        <w:t>the principal occupation or employment of the person;</w:t>
      </w:r>
    </w:p>
    <w:p>
      <w:pPr>
        <w:spacing w:after="0" w:line="123" w:lineRule="exact"/>
        <w:rPr>
          <w:rFonts w:ascii="Arial" w:cs="Arial" w:eastAsia="Arial" w:hAnsi="Arial"/>
          <w:sz w:val="11"/>
          <w:szCs w:val="11"/>
          <w:color w:val="auto"/>
        </w:rPr>
      </w:pPr>
    </w:p>
    <w:p>
      <w:pPr>
        <w:ind w:left="1020" w:hanging="425"/>
        <w:spacing w:after="0"/>
        <w:tabs>
          <w:tab w:leader="none" w:pos="1020" w:val="left"/>
        </w:tabs>
        <w:numPr>
          <w:ilvl w:val="2"/>
          <w:numId w:val="120"/>
        </w:numPr>
        <w:rPr>
          <w:rFonts w:ascii="Arial" w:cs="Arial" w:eastAsia="Arial" w:hAnsi="Arial"/>
          <w:sz w:val="11"/>
          <w:szCs w:val="11"/>
          <w:color w:val="auto"/>
        </w:rPr>
      </w:pPr>
      <w:r>
        <w:rPr>
          <w:rFonts w:ascii="Arial" w:cs="Arial" w:eastAsia="Arial" w:hAnsi="Arial"/>
          <w:sz w:val="16"/>
          <w:szCs w:val="16"/>
          <w:color w:val="auto"/>
        </w:rPr>
        <w:t>the class or series and number of shares of capital stock of the Company that are owned beneficially or of record by the person;</w:t>
      </w:r>
    </w:p>
    <w:p>
      <w:pPr>
        <w:spacing w:after="0" w:line="123" w:lineRule="exact"/>
        <w:rPr>
          <w:rFonts w:ascii="Arial" w:cs="Arial" w:eastAsia="Arial" w:hAnsi="Arial"/>
          <w:sz w:val="11"/>
          <w:szCs w:val="11"/>
          <w:color w:val="auto"/>
        </w:rPr>
      </w:pPr>
    </w:p>
    <w:p>
      <w:pPr>
        <w:ind w:left="1020" w:right="40" w:hanging="425"/>
        <w:spacing w:after="0" w:line="262" w:lineRule="auto"/>
        <w:tabs>
          <w:tab w:leader="none" w:pos="1020" w:val="left"/>
        </w:tabs>
        <w:numPr>
          <w:ilvl w:val="2"/>
          <w:numId w:val="120"/>
        </w:numPr>
        <w:rPr>
          <w:rFonts w:ascii="Arial" w:cs="Arial" w:eastAsia="Arial" w:hAnsi="Arial"/>
          <w:sz w:val="11"/>
          <w:szCs w:val="11"/>
          <w:color w:val="auto"/>
        </w:rPr>
      </w:pPr>
      <w:r>
        <w:rPr>
          <w:rFonts w:ascii="Arial" w:cs="Arial" w:eastAsia="Arial" w:hAnsi="Arial"/>
          <w:sz w:val="16"/>
          <w:szCs w:val="16"/>
          <w:color w:val="auto"/>
        </w:rPr>
        <w:t>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w:t>
      </w:r>
    </w:p>
    <w:p>
      <w:pPr>
        <w:spacing w:after="0" w:line="79" w:lineRule="exact"/>
        <w:rPr>
          <w:rFonts w:ascii="Arial" w:cs="Arial" w:eastAsia="Arial" w:hAnsi="Arial"/>
          <w:sz w:val="11"/>
          <w:szCs w:val="11"/>
          <w:color w:val="auto"/>
        </w:rPr>
      </w:pPr>
    </w:p>
    <w:p>
      <w:pPr>
        <w:ind w:left="1020" w:right="260" w:hanging="425"/>
        <w:spacing w:after="0" w:line="279" w:lineRule="auto"/>
        <w:tabs>
          <w:tab w:leader="none" w:pos="1020" w:val="left"/>
        </w:tabs>
        <w:numPr>
          <w:ilvl w:val="2"/>
          <w:numId w:val="120"/>
        </w:numPr>
        <w:rPr>
          <w:rFonts w:ascii="Arial" w:cs="Arial" w:eastAsia="Arial" w:hAnsi="Arial"/>
          <w:sz w:val="11"/>
          <w:szCs w:val="11"/>
          <w:color w:val="auto"/>
        </w:rPr>
      </w:pPr>
      <w:r>
        <w:rPr>
          <w:rFonts w:ascii="Arial" w:cs="Arial" w:eastAsia="Arial" w:hAnsi="Arial"/>
          <w:sz w:val="16"/>
          <w:szCs w:val="16"/>
          <w:color w:val="auto"/>
        </w:rPr>
        <w:t>confirmation that the candidate is independent under the Company’s Independence Standards and Nasdaq rules, or if the candidate is not independent under all such criteria, a description of the reasons why the candidate is not independent.</w:t>
      </w:r>
    </w:p>
    <w:p>
      <w:pPr>
        <w:spacing w:after="0" w:line="200" w:lineRule="exact"/>
        <w:rPr>
          <w:rFonts w:ascii="Arial" w:cs="Arial" w:eastAsia="Arial" w:hAnsi="Arial"/>
          <w:sz w:val="11"/>
          <w:szCs w:val="11"/>
          <w:color w:val="auto"/>
        </w:rPr>
      </w:pPr>
    </w:p>
    <w:p>
      <w:pPr>
        <w:spacing w:after="0" w:line="348" w:lineRule="exact"/>
        <w:rPr>
          <w:rFonts w:ascii="Arial" w:cs="Arial" w:eastAsia="Arial" w:hAnsi="Arial"/>
          <w:sz w:val="11"/>
          <w:szCs w:val="11"/>
          <w:color w:val="auto"/>
        </w:rPr>
      </w:pPr>
    </w:p>
    <w:p>
      <w:pPr>
        <w:ind w:left="300" w:hanging="80"/>
        <w:spacing w:after="0"/>
        <w:tabs>
          <w:tab w:leader="none" w:pos="300" w:val="left"/>
        </w:tabs>
        <w:numPr>
          <w:ilvl w:val="1"/>
          <w:numId w:val="120"/>
        </w:numPr>
        <w:rPr>
          <w:rFonts w:ascii="Arial" w:cs="Arial" w:eastAsia="Arial" w:hAnsi="Arial"/>
          <w:sz w:val="15"/>
          <w:szCs w:val="15"/>
          <w:b w:val="1"/>
          <w:bCs w:val="1"/>
          <w:color w:val="FCFCFC"/>
        </w:rPr>
      </w:pPr>
      <w:r>
        <w:rPr>
          <w:rFonts w:ascii="Arial" w:cs="Arial" w:eastAsia="Arial" w:hAnsi="Arial"/>
          <w:sz w:val="15"/>
          <w:szCs w:val="15"/>
          <w:b w:val="1"/>
          <w:bCs w:val="1"/>
          <w:color w:val="FCFCFC"/>
        </w:rPr>
        <w: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6964045" cy="39052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ectPr>
          <w:pgSz w:w="11900" w:h="16838" w:orient="portrait"/>
          <w:cols w:equalWidth="0" w:num="1">
            <w:col w:w="11060"/>
          </w:cols>
          <w:pgMar w:left="320" w:top="478" w:right="5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380" w:hanging="213"/>
        <w:spacing w:after="0"/>
        <w:tabs>
          <w:tab w:leader="none" w:pos="3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as to the shareholder(s) giving the notice:</w:t>
      </w:r>
    </w:p>
    <w:p>
      <w:pPr>
        <w:spacing w:after="0" w:line="123" w:lineRule="exact"/>
        <w:rPr>
          <w:rFonts w:ascii="Arial" w:cs="Arial" w:eastAsia="Arial" w:hAnsi="Arial"/>
          <w:sz w:val="16"/>
          <w:szCs w:val="16"/>
          <w:color w:val="auto"/>
        </w:rPr>
      </w:pPr>
    </w:p>
    <w:p>
      <w:pPr>
        <w:ind w:left="1020" w:hanging="425"/>
        <w:spacing w:after="0"/>
        <w:tabs>
          <w:tab w:leader="none" w:pos="1020" w:val="left"/>
        </w:tabs>
        <w:numPr>
          <w:ilvl w:val="1"/>
          <w:numId w:val="121"/>
        </w:numPr>
        <w:rPr>
          <w:rFonts w:ascii="Arial" w:cs="Arial" w:eastAsia="Arial" w:hAnsi="Arial"/>
          <w:sz w:val="11"/>
          <w:szCs w:val="11"/>
          <w:color w:val="auto"/>
        </w:rPr>
      </w:pPr>
      <w:r>
        <w:rPr>
          <w:rFonts w:ascii="Arial" w:cs="Arial" w:eastAsia="Arial" w:hAnsi="Arial"/>
          <w:sz w:val="16"/>
          <w:szCs w:val="16"/>
          <w:color w:val="auto"/>
        </w:rPr>
        <w:t>the name and record address of such shareholder(s) and each participant in any group of which such shareholder is a member;</w:t>
      </w:r>
    </w:p>
    <w:p>
      <w:pPr>
        <w:spacing w:after="0" w:line="123" w:lineRule="exact"/>
        <w:rPr>
          <w:rFonts w:ascii="Arial" w:cs="Arial" w:eastAsia="Arial" w:hAnsi="Arial"/>
          <w:sz w:val="11"/>
          <w:szCs w:val="11"/>
          <w:color w:val="auto"/>
        </w:rPr>
      </w:pPr>
    </w:p>
    <w:p>
      <w:pPr>
        <w:ind w:left="1020" w:right="60" w:hanging="425"/>
        <w:spacing w:after="0" w:line="279" w:lineRule="auto"/>
        <w:tabs>
          <w:tab w:leader="none" w:pos="1020" w:val="left"/>
        </w:tabs>
        <w:numPr>
          <w:ilvl w:val="1"/>
          <w:numId w:val="121"/>
        </w:numPr>
        <w:rPr>
          <w:rFonts w:ascii="Arial" w:cs="Arial" w:eastAsia="Arial" w:hAnsi="Arial"/>
          <w:sz w:val="11"/>
          <w:szCs w:val="11"/>
          <w:color w:val="auto"/>
        </w:rPr>
      </w:pPr>
      <w:r>
        <w:rPr>
          <w:rFonts w:ascii="Arial" w:cs="Arial" w:eastAsia="Arial" w:hAnsi="Arial"/>
          <w:sz w:val="16"/>
          <w:szCs w:val="16"/>
          <w:color w:val="auto"/>
        </w:rPr>
        <w:t>the class or series and number of shares of capital stock of the Company that are owned beneficially or of record by such shareholder(s) and each participant in any group of which such shareholder is a member;</w:t>
      </w:r>
    </w:p>
    <w:p>
      <w:pPr>
        <w:spacing w:after="0" w:line="67" w:lineRule="exact"/>
        <w:rPr>
          <w:rFonts w:ascii="Arial" w:cs="Arial" w:eastAsia="Arial" w:hAnsi="Arial"/>
          <w:sz w:val="11"/>
          <w:szCs w:val="11"/>
          <w:color w:val="auto"/>
        </w:rPr>
      </w:pPr>
    </w:p>
    <w:p>
      <w:pPr>
        <w:ind w:left="1020" w:right="60" w:hanging="425"/>
        <w:spacing w:after="0" w:line="279" w:lineRule="auto"/>
        <w:tabs>
          <w:tab w:leader="none" w:pos="1020" w:val="left"/>
        </w:tabs>
        <w:numPr>
          <w:ilvl w:val="1"/>
          <w:numId w:val="121"/>
        </w:numPr>
        <w:rPr>
          <w:rFonts w:ascii="Arial" w:cs="Arial" w:eastAsia="Arial" w:hAnsi="Arial"/>
          <w:sz w:val="11"/>
          <w:szCs w:val="11"/>
          <w:color w:val="auto"/>
        </w:rPr>
      </w:pPr>
      <w:r>
        <w:rPr>
          <w:rFonts w:ascii="Arial" w:cs="Arial" w:eastAsia="Arial" w:hAnsi="Arial"/>
          <w:sz w:val="16"/>
          <w:szCs w:val="16"/>
          <w:color w:val="auto"/>
        </w:rPr>
        <w:t>if the nominating shareholder is not a record holder of the shares of capital stock of the Company, evidence of ownership as provided in Rule 14a-8(b)(2) under the Exchange Act;</w:t>
      </w:r>
    </w:p>
    <w:p>
      <w:pPr>
        <w:spacing w:after="0" w:line="67" w:lineRule="exact"/>
        <w:rPr>
          <w:rFonts w:ascii="Arial" w:cs="Arial" w:eastAsia="Arial" w:hAnsi="Arial"/>
          <w:sz w:val="11"/>
          <w:szCs w:val="11"/>
          <w:color w:val="auto"/>
        </w:rPr>
      </w:pPr>
    </w:p>
    <w:p>
      <w:pPr>
        <w:ind w:left="1020" w:right="440" w:hanging="425"/>
        <w:spacing w:after="0" w:line="279" w:lineRule="auto"/>
        <w:tabs>
          <w:tab w:leader="none" w:pos="1020" w:val="left"/>
        </w:tabs>
        <w:numPr>
          <w:ilvl w:val="1"/>
          <w:numId w:val="121"/>
        </w:numPr>
        <w:rPr>
          <w:rFonts w:ascii="Arial" w:cs="Arial" w:eastAsia="Arial" w:hAnsi="Arial"/>
          <w:sz w:val="11"/>
          <w:szCs w:val="11"/>
          <w:color w:val="auto"/>
        </w:rPr>
      </w:pPr>
      <w:r>
        <w:rPr>
          <w:rFonts w:ascii="Arial" w:cs="Arial" w:eastAsia="Arial" w:hAnsi="Arial"/>
          <w:sz w:val="16"/>
          <w:szCs w:val="16"/>
          <w:color w:val="auto"/>
        </w:rPr>
        <w:t>a description of all arrangements or understandings between such shareholder(s) and each proposed nominee and any other person or persons (including their names) pursuant to which the nomination(s) are to be made by such shareholder(s); and</w:t>
      </w:r>
    </w:p>
    <w:p>
      <w:pPr>
        <w:spacing w:after="0" w:line="67" w:lineRule="exact"/>
        <w:rPr>
          <w:rFonts w:ascii="Arial" w:cs="Arial" w:eastAsia="Arial" w:hAnsi="Arial"/>
          <w:sz w:val="11"/>
          <w:szCs w:val="11"/>
          <w:color w:val="auto"/>
        </w:rPr>
      </w:pPr>
    </w:p>
    <w:p>
      <w:pPr>
        <w:ind w:left="1020" w:hanging="425"/>
        <w:spacing w:after="0" w:line="262" w:lineRule="auto"/>
        <w:tabs>
          <w:tab w:leader="none" w:pos="1020" w:val="left"/>
        </w:tabs>
        <w:numPr>
          <w:ilvl w:val="1"/>
          <w:numId w:val="121"/>
        </w:numPr>
        <w:rPr>
          <w:rFonts w:ascii="Arial" w:cs="Arial" w:eastAsia="Arial" w:hAnsi="Arial"/>
          <w:sz w:val="11"/>
          <w:szCs w:val="11"/>
          <w:color w:val="auto"/>
        </w:rPr>
      </w:pPr>
      <w:r>
        <w:rPr>
          <w:rFonts w:ascii="Arial" w:cs="Arial" w:eastAsia="Arial" w:hAnsi="Arial"/>
          <w:sz w:val="16"/>
          <w:szCs w:val="16"/>
          <w:color w:val="auto"/>
        </w:rPr>
        <w:t>any other information relating to such shareholder(s)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spacing w:after="0" w:line="93" w:lineRule="exact"/>
        <w:rPr>
          <w:sz w:val="20"/>
          <w:szCs w:val="20"/>
          <w:color w:val="auto"/>
        </w:rPr>
      </w:pPr>
    </w:p>
    <w:p>
      <w:pPr>
        <w:ind w:left="160" w:right="140"/>
        <w:spacing w:after="0" w:line="247" w:lineRule="auto"/>
        <w:rPr>
          <w:sz w:val="20"/>
          <w:szCs w:val="20"/>
          <w:color w:val="auto"/>
        </w:rPr>
      </w:pPr>
      <w:r>
        <w:rPr>
          <w:rFonts w:ascii="Arial" w:cs="Arial" w:eastAsia="Arial" w:hAnsi="Arial"/>
          <w:sz w:val="16"/>
          <w:szCs w:val="16"/>
          <w:color w:val="auto"/>
        </w:rPr>
        <w:t>The Nominating, Governance and Social Responsibility Committee may require that any proposed nominee for election to the Board furnish such other information as may reasonably be required by the Nominating, Governance and Social Responsibility Committee and the Company’s By-Laws to determine the eligibility of such proposed nominee to serve as director of the Company. The written notice from the nominating shareholder specifying a candidate to be considered as a nominee for election as a director must be accompanied by a written consent of each proposed nominee for director. In this written consent the nominee must consent to (i) being named as a nominee for director, (ii) serve as a director and represent all shareholders of the Company in accordance with applicable laws and the Company’s Articles of Incorporation, By-Laws and other policies if such nominee is elected,</w:t>
      </w:r>
    </w:p>
    <w:p>
      <w:pPr>
        <w:spacing w:after="0" w:line="3" w:lineRule="exact"/>
        <w:rPr>
          <w:sz w:val="20"/>
          <w:szCs w:val="20"/>
          <w:color w:val="auto"/>
        </w:rPr>
      </w:pPr>
    </w:p>
    <w:p>
      <w:pPr>
        <w:ind w:left="160" w:right="120" w:firstLine="7"/>
        <w:spacing w:after="0" w:line="258" w:lineRule="auto"/>
        <w:tabs>
          <w:tab w:leader="none" w:pos="41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comply with all rules, policies or requirements generally applicable to non-employee directors of the Company, and (iv) complete and sign customary information requests upon the request of the Company.</w:t>
      </w:r>
    </w:p>
    <w:p>
      <w:pPr>
        <w:spacing w:after="0" w:line="110"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b w:val="1"/>
          <w:bCs w:val="1"/>
          <w:i w:val="1"/>
          <w:iCs w:val="1"/>
          <w:color w:val="009BDE"/>
        </w:rPr>
        <w:t xml:space="preserve">Director Nominations Under Proxy Access Bylaw. </w:t>
      </w:r>
      <w:r>
        <w:rPr>
          <w:rFonts w:ascii="Arial" w:cs="Arial" w:eastAsia="Arial" w:hAnsi="Arial"/>
          <w:sz w:val="16"/>
          <w:szCs w:val="16"/>
          <w:color w:val="000000"/>
        </w:rPr>
        <w:t>Under our proxy access bylaw, under certain circumstances, a shareholder or group of</w:t>
      </w:r>
      <w:r>
        <w:rPr>
          <w:rFonts w:ascii="Arial" w:cs="Arial" w:eastAsia="Arial" w:hAnsi="Arial"/>
          <w:sz w:val="16"/>
          <w:szCs w:val="16"/>
          <w:b w:val="1"/>
          <w:bCs w:val="1"/>
          <w:i w:val="1"/>
          <w:iCs w:val="1"/>
          <w:color w:val="009BDE"/>
        </w:rPr>
        <w:t xml:space="preserve"> </w:t>
      </w:r>
      <w:r>
        <w:rPr>
          <w:rFonts w:ascii="Arial" w:cs="Arial" w:eastAsia="Arial" w:hAnsi="Arial"/>
          <w:sz w:val="16"/>
          <w:szCs w:val="16"/>
          <w:color w:val="000000"/>
        </w:rPr>
        <w:t>shareholders may include director candidates that they have nominated in the Company’s proxy statement. Shareholders are referred to the By-Laws for the full details related to this procedure.</w:t>
      </w:r>
    </w:p>
    <w:p>
      <w:pPr>
        <w:spacing w:after="0" w:line="173" w:lineRule="exact"/>
        <w:rPr>
          <w:sz w:val="20"/>
          <w:szCs w:val="20"/>
          <w:color w:val="auto"/>
        </w:rPr>
      </w:pPr>
    </w:p>
    <w:p>
      <w:pPr>
        <w:ind w:left="160" w:right="60"/>
        <w:spacing w:after="0" w:line="251" w:lineRule="auto"/>
        <w:rPr>
          <w:sz w:val="20"/>
          <w:szCs w:val="20"/>
          <w:color w:val="auto"/>
        </w:rPr>
      </w:pPr>
      <w:r>
        <w:rPr>
          <w:rFonts w:ascii="Arial" w:cs="Arial" w:eastAsia="Arial" w:hAnsi="Arial"/>
          <w:sz w:val="16"/>
          <w:szCs w:val="16"/>
          <w:color w:val="auto"/>
        </w:rPr>
        <w:t>The proxy access By-Law allows a shareholder or a group of up to twenty (20) shareholders, who has maintained continuous ownership of at least 3% of the voting power of the Company’s outstanding voting stock for at least 3 years, to include nominees for election to the Board of Directors in the Company’s proxy statement. Subject to compliance with the requirements of the proxy access By-Law provisions, the shareholder or group of shareholders may include director nominees for up to the greater of (i) 20% of the Board, rounded down to the nearest whole number, or (ii) 2 nominees. The nominating shareholder or group of shareholders must timely deliver notice to the Secretary of the shareholder nominee together with the other information required by our By-Laws, and each nominee must meet the qualifications required by our By-Laws.</w:t>
      </w:r>
    </w:p>
    <w:p>
      <w:pPr>
        <w:spacing w:after="0" w:line="116" w:lineRule="exact"/>
        <w:rPr>
          <w:sz w:val="20"/>
          <w:szCs w:val="20"/>
          <w:color w:val="auto"/>
        </w:rPr>
      </w:pPr>
    </w:p>
    <w:p>
      <w:pPr>
        <w:ind w:left="160" w:right="80"/>
        <w:spacing w:after="0" w:line="249" w:lineRule="auto"/>
        <w:rPr>
          <w:sz w:val="20"/>
          <w:szCs w:val="20"/>
          <w:color w:val="auto"/>
        </w:rPr>
      </w:pPr>
      <w:r>
        <w:rPr>
          <w:rFonts w:ascii="Arial" w:cs="Arial" w:eastAsia="Arial" w:hAnsi="Arial"/>
          <w:sz w:val="16"/>
          <w:szCs w:val="16"/>
          <w:color w:val="auto"/>
        </w:rPr>
        <w:t>To be timely, the notice to include shareholder-nominated candidates in the Company’s proxy materials to the Secretary must be delivered to or mailed and received at the principal executive offices of the Company not less than ninety (90) days nor more than one hundred and twenty (120) days prior to the one-year anniversary date of the immediately preceding annual meeting of shareholders (provided that if the date of the annual meeting is advanced more than thirty (30) days prior to or delayed by more than thirty (30) days after such anniversary date, notice by the shareholder to be timely must be so delivered not earlier than the one hundred twentieth (120th) day prior to such annual meeting and not later than the later of (x) the ninetieth (90th) day prior to the date of such annual meeting or (y) the tenth (10th) day following the day on which notice of the date of the annual meeting was mailed or public disclosure of the date of the annual meeting was made, whichever first occurs). As such, requests to include shareholder-nominated candidates in our proxy materials for the 2027 Annual Meeting must be received by our Secretary no earlier than February 11, 2027 and no later than March 13,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236855</wp:posOffset>
            </wp:positionV>
            <wp:extent cx="6964045" cy="39052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  76</w:t>
      </w:r>
    </w:p>
    <w:p>
      <w:pPr>
        <w:sectPr>
          <w:pgSz w:w="11900" w:h="16838" w:orient="portrait"/>
          <w:cols w:equalWidth="0" w:num="1">
            <w:col w:w="11060"/>
          </w:cols>
          <w:pgMar w:left="320" w:top="478" w:right="5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39941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6929755" cy="399415"/>
                    </a:xfrm>
                    <a:prstGeom prst="rect">
                      <a:avLst/>
                    </a:prstGeom>
                    <a:noFill/>
                  </pic:spPr>
                </pic:pic>
              </a:graphicData>
            </a:graphic>
          </wp:anchor>
        </w:drawing>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Other Business</w:t>
      </w:r>
    </w:p>
    <w:p>
      <w:pPr>
        <w:spacing w:after="0" w:line="375"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auto"/>
        </w:rPr>
        <w:t>Management knows of no other matters that may be presented to the Annual Meeting. However, if any other matter properly comes before the Annual Meeting, or any adjournment or postponement thereof, it is intended that proxies in the accompanying form will be voted in accordance with the judgment of the persons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212090</wp:posOffset>
            </wp:positionV>
            <wp:extent cx="6929755" cy="39941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6929755" cy="399415"/>
                    </a:xfrm>
                    <a:prstGeom prst="rect">
                      <a:avLst/>
                    </a:prstGeom>
                    <a:noFill/>
                  </pic:spPr>
                </pic:pic>
              </a:graphicData>
            </a:graphic>
          </wp:anchor>
        </w:drawing>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Important Notice Regarding Delivery of Shareholder Documents</w:t>
      </w:r>
    </w:p>
    <w:p>
      <w:pPr>
        <w:spacing w:after="0" w:line="388"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auto"/>
        </w:rPr>
        <w:t>In accordance with a notice sent to certain street name shareholders of our Common Stock who share a single address, only one copy of the Notice of Internet Availability of Proxy Materials or proxy materials for the year ended December 28, 2025 is being sent to that address unless we received contrary instructions from any shareholder at that address. This practice, known as “householding,” is designed to reduce our printing and postage costs and environmental footprint. However, if any shareholder residing at such an address wishes to receive a separate copy of the Notice of Internet Availability of the Proxy Materials, the Proxy Statement or our Annual Report on Form 10-K for the year ended December 28, 2025, he or she may contact Investor Relations, Hasbro, Inc., 1027 Newport Avenue, Pawtucket, Rhode Island 02861, and we will deliver those documents to such shareholder promptly upon receiving the request. Any such shareholder may also contact our Investor Relations Department using the above contact information if he or she would like to receive separate Notices of the Internet Availability of Proxy Materials or proxy statements and annual reports in the future. If you are receiving multiple copies of our Notice of Internet Availability of the Proxy Materials, annual report or proxy statement at the same address, and would like to only receive one copy, you may request householding in the future by contacting the Investor Relations Department using the above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219710</wp:posOffset>
            </wp:positionV>
            <wp:extent cx="6929755" cy="39941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6929755" cy="39941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Shareholder Communications</w:t>
      </w:r>
    </w:p>
    <w:p>
      <w:pPr>
        <w:spacing w:after="0" w:line="388" w:lineRule="exact"/>
        <w:rPr>
          <w:sz w:val="20"/>
          <w:szCs w:val="20"/>
          <w:color w:val="auto"/>
        </w:rPr>
      </w:pPr>
    </w:p>
    <w:p>
      <w:pPr>
        <w:jc w:val="both"/>
        <w:ind w:left="160" w:right="40"/>
        <w:spacing w:after="0" w:line="256" w:lineRule="auto"/>
        <w:rPr>
          <w:sz w:val="20"/>
          <w:szCs w:val="20"/>
          <w:color w:val="auto"/>
        </w:rPr>
      </w:pPr>
      <w:r>
        <w:rPr>
          <w:rFonts w:ascii="Arial" w:cs="Arial" w:eastAsia="Arial" w:hAnsi="Arial"/>
          <w:sz w:val="16"/>
          <w:szCs w:val="16"/>
          <w:color w:val="auto"/>
        </w:rPr>
        <w:t>We always welcome constructive engagement and feedback from our shareholders. Shareholders or interested parties desiring to communicate directly with the Board, a Board committee or any such other individual director or directors may do so confidentially by sending correspondence, c/o Chair of the Board, Hasbro, Inc., P.O. Box 497, Pawtucket, Rhode Island 02862. All such communications will be reviewed and forwarded to the designated recipient or recipients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215265</wp:posOffset>
            </wp:positionV>
            <wp:extent cx="6929755" cy="39878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6929755" cy="398780"/>
                    </a:xfrm>
                    <a:prstGeom prst="rect">
                      <a:avLst/>
                    </a:prstGeom>
                    <a:noFill/>
                  </pic:spPr>
                </pic:pic>
              </a:graphicData>
            </a:graphic>
          </wp:anchor>
        </w:drawing>
      </w:r>
    </w:p>
    <w:p>
      <w:pPr>
        <w:spacing w:after="0" w:line="394"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Cost and Manner of Solicitation</w:t>
      </w:r>
    </w:p>
    <w:p>
      <w:pPr>
        <w:spacing w:after="0" w:line="375"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The cost of soliciting proxies in the accompanying form has been or will be borne by the Company. In addition to solicitation by mail, arrangements will be made with brokerage houses and other custodians, nominees and fiduciaries to send proxies and proxy material to their principals and the Company will reimburse them for any reasonable expenses incurred in connection therewith. The Company has also retained Morrow Sodali LLC, 333 Ludlow Street, 5th Floor, Stamford CT 06902 to aid in the solicitation of proxies at an estimated cost of $12,500 plus reimbursement of reasonable out-of-pocket expenses. In addition to use of mail, proxies may be solicited by officers and employees of the Company or of Morrow Sodali LLC in person or by telephone.</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976630" cy="33972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976630" cy="33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Tarrant Sibley</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Vice President, Chief Legal Officer &amp; Corporate Secretary</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Dated: April 17, 2026</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Pawtucket, Rhode Island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247015</wp:posOffset>
            </wp:positionV>
            <wp:extent cx="6964045" cy="39052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CFCFC"/>
        </w:rPr>
        <w:t>    77</w:t>
      </w:r>
    </w:p>
    <w:p>
      <w:pPr>
        <w:sectPr>
          <w:pgSz w:w="11900" w:h="16838" w:orient="portrait"/>
          <w:cols w:equalWidth="0" w:num="1">
            <w:col w:w="11040"/>
          </w:cols>
          <w:pgMar w:left="320" w:top="478" w:right="5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Appendix A — GAAP to Non-GAAP Reconciliation</w:t>
      </w:r>
    </w:p>
    <w:p>
      <w:pPr>
        <w:spacing w:after="0" w:line="235" w:lineRule="exact"/>
        <w:rPr>
          <w:sz w:val="20"/>
          <w:szCs w:val="20"/>
          <w:color w:val="auto"/>
        </w:rPr>
      </w:pPr>
    </w:p>
    <w:p>
      <w:pPr>
        <w:ind w:left="160" w:right="380"/>
        <w:spacing w:after="0" w:line="262" w:lineRule="auto"/>
        <w:rPr>
          <w:sz w:val="20"/>
          <w:szCs w:val="20"/>
          <w:color w:val="auto"/>
        </w:rPr>
      </w:pPr>
      <w:r>
        <w:rPr>
          <w:rFonts w:ascii="Arial" w:cs="Arial" w:eastAsia="Arial" w:hAnsi="Arial"/>
          <w:sz w:val="16"/>
          <w:szCs w:val="16"/>
          <w:color w:val="auto"/>
        </w:rPr>
        <w:t>The Company has used non-GAAP financial measures as defined under SEC rules, specifically adjusted operating profit, adjusted operating margin, adjusted net earnings, and adjusted net earnings per diluted share. We caution investors that our definition and use of these non-GAAP financial measures may not be the same as similar measures used by other companies.</w:t>
      </w:r>
    </w:p>
    <w:p>
      <w:pPr>
        <w:spacing w:after="0" w:line="66"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As required by SEC rules, the Company has provided reconciliations of these measures to the most directly comparable GAAP measure. Management believes that adjusted net earnings, adjusted net earnings per diluted share, adjusted operating profit and adjusted operating profit margin provides investors with an understanding of the underlying performance of our business absent unusual events. These non-GAAP measures should be considered in addition to, not as a substitute for, or superior to, net earnings or other measures of financial performance prepared in accordance with GAAP as more fully discussed in our consolidated financial statements and filings with the SEC. As used herein, “GAAP” refers to accounting principles generally accepted in the United States of America.</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Reconciliation of as Reported to Adjusted Operating Results</w:t>
      </w:r>
      <w:r>
        <w:rPr>
          <w:rFonts w:ascii="Arial" w:cs="Arial" w:eastAsia="Arial" w:hAnsi="Arial"/>
          <w:sz w:val="48"/>
          <w:szCs w:val="48"/>
          <w:color w:val="0060ED"/>
          <w:vertAlign w:val="superscript"/>
        </w:rPr>
        <w:t>(1)</w:t>
      </w:r>
    </w:p>
    <w:p>
      <w:pPr>
        <w:ind w:left="160"/>
        <w:spacing w:after="0"/>
        <w:rPr>
          <w:sz w:val="20"/>
          <w:szCs w:val="20"/>
          <w:color w:val="auto"/>
        </w:rPr>
      </w:pPr>
      <w:r>
        <w:rPr>
          <w:rFonts w:ascii="Arial" w:cs="Arial" w:eastAsia="Arial" w:hAnsi="Arial"/>
          <w:sz w:val="16"/>
          <w:szCs w:val="16"/>
          <w:b w:val="1"/>
          <w:bCs w:val="1"/>
          <w:color w:val="auto"/>
        </w:rPr>
        <w:t>(Unaudited)</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(Millions of Dollars)</w:t>
      </w:r>
    </w:p>
    <w:p>
      <w:pPr>
        <w:spacing w:after="0" w:line="362"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2780" w:type="dxa"/>
            <w:vAlign w:val="bottom"/>
            <w:shd w:val="clear" w:color="auto" w:fill="CCEBF8"/>
          </w:tcPr>
          <w:p>
            <w:pPr>
              <w:spacing w:after="0"/>
              <w:rPr>
                <w:sz w:val="23"/>
                <w:szCs w:val="23"/>
                <w:color w:val="auto"/>
              </w:rPr>
            </w:pPr>
          </w:p>
        </w:tc>
        <w:tc>
          <w:tcPr>
            <w:tcW w:w="480" w:type="dxa"/>
            <w:vAlign w:val="bottom"/>
            <w:shd w:val="clear" w:color="auto" w:fill="CCEBF8"/>
          </w:tcPr>
          <w:p>
            <w:pPr>
              <w:spacing w:after="0"/>
              <w:rPr>
                <w:sz w:val="23"/>
                <w:szCs w:val="23"/>
                <w:color w:val="auto"/>
              </w:rPr>
            </w:pPr>
          </w:p>
        </w:tc>
        <w:tc>
          <w:tcPr>
            <w:tcW w:w="2380" w:type="dxa"/>
            <w:vAlign w:val="bottom"/>
            <w:gridSpan w:val="3"/>
            <w:shd w:val="clear" w:color="auto" w:fill="CCEBF8"/>
          </w:tcPr>
          <w:p>
            <w:pPr>
              <w:jc w:val="right"/>
              <w:ind w:right="560"/>
              <w:spacing w:after="0"/>
              <w:rPr>
                <w:sz w:val="20"/>
                <w:szCs w:val="20"/>
                <w:color w:val="auto"/>
              </w:rPr>
            </w:pPr>
            <w:r>
              <w:rPr>
                <w:rFonts w:ascii="Arial" w:cs="Arial" w:eastAsia="Arial" w:hAnsi="Arial"/>
                <w:sz w:val="16"/>
                <w:szCs w:val="16"/>
                <w:b w:val="1"/>
                <w:bCs w:val="1"/>
                <w:color w:val="009BDE"/>
              </w:rPr>
              <w:t>December 28, 2025</w:t>
            </w:r>
          </w:p>
        </w:tc>
        <w:tc>
          <w:tcPr>
            <w:tcW w:w="360" w:type="dxa"/>
            <w:vAlign w:val="bottom"/>
            <w:shd w:val="clear" w:color="auto" w:fill="CCEBF8"/>
          </w:tcPr>
          <w:p>
            <w:pPr>
              <w:spacing w:after="0"/>
              <w:rPr>
                <w:sz w:val="23"/>
                <w:szCs w:val="23"/>
                <w:color w:val="auto"/>
              </w:rPr>
            </w:pPr>
          </w:p>
        </w:tc>
        <w:tc>
          <w:tcPr>
            <w:tcW w:w="2380" w:type="dxa"/>
            <w:vAlign w:val="bottom"/>
            <w:gridSpan w:val="3"/>
            <w:shd w:val="clear" w:color="auto" w:fill="CCEBF8"/>
          </w:tcPr>
          <w:p>
            <w:pPr>
              <w:jc w:val="right"/>
              <w:ind w:right="560"/>
              <w:spacing w:after="0"/>
              <w:rPr>
                <w:sz w:val="20"/>
                <w:szCs w:val="20"/>
                <w:color w:val="auto"/>
              </w:rPr>
            </w:pPr>
            <w:r>
              <w:rPr>
                <w:rFonts w:ascii="Arial" w:cs="Arial" w:eastAsia="Arial" w:hAnsi="Arial"/>
                <w:sz w:val="16"/>
                <w:szCs w:val="16"/>
                <w:b w:val="1"/>
                <w:bCs w:val="1"/>
                <w:color w:val="009BDE"/>
              </w:rPr>
              <w:t>December 29, 2024</w:t>
            </w:r>
          </w:p>
        </w:tc>
        <w:tc>
          <w:tcPr>
            <w:tcW w:w="340" w:type="dxa"/>
            <w:vAlign w:val="bottom"/>
            <w:shd w:val="clear" w:color="auto" w:fill="CCEBF8"/>
          </w:tcPr>
          <w:p>
            <w:pPr>
              <w:spacing w:after="0"/>
              <w:rPr>
                <w:sz w:val="23"/>
                <w:szCs w:val="23"/>
                <w:color w:val="auto"/>
              </w:rPr>
            </w:pPr>
          </w:p>
        </w:tc>
        <w:tc>
          <w:tcPr>
            <w:tcW w:w="2200" w:type="dxa"/>
            <w:vAlign w:val="bottom"/>
            <w:gridSpan w:val="3"/>
            <w:shd w:val="clear" w:color="auto" w:fill="CCEBF8"/>
          </w:tcPr>
          <w:p>
            <w:pPr>
              <w:jc w:val="right"/>
              <w:ind w:right="440"/>
              <w:spacing w:after="0"/>
              <w:rPr>
                <w:sz w:val="20"/>
                <w:szCs w:val="20"/>
                <w:color w:val="auto"/>
              </w:rPr>
            </w:pPr>
            <w:r>
              <w:rPr>
                <w:rFonts w:ascii="Arial" w:cs="Arial" w:eastAsia="Arial" w:hAnsi="Arial"/>
                <w:sz w:val="16"/>
                <w:szCs w:val="16"/>
                <w:b w:val="1"/>
                <w:bCs w:val="1"/>
                <w:color w:val="009BDE"/>
              </w:rPr>
              <w:t>December 31, 2023</w:t>
            </w:r>
          </w:p>
        </w:tc>
      </w:tr>
      <w:tr>
        <w:trPr>
          <w:trHeight w:val="247"/>
        </w:trPr>
        <w:tc>
          <w:tcPr>
            <w:tcW w:w="2780" w:type="dxa"/>
            <w:vAlign w:val="bottom"/>
            <w:shd w:val="clear" w:color="auto" w:fill="CCEBF8"/>
          </w:tcPr>
          <w:p>
            <w:pPr>
              <w:spacing w:after="0"/>
              <w:rPr>
                <w:sz w:val="21"/>
                <w:szCs w:val="21"/>
                <w:color w:val="auto"/>
              </w:rPr>
            </w:pPr>
          </w:p>
        </w:tc>
        <w:tc>
          <w:tcPr>
            <w:tcW w:w="480" w:type="dxa"/>
            <w:vAlign w:val="bottom"/>
            <w:shd w:val="clear" w:color="auto" w:fill="CCEBF8"/>
          </w:tcPr>
          <w:p>
            <w:pPr>
              <w:spacing w:after="0"/>
              <w:rPr>
                <w:sz w:val="21"/>
                <w:szCs w:val="21"/>
                <w:color w:val="auto"/>
              </w:rPr>
            </w:pPr>
          </w:p>
        </w:tc>
        <w:tc>
          <w:tcPr>
            <w:tcW w:w="1020" w:type="dxa"/>
            <w:vAlign w:val="bottom"/>
            <w:shd w:val="clear" w:color="auto" w:fill="CCEBF8"/>
          </w:tcPr>
          <w:p>
            <w:pPr>
              <w:jc w:val="right"/>
              <w:ind w:right="320"/>
              <w:spacing w:after="0"/>
              <w:rPr>
                <w:sz w:val="20"/>
                <w:szCs w:val="20"/>
                <w:color w:val="auto"/>
              </w:rPr>
            </w:pPr>
            <w:r>
              <w:rPr>
                <w:rFonts w:ascii="Arial" w:cs="Arial" w:eastAsia="Arial" w:hAnsi="Arial"/>
                <w:sz w:val="16"/>
                <w:szCs w:val="16"/>
                <w:b w:val="1"/>
                <w:bCs w:val="1"/>
                <w:color w:val="009BDE"/>
              </w:rPr>
              <w:t>Pre-tax</w:t>
            </w:r>
          </w:p>
        </w:tc>
        <w:tc>
          <w:tcPr>
            <w:tcW w:w="340" w:type="dxa"/>
            <w:vAlign w:val="bottom"/>
            <w:shd w:val="clear" w:color="auto" w:fill="CCEBF8"/>
          </w:tcPr>
          <w:p>
            <w:pPr>
              <w:spacing w:after="0"/>
              <w:rPr>
                <w:sz w:val="21"/>
                <w:szCs w:val="21"/>
                <w:color w:val="auto"/>
              </w:rPr>
            </w:pPr>
          </w:p>
        </w:tc>
        <w:tc>
          <w:tcPr>
            <w:tcW w:w="1020" w:type="dxa"/>
            <w:vAlign w:val="bottom"/>
            <w:shd w:val="clear" w:color="auto" w:fill="CCEBF8"/>
          </w:tcPr>
          <w:p>
            <w:pPr>
              <w:jc w:val="right"/>
              <w:ind w:right="280"/>
              <w:spacing w:after="0"/>
              <w:rPr>
                <w:sz w:val="20"/>
                <w:szCs w:val="20"/>
                <w:color w:val="auto"/>
              </w:rPr>
            </w:pPr>
            <w:r>
              <w:rPr>
                <w:rFonts w:ascii="Arial" w:cs="Arial" w:eastAsia="Arial" w:hAnsi="Arial"/>
                <w:sz w:val="16"/>
                <w:szCs w:val="16"/>
                <w:b w:val="1"/>
                <w:bCs w:val="1"/>
                <w:color w:val="009BDE"/>
              </w:rPr>
              <w:t>Post-tax</w:t>
            </w:r>
          </w:p>
        </w:tc>
        <w:tc>
          <w:tcPr>
            <w:tcW w:w="360" w:type="dxa"/>
            <w:vAlign w:val="bottom"/>
            <w:shd w:val="clear" w:color="auto" w:fill="CCEBF8"/>
          </w:tcPr>
          <w:p>
            <w:pPr>
              <w:spacing w:after="0"/>
              <w:rPr>
                <w:sz w:val="21"/>
                <w:szCs w:val="21"/>
                <w:color w:val="auto"/>
              </w:rPr>
            </w:pPr>
          </w:p>
        </w:tc>
        <w:tc>
          <w:tcPr>
            <w:tcW w:w="1000" w:type="dxa"/>
            <w:vAlign w:val="bottom"/>
            <w:shd w:val="clear" w:color="auto" w:fill="CCEBF8"/>
          </w:tcPr>
          <w:p>
            <w:pPr>
              <w:jc w:val="right"/>
              <w:ind w:right="320"/>
              <w:spacing w:after="0"/>
              <w:rPr>
                <w:sz w:val="20"/>
                <w:szCs w:val="20"/>
                <w:color w:val="auto"/>
              </w:rPr>
            </w:pPr>
            <w:r>
              <w:rPr>
                <w:rFonts w:ascii="Arial" w:cs="Arial" w:eastAsia="Arial" w:hAnsi="Arial"/>
                <w:sz w:val="16"/>
                <w:szCs w:val="16"/>
                <w:b w:val="1"/>
                <w:bCs w:val="1"/>
                <w:color w:val="009BDE"/>
              </w:rPr>
              <w:t>Pre-tax</w:t>
            </w:r>
          </w:p>
        </w:tc>
        <w:tc>
          <w:tcPr>
            <w:tcW w:w="340" w:type="dxa"/>
            <w:vAlign w:val="bottom"/>
            <w:shd w:val="clear" w:color="auto" w:fill="CCEBF8"/>
          </w:tcPr>
          <w:p>
            <w:pPr>
              <w:spacing w:after="0"/>
              <w:rPr>
                <w:sz w:val="21"/>
                <w:szCs w:val="21"/>
                <w:color w:val="auto"/>
              </w:rPr>
            </w:pPr>
          </w:p>
        </w:tc>
        <w:tc>
          <w:tcPr>
            <w:tcW w:w="1040" w:type="dxa"/>
            <w:vAlign w:val="bottom"/>
            <w:shd w:val="clear" w:color="auto" w:fill="CCEBF8"/>
          </w:tcPr>
          <w:p>
            <w:pPr>
              <w:jc w:val="right"/>
              <w:ind w:right="300"/>
              <w:spacing w:after="0"/>
              <w:rPr>
                <w:sz w:val="20"/>
                <w:szCs w:val="20"/>
                <w:color w:val="auto"/>
              </w:rPr>
            </w:pPr>
            <w:r>
              <w:rPr>
                <w:rFonts w:ascii="Arial" w:cs="Arial" w:eastAsia="Arial" w:hAnsi="Arial"/>
                <w:sz w:val="16"/>
                <w:szCs w:val="16"/>
                <w:b w:val="1"/>
                <w:bCs w:val="1"/>
                <w:color w:val="009BDE"/>
              </w:rPr>
              <w:t>Post-tax</w:t>
            </w:r>
          </w:p>
        </w:tc>
        <w:tc>
          <w:tcPr>
            <w:tcW w:w="340" w:type="dxa"/>
            <w:vAlign w:val="bottom"/>
            <w:shd w:val="clear" w:color="auto" w:fill="CCEBF8"/>
          </w:tcPr>
          <w:p>
            <w:pPr>
              <w:spacing w:after="0"/>
              <w:rPr>
                <w:sz w:val="21"/>
                <w:szCs w:val="21"/>
                <w:color w:val="auto"/>
              </w:rPr>
            </w:pPr>
          </w:p>
        </w:tc>
        <w:tc>
          <w:tcPr>
            <w:tcW w:w="960" w:type="dxa"/>
            <w:vAlign w:val="bottom"/>
            <w:shd w:val="clear" w:color="auto" w:fill="CCEBF8"/>
          </w:tcPr>
          <w:p>
            <w:pPr>
              <w:jc w:val="right"/>
              <w:ind w:right="280"/>
              <w:spacing w:after="0"/>
              <w:rPr>
                <w:sz w:val="20"/>
                <w:szCs w:val="20"/>
                <w:color w:val="auto"/>
              </w:rPr>
            </w:pPr>
            <w:r>
              <w:rPr>
                <w:rFonts w:ascii="Arial" w:cs="Arial" w:eastAsia="Arial" w:hAnsi="Arial"/>
                <w:sz w:val="16"/>
                <w:szCs w:val="16"/>
                <w:b w:val="1"/>
                <w:bCs w:val="1"/>
                <w:color w:val="009BDE"/>
              </w:rPr>
              <w:t>Pre-tax</w:t>
            </w:r>
          </w:p>
        </w:tc>
        <w:tc>
          <w:tcPr>
            <w:tcW w:w="260" w:type="dxa"/>
            <w:vAlign w:val="bottom"/>
            <w:shd w:val="clear" w:color="auto" w:fill="CCEBF8"/>
          </w:tcPr>
          <w:p>
            <w:pPr>
              <w:spacing w:after="0"/>
              <w:rPr>
                <w:sz w:val="21"/>
                <w:szCs w:val="21"/>
                <w:color w:val="auto"/>
              </w:rPr>
            </w:pPr>
          </w:p>
        </w:tc>
        <w:tc>
          <w:tcPr>
            <w:tcW w:w="980" w:type="dxa"/>
            <w:vAlign w:val="bottom"/>
            <w:shd w:val="clear" w:color="auto" w:fill="CCEBF8"/>
          </w:tcPr>
          <w:p>
            <w:pPr>
              <w:jc w:val="right"/>
              <w:ind w:right="240"/>
              <w:spacing w:after="0"/>
              <w:rPr>
                <w:sz w:val="20"/>
                <w:szCs w:val="20"/>
                <w:color w:val="auto"/>
              </w:rPr>
            </w:pPr>
            <w:r>
              <w:rPr>
                <w:rFonts w:ascii="Arial" w:cs="Arial" w:eastAsia="Arial" w:hAnsi="Arial"/>
                <w:sz w:val="16"/>
                <w:szCs w:val="16"/>
                <w:b w:val="1"/>
                <w:bCs w:val="1"/>
                <w:color w:val="009BDE"/>
              </w:rPr>
              <w:t>Post-tax</w:t>
            </w:r>
          </w:p>
        </w:tc>
      </w:tr>
      <w:tr>
        <w:trPr>
          <w:trHeight w:val="221"/>
        </w:trPr>
        <w:tc>
          <w:tcPr>
            <w:tcW w:w="2780" w:type="dxa"/>
            <w:vAlign w:val="bottom"/>
            <w:shd w:val="clear" w:color="auto" w:fill="CCEBF8"/>
          </w:tcPr>
          <w:p>
            <w:pPr>
              <w:spacing w:after="0"/>
              <w:rPr>
                <w:sz w:val="19"/>
                <w:szCs w:val="19"/>
                <w:color w:val="auto"/>
              </w:rPr>
            </w:pPr>
          </w:p>
        </w:tc>
        <w:tc>
          <w:tcPr>
            <w:tcW w:w="1500" w:type="dxa"/>
            <w:vAlign w:val="bottom"/>
            <w:gridSpan w:val="2"/>
            <w:shd w:val="clear" w:color="auto" w:fill="CCEBF8"/>
          </w:tcPr>
          <w:p>
            <w:pPr>
              <w:ind w:left="340"/>
              <w:spacing w:after="0"/>
              <w:rPr>
                <w:sz w:val="20"/>
                <w:szCs w:val="20"/>
                <w:color w:val="auto"/>
              </w:rPr>
            </w:pPr>
            <w:r>
              <w:rPr>
                <w:rFonts w:ascii="Arial" w:cs="Arial" w:eastAsia="Arial" w:hAnsi="Arial"/>
                <w:sz w:val="16"/>
                <w:szCs w:val="16"/>
                <w:b w:val="1"/>
                <w:bCs w:val="1"/>
                <w:color w:val="009BDE"/>
              </w:rPr>
              <w:t>adjustments</w:t>
            </w:r>
          </w:p>
        </w:tc>
        <w:tc>
          <w:tcPr>
            <w:tcW w:w="1360" w:type="dxa"/>
            <w:vAlign w:val="bottom"/>
            <w:gridSpan w:val="2"/>
            <w:shd w:val="clear" w:color="auto" w:fill="CCEBF8"/>
          </w:tcPr>
          <w:p>
            <w:pPr>
              <w:ind w:left="200"/>
              <w:spacing w:after="0"/>
              <w:rPr>
                <w:sz w:val="20"/>
                <w:szCs w:val="20"/>
                <w:color w:val="auto"/>
              </w:rPr>
            </w:pPr>
            <w:r>
              <w:rPr>
                <w:rFonts w:ascii="Arial" w:cs="Arial" w:eastAsia="Arial" w:hAnsi="Arial"/>
                <w:sz w:val="16"/>
                <w:szCs w:val="16"/>
                <w:b w:val="1"/>
                <w:bCs w:val="1"/>
                <w:color w:val="009BDE"/>
              </w:rPr>
              <w:t>adjustments</w:t>
            </w:r>
          </w:p>
        </w:tc>
        <w:tc>
          <w:tcPr>
            <w:tcW w:w="1360" w:type="dxa"/>
            <w:vAlign w:val="bottom"/>
            <w:gridSpan w:val="2"/>
            <w:shd w:val="clear" w:color="auto" w:fill="CCEBF8"/>
          </w:tcPr>
          <w:p>
            <w:pPr>
              <w:ind w:left="220"/>
              <w:spacing w:after="0"/>
              <w:rPr>
                <w:sz w:val="20"/>
                <w:szCs w:val="20"/>
                <w:color w:val="auto"/>
              </w:rPr>
            </w:pPr>
            <w:r>
              <w:rPr>
                <w:rFonts w:ascii="Arial" w:cs="Arial" w:eastAsia="Arial" w:hAnsi="Arial"/>
                <w:sz w:val="16"/>
                <w:szCs w:val="16"/>
                <w:b w:val="1"/>
                <w:bCs w:val="1"/>
                <w:color w:val="009BDE"/>
              </w:rPr>
              <w:t>adjustments</w:t>
            </w:r>
          </w:p>
        </w:tc>
        <w:tc>
          <w:tcPr>
            <w:tcW w:w="1380" w:type="dxa"/>
            <w:vAlign w:val="bottom"/>
            <w:gridSpan w:val="2"/>
            <w:shd w:val="clear" w:color="auto" w:fill="CCEBF8"/>
          </w:tcPr>
          <w:p>
            <w:pPr>
              <w:ind w:left="220"/>
              <w:spacing w:after="0"/>
              <w:rPr>
                <w:sz w:val="20"/>
                <w:szCs w:val="20"/>
                <w:color w:val="auto"/>
              </w:rPr>
            </w:pPr>
            <w:r>
              <w:rPr>
                <w:rFonts w:ascii="Arial" w:cs="Arial" w:eastAsia="Arial" w:hAnsi="Arial"/>
                <w:sz w:val="16"/>
                <w:szCs w:val="16"/>
                <w:b w:val="1"/>
                <w:bCs w:val="1"/>
                <w:color w:val="009BDE"/>
              </w:rPr>
              <w:t>adjustments</w:t>
            </w:r>
          </w:p>
        </w:tc>
        <w:tc>
          <w:tcPr>
            <w:tcW w:w="1300" w:type="dxa"/>
            <w:vAlign w:val="bottom"/>
            <w:gridSpan w:val="2"/>
            <w:shd w:val="clear" w:color="auto" w:fill="CCEBF8"/>
          </w:tcPr>
          <w:p>
            <w:pPr>
              <w:ind w:left="200"/>
              <w:spacing w:after="0"/>
              <w:rPr>
                <w:sz w:val="20"/>
                <w:szCs w:val="20"/>
                <w:color w:val="auto"/>
              </w:rPr>
            </w:pPr>
            <w:r>
              <w:rPr>
                <w:rFonts w:ascii="Arial" w:cs="Arial" w:eastAsia="Arial" w:hAnsi="Arial"/>
                <w:sz w:val="16"/>
                <w:szCs w:val="16"/>
                <w:b w:val="1"/>
                <w:bCs w:val="1"/>
                <w:color w:val="009BDE"/>
              </w:rPr>
              <w:t>adjustments</w:t>
            </w:r>
          </w:p>
        </w:tc>
        <w:tc>
          <w:tcPr>
            <w:tcW w:w="1240" w:type="dxa"/>
            <w:vAlign w:val="bottom"/>
            <w:gridSpan w:val="2"/>
            <w:shd w:val="clear" w:color="auto" w:fill="CCEBF8"/>
          </w:tcPr>
          <w:p>
            <w:pPr>
              <w:ind w:left="140"/>
              <w:spacing w:after="0"/>
              <w:rPr>
                <w:sz w:val="20"/>
                <w:szCs w:val="20"/>
                <w:color w:val="auto"/>
              </w:rPr>
            </w:pPr>
            <w:r>
              <w:rPr>
                <w:rFonts w:ascii="Arial" w:cs="Arial" w:eastAsia="Arial" w:hAnsi="Arial"/>
                <w:sz w:val="16"/>
                <w:szCs w:val="16"/>
                <w:b w:val="1"/>
                <w:bCs w:val="1"/>
                <w:color w:val="009BDE"/>
              </w:rPr>
              <w:t>adjustments</w:t>
            </w:r>
          </w:p>
        </w:tc>
      </w:tr>
      <w:tr>
        <w:trPr>
          <w:trHeight w:val="127"/>
        </w:trPr>
        <w:tc>
          <w:tcPr>
            <w:tcW w:w="2780" w:type="dxa"/>
            <w:vAlign w:val="bottom"/>
            <w:tcBorders>
              <w:bottom w:val="single" w:sz="8" w:color="009BDE"/>
            </w:tcBorders>
            <w:shd w:val="clear" w:color="auto" w:fill="CCEBF8"/>
          </w:tcPr>
          <w:p>
            <w:pPr>
              <w:spacing w:after="0"/>
              <w:rPr>
                <w:sz w:val="11"/>
                <w:szCs w:val="11"/>
                <w:color w:val="auto"/>
              </w:rPr>
            </w:pPr>
          </w:p>
        </w:tc>
        <w:tc>
          <w:tcPr>
            <w:tcW w:w="480" w:type="dxa"/>
            <w:vAlign w:val="bottom"/>
            <w:tcBorders>
              <w:bottom w:val="single" w:sz="8" w:color="009BDE"/>
            </w:tcBorders>
            <w:shd w:val="clear" w:color="auto" w:fill="CCEBF8"/>
          </w:tcPr>
          <w:p>
            <w:pPr>
              <w:spacing w:after="0"/>
              <w:rPr>
                <w:sz w:val="11"/>
                <w:szCs w:val="11"/>
                <w:color w:val="auto"/>
              </w:rPr>
            </w:pPr>
          </w:p>
        </w:tc>
        <w:tc>
          <w:tcPr>
            <w:tcW w:w="1020" w:type="dxa"/>
            <w:vAlign w:val="bottom"/>
            <w:tcBorders>
              <w:bottom w:val="single" w:sz="8" w:color="009BDE"/>
            </w:tcBorders>
            <w:shd w:val="clear" w:color="auto" w:fill="CCEBF8"/>
          </w:tcPr>
          <w:p>
            <w:pPr>
              <w:spacing w:after="0"/>
              <w:rPr>
                <w:sz w:val="11"/>
                <w:szCs w:val="11"/>
                <w:color w:val="auto"/>
              </w:rPr>
            </w:pPr>
          </w:p>
        </w:tc>
        <w:tc>
          <w:tcPr>
            <w:tcW w:w="340" w:type="dxa"/>
            <w:vAlign w:val="bottom"/>
            <w:tcBorders>
              <w:bottom w:val="single" w:sz="8" w:color="009BDE"/>
            </w:tcBorders>
            <w:shd w:val="clear" w:color="auto" w:fill="CCEBF8"/>
          </w:tcPr>
          <w:p>
            <w:pPr>
              <w:spacing w:after="0"/>
              <w:rPr>
                <w:sz w:val="11"/>
                <w:szCs w:val="11"/>
                <w:color w:val="auto"/>
              </w:rPr>
            </w:pPr>
          </w:p>
        </w:tc>
        <w:tc>
          <w:tcPr>
            <w:tcW w:w="1020" w:type="dxa"/>
            <w:vAlign w:val="bottom"/>
            <w:tcBorders>
              <w:bottom w:val="single" w:sz="8" w:color="009BDE"/>
            </w:tcBorders>
            <w:shd w:val="clear" w:color="auto" w:fill="CCEBF8"/>
          </w:tcPr>
          <w:p>
            <w:pPr>
              <w:spacing w:after="0"/>
              <w:rPr>
                <w:sz w:val="11"/>
                <w:szCs w:val="11"/>
                <w:color w:val="auto"/>
              </w:rPr>
            </w:pPr>
          </w:p>
        </w:tc>
        <w:tc>
          <w:tcPr>
            <w:tcW w:w="360" w:type="dxa"/>
            <w:vAlign w:val="bottom"/>
            <w:tcBorders>
              <w:bottom w:val="single" w:sz="8" w:color="009BDE"/>
            </w:tcBorders>
            <w:shd w:val="clear" w:color="auto" w:fill="CCEBF8"/>
          </w:tcPr>
          <w:p>
            <w:pPr>
              <w:spacing w:after="0"/>
              <w:rPr>
                <w:sz w:val="11"/>
                <w:szCs w:val="11"/>
                <w:color w:val="auto"/>
              </w:rPr>
            </w:pPr>
          </w:p>
        </w:tc>
        <w:tc>
          <w:tcPr>
            <w:tcW w:w="1000" w:type="dxa"/>
            <w:vAlign w:val="bottom"/>
            <w:tcBorders>
              <w:bottom w:val="single" w:sz="8" w:color="009BDE"/>
            </w:tcBorders>
            <w:shd w:val="clear" w:color="auto" w:fill="CCEBF8"/>
          </w:tcPr>
          <w:p>
            <w:pPr>
              <w:spacing w:after="0"/>
              <w:rPr>
                <w:sz w:val="11"/>
                <w:szCs w:val="11"/>
                <w:color w:val="auto"/>
              </w:rPr>
            </w:pPr>
          </w:p>
        </w:tc>
        <w:tc>
          <w:tcPr>
            <w:tcW w:w="340" w:type="dxa"/>
            <w:vAlign w:val="bottom"/>
            <w:tcBorders>
              <w:bottom w:val="single" w:sz="8" w:color="009BDE"/>
            </w:tcBorders>
            <w:shd w:val="clear" w:color="auto" w:fill="CCEBF8"/>
          </w:tcPr>
          <w:p>
            <w:pPr>
              <w:spacing w:after="0"/>
              <w:rPr>
                <w:sz w:val="11"/>
                <w:szCs w:val="11"/>
                <w:color w:val="auto"/>
              </w:rPr>
            </w:pPr>
          </w:p>
        </w:tc>
        <w:tc>
          <w:tcPr>
            <w:tcW w:w="1040" w:type="dxa"/>
            <w:vAlign w:val="bottom"/>
            <w:tcBorders>
              <w:bottom w:val="single" w:sz="8" w:color="009BDE"/>
            </w:tcBorders>
            <w:shd w:val="clear" w:color="auto" w:fill="CCEBF8"/>
          </w:tcPr>
          <w:p>
            <w:pPr>
              <w:spacing w:after="0"/>
              <w:rPr>
                <w:sz w:val="11"/>
                <w:szCs w:val="11"/>
                <w:color w:val="auto"/>
              </w:rPr>
            </w:pPr>
          </w:p>
        </w:tc>
        <w:tc>
          <w:tcPr>
            <w:tcW w:w="340" w:type="dxa"/>
            <w:vAlign w:val="bottom"/>
            <w:tcBorders>
              <w:bottom w:val="single" w:sz="8" w:color="009BDE"/>
            </w:tcBorders>
            <w:shd w:val="clear" w:color="auto" w:fill="CCEBF8"/>
          </w:tcPr>
          <w:p>
            <w:pPr>
              <w:spacing w:after="0"/>
              <w:rPr>
                <w:sz w:val="11"/>
                <w:szCs w:val="11"/>
                <w:color w:val="auto"/>
              </w:rPr>
            </w:pPr>
          </w:p>
        </w:tc>
        <w:tc>
          <w:tcPr>
            <w:tcW w:w="960" w:type="dxa"/>
            <w:vAlign w:val="bottom"/>
            <w:tcBorders>
              <w:bottom w:val="single" w:sz="8" w:color="009BDE"/>
            </w:tcBorders>
            <w:shd w:val="clear" w:color="auto" w:fill="CCEBF8"/>
          </w:tcPr>
          <w:p>
            <w:pPr>
              <w:spacing w:after="0"/>
              <w:rPr>
                <w:sz w:val="11"/>
                <w:szCs w:val="11"/>
                <w:color w:val="auto"/>
              </w:rPr>
            </w:pPr>
          </w:p>
        </w:tc>
        <w:tc>
          <w:tcPr>
            <w:tcW w:w="260" w:type="dxa"/>
            <w:vAlign w:val="bottom"/>
            <w:tcBorders>
              <w:bottom w:val="single" w:sz="8" w:color="009BDE"/>
            </w:tcBorders>
            <w:shd w:val="clear" w:color="auto" w:fill="CCEBF8"/>
          </w:tcPr>
          <w:p>
            <w:pPr>
              <w:spacing w:after="0"/>
              <w:rPr>
                <w:sz w:val="11"/>
                <w:szCs w:val="11"/>
                <w:color w:val="auto"/>
              </w:rPr>
            </w:pPr>
          </w:p>
        </w:tc>
        <w:tc>
          <w:tcPr>
            <w:tcW w:w="980" w:type="dxa"/>
            <w:vAlign w:val="bottom"/>
            <w:tcBorders>
              <w:bottom w:val="single" w:sz="8" w:color="009BDE"/>
            </w:tcBorders>
            <w:shd w:val="clear" w:color="auto" w:fill="CCEBF8"/>
          </w:tcPr>
          <w:p>
            <w:pPr>
              <w:spacing w:after="0"/>
              <w:rPr>
                <w:sz w:val="11"/>
                <w:szCs w:val="11"/>
                <w:color w:val="auto"/>
              </w:rPr>
            </w:pPr>
          </w:p>
        </w:tc>
      </w:tr>
      <w:tr>
        <w:trPr>
          <w:trHeight w:val="284"/>
        </w:trPr>
        <w:tc>
          <w:tcPr>
            <w:tcW w:w="2780" w:type="dxa"/>
            <w:vAlign w:val="bottom"/>
          </w:tcPr>
          <w:p>
            <w:pPr>
              <w:ind w:left="80"/>
              <w:spacing w:after="0"/>
              <w:rPr>
                <w:sz w:val="20"/>
                <w:szCs w:val="20"/>
                <w:color w:val="auto"/>
              </w:rPr>
            </w:pPr>
            <w:r>
              <w:rPr>
                <w:rFonts w:ascii="Arial" w:cs="Arial" w:eastAsia="Arial" w:hAnsi="Arial"/>
                <w:sz w:val="16"/>
                <w:szCs w:val="16"/>
                <w:color w:val="auto"/>
              </w:rPr>
              <w:t>Acquisition-related Costs(2)</w:t>
            </w:r>
          </w:p>
        </w:tc>
        <w:tc>
          <w:tcPr>
            <w:tcW w:w="480" w:type="dxa"/>
            <w:vAlign w:val="bottom"/>
          </w:tcPr>
          <w:p>
            <w:pPr>
              <w:ind w:lef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1.7</w:t>
            </w:r>
          </w:p>
        </w:tc>
      </w:tr>
      <w:tr>
        <w:trPr>
          <w:trHeight w:val="97"/>
        </w:trPr>
        <w:tc>
          <w:tcPr>
            <w:tcW w:w="2780" w:type="dxa"/>
            <w:vAlign w:val="bottom"/>
            <w:tcBorders>
              <w:bottom w:val="single" w:sz="8" w:color="009BDE"/>
            </w:tcBorders>
          </w:tcPr>
          <w:p>
            <w:pPr>
              <w:spacing w:after="0"/>
              <w:rPr>
                <w:sz w:val="8"/>
                <w:szCs w:val="8"/>
                <w:color w:val="auto"/>
              </w:rPr>
            </w:pPr>
          </w:p>
        </w:tc>
        <w:tc>
          <w:tcPr>
            <w:tcW w:w="4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r>
      <w:tr>
        <w:trPr>
          <w:trHeight w:val="284"/>
        </w:trPr>
        <w:tc>
          <w:tcPr>
            <w:tcW w:w="2780" w:type="dxa"/>
            <w:vAlign w:val="bottom"/>
          </w:tcPr>
          <w:p>
            <w:pPr>
              <w:ind w:left="80"/>
              <w:spacing w:after="0"/>
              <w:rPr>
                <w:sz w:val="20"/>
                <w:szCs w:val="20"/>
                <w:color w:val="auto"/>
              </w:rPr>
            </w:pPr>
            <w:r>
              <w:rPr>
                <w:rFonts w:ascii="Arial" w:cs="Arial" w:eastAsia="Arial" w:hAnsi="Arial"/>
                <w:sz w:val="16"/>
                <w:szCs w:val="16"/>
                <w:color w:val="auto"/>
              </w:rPr>
              <w:t>Acquired intangible amortization(3)</w:t>
            </w:r>
          </w:p>
        </w:tc>
        <w:tc>
          <w:tcPr>
            <w:tcW w:w="480" w:type="dxa"/>
            <w:vAlign w:val="bottom"/>
          </w:tcPr>
          <w:p>
            <w:pPr>
              <w:spacing w:after="0"/>
              <w:rPr>
                <w:sz w:val="24"/>
                <w:szCs w:val="24"/>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47.4</w:t>
            </w:r>
          </w:p>
        </w:tc>
        <w:tc>
          <w:tcPr>
            <w:tcW w:w="340" w:type="dxa"/>
            <w:vAlign w:val="bottom"/>
          </w:tcPr>
          <w:p>
            <w:pPr>
              <w:spacing w:after="0"/>
              <w:rPr>
                <w:sz w:val="24"/>
                <w:szCs w:val="24"/>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35.6</w:t>
            </w:r>
          </w:p>
        </w:tc>
        <w:tc>
          <w:tcPr>
            <w:tcW w:w="360" w:type="dxa"/>
            <w:vAlign w:val="bottom"/>
          </w:tcPr>
          <w:p>
            <w:pPr>
              <w:spacing w:after="0"/>
              <w:rPr>
                <w:sz w:val="24"/>
                <w:szCs w:val="24"/>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49.8</w:t>
            </w:r>
          </w:p>
        </w:tc>
        <w:tc>
          <w:tcPr>
            <w:tcW w:w="340" w:type="dxa"/>
            <w:vAlign w:val="bottom"/>
          </w:tcPr>
          <w:p>
            <w:pPr>
              <w:spacing w:after="0"/>
              <w:rPr>
                <w:sz w:val="24"/>
                <w:szCs w:val="24"/>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37.4</w:t>
            </w:r>
          </w:p>
        </w:tc>
        <w:tc>
          <w:tcPr>
            <w:tcW w:w="340" w:type="dxa"/>
            <w:vAlign w:val="bottom"/>
          </w:tcPr>
          <w:p>
            <w:pPr>
              <w:spacing w:after="0"/>
              <w:rPr>
                <w:sz w:val="24"/>
                <w:szCs w:val="24"/>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62.6</w:t>
            </w:r>
          </w:p>
        </w:tc>
        <w:tc>
          <w:tcPr>
            <w:tcW w:w="260" w:type="dxa"/>
            <w:vAlign w:val="bottom"/>
          </w:tcPr>
          <w:p>
            <w:pPr>
              <w:spacing w:after="0"/>
              <w:rPr>
                <w:sz w:val="24"/>
                <w:szCs w:val="24"/>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48.8</w:t>
            </w:r>
          </w:p>
        </w:tc>
      </w:tr>
      <w:tr>
        <w:trPr>
          <w:trHeight w:val="97"/>
        </w:trPr>
        <w:tc>
          <w:tcPr>
            <w:tcW w:w="2780" w:type="dxa"/>
            <w:vAlign w:val="bottom"/>
            <w:tcBorders>
              <w:bottom w:val="single" w:sz="8" w:color="009BDE"/>
            </w:tcBorders>
          </w:tcPr>
          <w:p>
            <w:pPr>
              <w:spacing w:after="0"/>
              <w:rPr>
                <w:sz w:val="8"/>
                <w:szCs w:val="8"/>
                <w:color w:val="auto"/>
              </w:rPr>
            </w:pPr>
          </w:p>
        </w:tc>
        <w:tc>
          <w:tcPr>
            <w:tcW w:w="4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r>
      <w:tr>
        <w:trPr>
          <w:trHeight w:val="284"/>
        </w:trPr>
        <w:tc>
          <w:tcPr>
            <w:tcW w:w="2780" w:type="dxa"/>
            <w:vAlign w:val="bottom"/>
          </w:tcPr>
          <w:p>
            <w:pPr>
              <w:ind w:left="80"/>
              <w:spacing w:after="0"/>
              <w:rPr>
                <w:sz w:val="20"/>
                <w:szCs w:val="20"/>
                <w:color w:val="auto"/>
              </w:rPr>
            </w:pPr>
            <w:r>
              <w:rPr>
                <w:rFonts w:ascii="Arial" w:cs="Arial" w:eastAsia="Arial" w:hAnsi="Arial"/>
                <w:sz w:val="16"/>
                <w:szCs w:val="16"/>
                <w:color w:val="auto"/>
              </w:rPr>
              <w:t>Strategic transformation initiatives(4)</w:t>
            </w:r>
          </w:p>
        </w:tc>
        <w:tc>
          <w:tcPr>
            <w:tcW w:w="480" w:type="dxa"/>
            <w:vAlign w:val="bottom"/>
          </w:tcPr>
          <w:p>
            <w:pPr>
              <w:spacing w:after="0"/>
              <w:rPr>
                <w:sz w:val="24"/>
                <w:szCs w:val="24"/>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23.9</w:t>
            </w:r>
          </w:p>
        </w:tc>
        <w:tc>
          <w:tcPr>
            <w:tcW w:w="340" w:type="dxa"/>
            <w:vAlign w:val="bottom"/>
          </w:tcPr>
          <w:p>
            <w:pPr>
              <w:spacing w:after="0"/>
              <w:rPr>
                <w:sz w:val="24"/>
                <w:szCs w:val="24"/>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18.3</w:t>
            </w:r>
          </w:p>
        </w:tc>
        <w:tc>
          <w:tcPr>
            <w:tcW w:w="360" w:type="dxa"/>
            <w:vAlign w:val="bottom"/>
          </w:tcPr>
          <w:p>
            <w:pPr>
              <w:spacing w:after="0"/>
              <w:rPr>
                <w:sz w:val="24"/>
                <w:szCs w:val="24"/>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28.3</w:t>
            </w:r>
          </w:p>
        </w:tc>
        <w:tc>
          <w:tcPr>
            <w:tcW w:w="340" w:type="dxa"/>
            <w:vAlign w:val="bottom"/>
          </w:tcPr>
          <w:p>
            <w:pPr>
              <w:spacing w:after="0"/>
              <w:rPr>
                <w:sz w:val="24"/>
                <w:szCs w:val="24"/>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21.6</w:t>
            </w:r>
          </w:p>
        </w:tc>
        <w:tc>
          <w:tcPr>
            <w:tcW w:w="340" w:type="dxa"/>
            <w:vAlign w:val="bottom"/>
          </w:tcPr>
          <w:p>
            <w:pPr>
              <w:spacing w:after="0"/>
              <w:rPr>
                <w:sz w:val="24"/>
                <w:szCs w:val="24"/>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35.3</w:t>
            </w:r>
          </w:p>
        </w:tc>
        <w:tc>
          <w:tcPr>
            <w:tcW w:w="260" w:type="dxa"/>
            <w:vAlign w:val="bottom"/>
          </w:tcPr>
          <w:p>
            <w:pPr>
              <w:spacing w:after="0"/>
              <w:rPr>
                <w:sz w:val="24"/>
                <w:szCs w:val="24"/>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27.0</w:t>
            </w:r>
          </w:p>
        </w:tc>
      </w:tr>
      <w:tr>
        <w:trPr>
          <w:trHeight w:val="97"/>
        </w:trPr>
        <w:tc>
          <w:tcPr>
            <w:tcW w:w="2780" w:type="dxa"/>
            <w:vAlign w:val="bottom"/>
            <w:tcBorders>
              <w:bottom w:val="single" w:sz="8" w:color="009BDE"/>
            </w:tcBorders>
          </w:tcPr>
          <w:p>
            <w:pPr>
              <w:spacing w:after="0"/>
              <w:rPr>
                <w:sz w:val="8"/>
                <w:szCs w:val="8"/>
                <w:color w:val="auto"/>
              </w:rPr>
            </w:pPr>
          </w:p>
        </w:tc>
        <w:tc>
          <w:tcPr>
            <w:tcW w:w="4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r>
      <w:tr>
        <w:trPr>
          <w:trHeight w:val="284"/>
        </w:trPr>
        <w:tc>
          <w:tcPr>
            <w:tcW w:w="2780" w:type="dxa"/>
            <w:vAlign w:val="bottom"/>
          </w:tcPr>
          <w:p>
            <w:pPr>
              <w:ind w:left="80"/>
              <w:spacing w:after="0"/>
              <w:rPr>
                <w:sz w:val="20"/>
                <w:szCs w:val="20"/>
                <w:color w:val="auto"/>
              </w:rPr>
            </w:pPr>
            <w:r>
              <w:rPr>
                <w:rFonts w:ascii="Arial" w:cs="Arial" w:eastAsia="Arial" w:hAnsi="Arial"/>
                <w:sz w:val="16"/>
                <w:szCs w:val="16"/>
                <w:color w:val="auto"/>
              </w:rPr>
              <w:t>Restructuring and severance costs(5)</w:t>
            </w:r>
          </w:p>
        </w:tc>
        <w:tc>
          <w:tcPr>
            <w:tcW w:w="480" w:type="dxa"/>
            <w:vAlign w:val="bottom"/>
          </w:tcPr>
          <w:p>
            <w:pPr>
              <w:spacing w:after="0"/>
              <w:rPr>
                <w:sz w:val="24"/>
                <w:szCs w:val="24"/>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9.3</w:t>
            </w:r>
          </w:p>
        </w:tc>
        <w:tc>
          <w:tcPr>
            <w:tcW w:w="340" w:type="dxa"/>
            <w:vAlign w:val="bottom"/>
          </w:tcPr>
          <w:p>
            <w:pPr>
              <w:spacing w:after="0"/>
              <w:rPr>
                <w:sz w:val="24"/>
                <w:szCs w:val="24"/>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7.2</w:t>
            </w:r>
          </w:p>
        </w:tc>
        <w:tc>
          <w:tcPr>
            <w:tcW w:w="360" w:type="dxa"/>
            <w:vAlign w:val="bottom"/>
          </w:tcPr>
          <w:p>
            <w:pPr>
              <w:spacing w:after="0"/>
              <w:rPr>
                <w:sz w:val="24"/>
                <w:szCs w:val="24"/>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22.2</w:t>
            </w:r>
          </w:p>
        </w:tc>
        <w:tc>
          <w:tcPr>
            <w:tcW w:w="340" w:type="dxa"/>
            <w:vAlign w:val="bottom"/>
          </w:tcPr>
          <w:p>
            <w:pPr>
              <w:spacing w:after="0"/>
              <w:rPr>
                <w:sz w:val="24"/>
                <w:szCs w:val="24"/>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17.0</w:t>
            </w:r>
          </w:p>
        </w:tc>
        <w:tc>
          <w:tcPr>
            <w:tcW w:w="340" w:type="dxa"/>
            <w:vAlign w:val="bottom"/>
          </w:tcPr>
          <w:p>
            <w:pPr>
              <w:spacing w:after="0"/>
              <w:rPr>
                <w:sz w:val="24"/>
                <w:szCs w:val="24"/>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34.2</w:t>
            </w:r>
          </w:p>
        </w:tc>
        <w:tc>
          <w:tcPr>
            <w:tcW w:w="260" w:type="dxa"/>
            <w:vAlign w:val="bottom"/>
          </w:tcPr>
          <w:p>
            <w:pPr>
              <w:spacing w:after="0"/>
              <w:rPr>
                <w:sz w:val="24"/>
                <w:szCs w:val="24"/>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28.7</w:t>
            </w:r>
          </w:p>
        </w:tc>
      </w:tr>
      <w:tr>
        <w:trPr>
          <w:trHeight w:val="97"/>
        </w:trPr>
        <w:tc>
          <w:tcPr>
            <w:tcW w:w="2780" w:type="dxa"/>
            <w:vAlign w:val="bottom"/>
            <w:tcBorders>
              <w:bottom w:val="single" w:sz="8" w:color="009BDE"/>
            </w:tcBorders>
          </w:tcPr>
          <w:p>
            <w:pPr>
              <w:spacing w:after="0"/>
              <w:rPr>
                <w:sz w:val="8"/>
                <w:szCs w:val="8"/>
                <w:color w:val="auto"/>
              </w:rPr>
            </w:pPr>
          </w:p>
        </w:tc>
        <w:tc>
          <w:tcPr>
            <w:tcW w:w="4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r>
      <w:tr>
        <w:trPr>
          <w:trHeight w:val="284"/>
        </w:trPr>
        <w:tc>
          <w:tcPr>
            <w:tcW w:w="2780" w:type="dxa"/>
            <w:vAlign w:val="bottom"/>
          </w:tcPr>
          <w:p>
            <w:pPr>
              <w:ind w:left="80"/>
              <w:spacing w:after="0"/>
              <w:rPr>
                <w:sz w:val="20"/>
                <w:szCs w:val="20"/>
                <w:color w:val="auto"/>
              </w:rPr>
            </w:pPr>
            <w:r>
              <w:rPr>
                <w:rFonts w:ascii="Arial" w:cs="Arial" w:eastAsia="Arial" w:hAnsi="Arial"/>
                <w:sz w:val="16"/>
                <w:szCs w:val="16"/>
                <w:color w:val="auto"/>
              </w:rPr>
              <w:t>Loss on disposal of business(6)</w:t>
            </w:r>
          </w:p>
        </w:tc>
        <w:tc>
          <w:tcPr>
            <w:tcW w:w="480" w:type="dxa"/>
            <w:vAlign w:val="bottom"/>
          </w:tcPr>
          <w:p>
            <w:pPr>
              <w:spacing w:after="0"/>
              <w:rPr>
                <w:sz w:val="24"/>
                <w:szCs w:val="24"/>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25.0</w:t>
            </w:r>
          </w:p>
        </w:tc>
        <w:tc>
          <w:tcPr>
            <w:tcW w:w="340" w:type="dxa"/>
            <w:vAlign w:val="bottom"/>
          </w:tcPr>
          <w:p>
            <w:pPr>
              <w:spacing w:after="0"/>
              <w:rPr>
                <w:sz w:val="24"/>
                <w:szCs w:val="24"/>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25.0</w:t>
            </w:r>
          </w:p>
        </w:tc>
        <w:tc>
          <w:tcPr>
            <w:tcW w:w="360" w:type="dxa"/>
            <w:vAlign w:val="bottom"/>
          </w:tcPr>
          <w:p>
            <w:pPr>
              <w:spacing w:after="0"/>
              <w:rPr>
                <w:sz w:val="24"/>
                <w:szCs w:val="24"/>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37.4</w:t>
            </w:r>
          </w:p>
        </w:tc>
        <w:tc>
          <w:tcPr>
            <w:tcW w:w="340" w:type="dxa"/>
            <w:vAlign w:val="bottom"/>
          </w:tcPr>
          <w:p>
            <w:pPr>
              <w:spacing w:after="0"/>
              <w:rPr>
                <w:sz w:val="24"/>
                <w:szCs w:val="24"/>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32.9</w:t>
            </w:r>
          </w:p>
        </w:tc>
        <w:tc>
          <w:tcPr>
            <w:tcW w:w="340" w:type="dxa"/>
            <w:vAlign w:val="bottom"/>
          </w:tcPr>
          <w:p>
            <w:pPr>
              <w:spacing w:after="0"/>
              <w:rPr>
                <w:sz w:val="24"/>
                <w:szCs w:val="24"/>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539.0</w:t>
            </w:r>
          </w:p>
        </w:tc>
        <w:tc>
          <w:tcPr>
            <w:tcW w:w="260" w:type="dxa"/>
            <w:vAlign w:val="bottom"/>
          </w:tcPr>
          <w:p>
            <w:pPr>
              <w:spacing w:after="0"/>
              <w:rPr>
                <w:sz w:val="24"/>
                <w:szCs w:val="24"/>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419.7</w:t>
            </w:r>
          </w:p>
        </w:tc>
      </w:tr>
      <w:tr>
        <w:trPr>
          <w:trHeight w:val="97"/>
        </w:trPr>
        <w:tc>
          <w:tcPr>
            <w:tcW w:w="2780" w:type="dxa"/>
            <w:vAlign w:val="bottom"/>
            <w:tcBorders>
              <w:bottom w:val="single" w:sz="8" w:color="009BDE"/>
            </w:tcBorders>
          </w:tcPr>
          <w:p>
            <w:pPr>
              <w:spacing w:after="0"/>
              <w:rPr>
                <w:sz w:val="8"/>
                <w:szCs w:val="8"/>
                <w:color w:val="auto"/>
              </w:rPr>
            </w:pPr>
          </w:p>
        </w:tc>
        <w:tc>
          <w:tcPr>
            <w:tcW w:w="4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r>
      <w:tr>
        <w:trPr>
          <w:trHeight w:val="260"/>
        </w:trPr>
        <w:tc>
          <w:tcPr>
            <w:tcW w:w="2780" w:type="dxa"/>
            <w:vAlign w:val="bottom"/>
          </w:tcPr>
          <w:p>
            <w:pPr>
              <w:ind w:left="80"/>
              <w:spacing w:after="0"/>
              <w:rPr>
                <w:sz w:val="20"/>
                <w:szCs w:val="20"/>
                <w:color w:val="auto"/>
              </w:rPr>
            </w:pPr>
            <w:r>
              <w:rPr>
                <w:rFonts w:ascii="Arial" w:cs="Arial" w:eastAsia="Arial" w:hAnsi="Arial"/>
                <w:sz w:val="16"/>
                <w:szCs w:val="16"/>
                <w:color w:val="auto"/>
              </w:rPr>
              <w:t>eOne Film and TV business</w:t>
            </w: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1"/>
        </w:trPr>
        <w:tc>
          <w:tcPr>
            <w:tcW w:w="2780" w:type="dxa"/>
            <w:vAlign w:val="bottom"/>
          </w:tcPr>
          <w:p>
            <w:pPr>
              <w:ind w:left="80"/>
              <w:spacing w:after="0"/>
              <w:rPr>
                <w:sz w:val="20"/>
                <w:szCs w:val="20"/>
                <w:color w:val="auto"/>
              </w:rPr>
            </w:pPr>
            <w:r>
              <w:rPr>
                <w:rFonts w:ascii="Arial" w:cs="Arial" w:eastAsia="Arial" w:hAnsi="Arial"/>
                <w:sz w:val="16"/>
                <w:szCs w:val="16"/>
                <w:color w:val="auto"/>
              </w:rPr>
              <w:t>divestiture related costs(7)</w:t>
            </w:r>
          </w:p>
        </w:tc>
        <w:tc>
          <w:tcPr>
            <w:tcW w:w="48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11.1</w:t>
            </w:r>
          </w:p>
        </w:tc>
        <w:tc>
          <w:tcPr>
            <w:tcW w:w="340" w:type="dxa"/>
            <w:vAlign w:val="bottom"/>
          </w:tcPr>
          <w:p>
            <w:pPr>
              <w:spacing w:after="0"/>
              <w:rPr>
                <w:sz w:val="18"/>
                <w:szCs w:val="18"/>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8.5</w:t>
            </w:r>
          </w:p>
        </w:tc>
        <w:tc>
          <w:tcPr>
            <w:tcW w:w="34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35.1</w:t>
            </w:r>
          </w:p>
        </w:tc>
        <w:tc>
          <w:tcPr>
            <w:tcW w:w="26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34.0</w:t>
            </w:r>
          </w:p>
        </w:tc>
      </w:tr>
      <w:tr>
        <w:trPr>
          <w:trHeight w:val="97"/>
        </w:trPr>
        <w:tc>
          <w:tcPr>
            <w:tcW w:w="2780" w:type="dxa"/>
            <w:vAlign w:val="bottom"/>
            <w:tcBorders>
              <w:bottom w:val="single" w:sz="8" w:color="009BDE"/>
            </w:tcBorders>
          </w:tcPr>
          <w:p>
            <w:pPr>
              <w:spacing w:after="0"/>
              <w:rPr>
                <w:sz w:val="8"/>
                <w:szCs w:val="8"/>
                <w:color w:val="auto"/>
              </w:rPr>
            </w:pPr>
          </w:p>
        </w:tc>
        <w:tc>
          <w:tcPr>
            <w:tcW w:w="4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r>
      <w:tr>
        <w:trPr>
          <w:trHeight w:val="260"/>
        </w:trPr>
        <w:tc>
          <w:tcPr>
            <w:tcW w:w="2780" w:type="dxa"/>
            <w:vAlign w:val="bottom"/>
          </w:tcPr>
          <w:p>
            <w:pPr>
              <w:ind w:left="80"/>
              <w:spacing w:after="0"/>
              <w:rPr>
                <w:sz w:val="20"/>
                <w:szCs w:val="20"/>
                <w:color w:val="auto"/>
              </w:rPr>
            </w:pPr>
            <w:r>
              <w:rPr>
                <w:rFonts w:ascii="Arial" w:cs="Arial" w:eastAsia="Arial" w:hAnsi="Arial"/>
                <w:sz w:val="16"/>
                <w:szCs w:val="16"/>
                <w:color w:val="auto"/>
              </w:rPr>
              <w:t>Impairment of goodwill and intangible</w:t>
            </w: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1"/>
        </w:trPr>
        <w:tc>
          <w:tcPr>
            <w:tcW w:w="2780" w:type="dxa"/>
            <w:vAlign w:val="bottom"/>
          </w:tcPr>
          <w:p>
            <w:pPr>
              <w:ind w:left="80"/>
              <w:spacing w:after="0"/>
              <w:rPr>
                <w:sz w:val="20"/>
                <w:szCs w:val="20"/>
                <w:color w:val="auto"/>
              </w:rPr>
            </w:pPr>
            <w:r>
              <w:rPr>
                <w:rFonts w:ascii="Arial" w:cs="Arial" w:eastAsia="Arial" w:hAnsi="Arial"/>
                <w:sz w:val="16"/>
                <w:szCs w:val="16"/>
                <w:color w:val="auto"/>
              </w:rPr>
              <w:t>assets(8)</w:t>
            </w:r>
          </w:p>
        </w:tc>
        <w:tc>
          <w:tcPr>
            <w:tcW w:w="48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1,021.9</w:t>
            </w:r>
          </w:p>
        </w:tc>
        <w:tc>
          <w:tcPr>
            <w:tcW w:w="34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1,016.5</w:t>
            </w:r>
          </w:p>
        </w:tc>
        <w:tc>
          <w:tcPr>
            <w:tcW w:w="36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1,307.2</w:t>
            </w:r>
          </w:p>
        </w:tc>
        <w:tc>
          <w:tcPr>
            <w:tcW w:w="26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1,278.2</w:t>
            </w:r>
          </w:p>
        </w:tc>
      </w:tr>
      <w:tr>
        <w:trPr>
          <w:trHeight w:val="97"/>
        </w:trPr>
        <w:tc>
          <w:tcPr>
            <w:tcW w:w="2780" w:type="dxa"/>
            <w:vAlign w:val="bottom"/>
            <w:tcBorders>
              <w:bottom w:val="single" w:sz="8" w:color="009BDE"/>
            </w:tcBorders>
          </w:tcPr>
          <w:p>
            <w:pPr>
              <w:spacing w:after="0"/>
              <w:rPr>
                <w:sz w:val="8"/>
                <w:szCs w:val="8"/>
                <w:color w:val="auto"/>
              </w:rPr>
            </w:pPr>
          </w:p>
        </w:tc>
        <w:tc>
          <w:tcPr>
            <w:tcW w:w="4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r>
      <w:tr>
        <w:trPr>
          <w:trHeight w:val="284"/>
        </w:trPr>
        <w:tc>
          <w:tcPr>
            <w:tcW w:w="2780" w:type="dxa"/>
            <w:vAlign w:val="bottom"/>
          </w:tcPr>
          <w:p>
            <w:pPr>
              <w:spacing w:after="0"/>
              <w:rPr>
                <w:sz w:val="24"/>
                <w:szCs w:val="24"/>
                <w:color w:val="auto"/>
              </w:rPr>
            </w:pPr>
          </w:p>
        </w:tc>
        <w:tc>
          <w:tcPr>
            <w:tcW w:w="480" w:type="dxa"/>
            <w:vAlign w:val="bottom"/>
          </w:tcPr>
          <w:p>
            <w:pPr>
              <w:ind w:lef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1,128.9</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1,103.7</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148.8</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117.4</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2,015.3</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1,838.1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61595</wp:posOffset>
            </wp:positionV>
            <wp:extent cx="69297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ind w:left="600" w:hanging="433"/>
        <w:spacing w:after="0"/>
        <w:tabs>
          <w:tab w:leader="none" w:pos="6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Amounts may not sum due to rounding.</w:t>
      </w:r>
    </w:p>
    <w:p>
      <w:pPr>
        <w:spacing w:after="0" w:line="79" w:lineRule="exact"/>
        <w:rPr>
          <w:rFonts w:ascii="Arial" w:cs="Arial" w:eastAsia="Arial" w:hAnsi="Arial"/>
          <w:sz w:val="14"/>
          <w:szCs w:val="14"/>
          <w:color w:val="auto"/>
        </w:rPr>
      </w:pPr>
    </w:p>
    <w:p>
      <w:pPr>
        <w:ind w:left="600" w:hanging="433"/>
        <w:spacing w:after="0"/>
        <w:tabs>
          <w:tab w:leader="none" w:pos="6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In association with the Company’s acquisition of eOne, the Company incurred stock compensation expenses included within Selling, Distribution and Administration.</w:t>
      </w:r>
    </w:p>
    <w:p>
      <w:pPr>
        <w:spacing w:after="0" w:line="79" w:lineRule="exact"/>
        <w:rPr>
          <w:rFonts w:ascii="Arial" w:cs="Arial" w:eastAsia="Arial" w:hAnsi="Arial"/>
          <w:sz w:val="14"/>
          <w:szCs w:val="14"/>
          <w:color w:val="auto"/>
        </w:rPr>
      </w:pPr>
    </w:p>
    <w:p>
      <w:pPr>
        <w:ind w:left="600" w:right="80" w:hanging="433"/>
        <w:spacing w:after="0" w:line="253" w:lineRule="auto"/>
        <w:tabs>
          <w:tab w:leader="none" w:pos="6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Represents intangible amortization costs related to the intangible assets acquired in the eOne acquisition. The Company has allocated certain of these intangible amortization costs between the Consumer Products and Entertainment segments, to match the revenue generated from such intangible assets. While amortization of acquired intangibles is being excluded from the related GAAP financial measure, the revenue of the acquired company is reflected within the Company’s operating results to which these assets contribute.</w:t>
      </w:r>
    </w:p>
    <w:p>
      <w:pPr>
        <w:spacing w:after="0" w:line="43" w:lineRule="exact"/>
        <w:rPr>
          <w:rFonts w:ascii="Arial" w:cs="Arial" w:eastAsia="Arial" w:hAnsi="Arial"/>
          <w:sz w:val="14"/>
          <w:szCs w:val="14"/>
          <w:color w:val="auto"/>
        </w:rPr>
      </w:pPr>
    </w:p>
    <w:p>
      <w:pPr>
        <w:ind w:left="600" w:right="400" w:hanging="433"/>
        <w:spacing w:after="0" w:line="281" w:lineRule="auto"/>
        <w:tabs>
          <w:tab w:leader="none" w:pos="6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Strategic transformation initiatives costs represent non-recurring expenses for strategic projects with anticipated long-term benefits to support the organization in identifying, realizing and capturing savings to create efficiencies and improve business processes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216535</wp:posOffset>
            </wp:positionV>
            <wp:extent cx="6964045" cy="39052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CFCFC"/>
        </w:rPr>
        <w:t>    A-1</w:t>
      </w:r>
    </w:p>
    <w:p>
      <w:pPr>
        <w:sectPr>
          <w:pgSz w:w="11900" w:h="16838" w:orient="portrait"/>
          <w:cols w:equalWidth="0" w:num="1">
            <w:col w:w="11080"/>
          </w:cols>
          <w:pgMar w:left="320" w:top="478"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600" w:hanging="433"/>
        <w:spacing w:after="0"/>
        <w:tabs>
          <w:tab w:leader="none" w:pos="6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Restructuring and severance costs associated with cost-savings initiatives across the Company.</w:t>
      </w:r>
    </w:p>
    <w:p>
      <w:pPr>
        <w:spacing w:after="0" w:line="79" w:lineRule="exact"/>
        <w:rPr>
          <w:rFonts w:ascii="Arial" w:cs="Arial" w:eastAsia="Arial" w:hAnsi="Arial"/>
          <w:sz w:val="14"/>
          <w:szCs w:val="14"/>
          <w:color w:val="auto"/>
        </w:rPr>
      </w:pPr>
    </w:p>
    <w:p>
      <w:pPr>
        <w:ind w:left="600" w:right="120" w:hanging="433"/>
        <w:spacing w:after="0" w:line="281" w:lineRule="auto"/>
        <w:tabs>
          <w:tab w:leader="none" w:pos="6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Loss on disposal of a business related to the sale of the eOne Film and TV business executed on December 27, 2023. The costs are included in Loss on Disposal of Business within the Entertainment segment.</w:t>
      </w:r>
    </w:p>
    <w:p>
      <w:pPr>
        <w:spacing w:after="0" w:line="24" w:lineRule="exact"/>
        <w:rPr>
          <w:rFonts w:ascii="Arial" w:cs="Arial" w:eastAsia="Arial" w:hAnsi="Arial"/>
          <w:sz w:val="14"/>
          <w:szCs w:val="14"/>
          <w:color w:val="auto"/>
        </w:rPr>
      </w:pPr>
    </w:p>
    <w:p>
      <w:pPr>
        <w:ind w:left="600" w:hanging="433"/>
        <w:spacing w:after="0"/>
        <w:tabs>
          <w:tab w:leader="none" w:pos="6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eOne Film and TV business divestiture related costs as a result of the sale of the eOne Film and TV business and certain retained liabilities.</w:t>
      </w:r>
    </w:p>
    <w:p>
      <w:pPr>
        <w:spacing w:after="0" w:line="79" w:lineRule="exact"/>
        <w:rPr>
          <w:rFonts w:ascii="Arial" w:cs="Arial" w:eastAsia="Arial" w:hAnsi="Arial"/>
          <w:sz w:val="14"/>
          <w:szCs w:val="14"/>
          <w:color w:val="auto"/>
        </w:rPr>
      </w:pPr>
    </w:p>
    <w:p>
      <w:pPr>
        <w:ind w:left="600" w:right="100" w:hanging="433"/>
        <w:spacing w:after="0" w:line="260" w:lineRule="auto"/>
        <w:tabs>
          <w:tab w:leader="none" w:pos="6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Non-cash goodwill impairment charge of $1,021.9 in 2025 within the Consumer Products segment, following completion of an interim quantitative assessment of goodwill triggered by the implementation of tariffs. Non-cash goodwill and intangible assets impairment charge of $1,307.2 in 2023 within the Entertainment segment, related to the eOne Film and TV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29755" cy="39941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6929755" cy="39941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FFFFFF"/>
        </w:rPr>
        <w:t>Reconciliation of Operating Profit Results</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327"/>
        </w:trPr>
        <w:tc>
          <w:tcPr>
            <w:tcW w:w="4040" w:type="dxa"/>
            <w:vAlign w:val="bottom"/>
            <w:tcBorders>
              <w:top w:val="single" w:sz="8" w:color="0060ED"/>
            </w:tcBorders>
            <w:shd w:val="clear" w:color="auto" w:fill="CCEBF8"/>
          </w:tcPr>
          <w:p>
            <w:pPr>
              <w:spacing w:after="0"/>
              <w:rPr>
                <w:sz w:val="24"/>
                <w:szCs w:val="24"/>
                <w:color w:val="auto"/>
              </w:rPr>
            </w:pPr>
          </w:p>
        </w:tc>
        <w:tc>
          <w:tcPr>
            <w:tcW w:w="3600" w:type="dxa"/>
            <w:vAlign w:val="bottom"/>
            <w:tcBorders>
              <w:top w:val="single" w:sz="8" w:color="0060ED"/>
            </w:tcBorders>
            <w:gridSpan w:val="3"/>
            <w:shd w:val="clear" w:color="auto" w:fill="CCEBF8"/>
          </w:tcPr>
          <w:p>
            <w:pPr>
              <w:jc w:val="right"/>
              <w:ind w:right="480"/>
              <w:spacing w:after="0"/>
              <w:rPr>
                <w:sz w:val="20"/>
                <w:szCs w:val="20"/>
                <w:color w:val="auto"/>
              </w:rPr>
            </w:pPr>
            <w:r>
              <w:rPr>
                <w:rFonts w:ascii="Arial" w:cs="Arial" w:eastAsia="Arial" w:hAnsi="Arial"/>
                <w:sz w:val="16"/>
                <w:szCs w:val="16"/>
                <w:b w:val="1"/>
                <w:bCs w:val="1"/>
                <w:color w:val="009BDE"/>
              </w:rPr>
              <w:t>Year Ended December 28, 2025</w:t>
            </w:r>
          </w:p>
        </w:tc>
        <w:tc>
          <w:tcPr>
            <w:tcW w:w="3280" w:type="dxa"/>
            <w:vAlign w:val="bottom"/>
            <w:tcBorders>
              <w:top w:val="single" w:sz="8" w:color="0060ED"/>
            </w:tcBorders>
            <w:gridSpan w:val="3"/>
            <w:shd w:val="clear" w:color="auto" w:fill="CCEBF8"/>
          </w:tcPr>
          <w:p>
            <w:pPr>
              <w:jc w:val="right"/>
              <w:ind w:right="340"/>
              <w:spacing w:after="0"/>
              <w:rPr>
                <w:sz w:val="20"/>
                <w:szCs w:val="20"/>
                <w:color w:val="auto"/>
              </w:rPr>
            </w:pPr>
            <w:r>
              <w:rPr>
                <w:rFonts w:ascii="Arial" w:cs="Arial" w:eastAsia="Arial" w:hAnsi="Arial"/>
                <w:sz w:val="16"/>
                <w:szCs w:val="16"/>
                <w:b w:val="1"/>
                <w:bCs w:val="1"/>
                <w:color w:val="009BDE"/>
              </w:rPr>
              <w:t>Year Ended December 29, 2024</w:t>
            </w:r>
          </w:p>
        </w:tc>
      </w:tr>
      <w:tr>
        <w:trPr>
          <w:trHeight w:val="247"/>
        </w:trPr>
        <w:tc>
          <w:tcPr>
            <w:tcW w:w="4040" w:type="dxa"/>
            <w:vAlign w:val="bottom"/>
            <w:shd w:val="clear" w:color="auto" w:fill="CCEBF8"/>
          </w:tcPr>
          <w:p>
            <w:pPr>
              <w:spacing w:after="0"/>
              <w:rPr>
                <w:sz w:val="21"/>
                <w:szCs w:val="21"/>
                <w:color w:val="auto"/>
              </w:rPr>
            </w:pPr>
          </w:p>
        </w:tc>
        <w:tc>
          <w:tcPr>
            <w:tcW w:w="12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7"/>
              </w:rPr>
              <w:t>As</w:t>
            </w:r>
          </w:p>
        </w:tc>
        <w:tc>
          <w:tcPr>
            <w:tcW w:w="13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Non-GAAP</w:t>
            </w:r>
          </w:p>
        </w:tc>
        <w:tc>
          <w:tcPr>
            <w:tcW w:w="1060" w:type="dxa"/>
            <w:vAlign w:val="bottom"/>
            <w:shd w:val="clear" w:color="auto" w:fill="CCEBF8"/>
          </w:tcPr>
          <w:p>
            <w:pPr>
              <w:spacing w:after="0"/>
              <w:rPr>
                <w:sz w:val="21"/>
                <w:szCs w:val="21"/>
                <w:color w:val="auto"/>
              </w:rPr>
            </w:pPr>
          </w:p>
        </w:tc>
        <w:tc>
          <w:tcPr>
            <w:tcW w:w="1060" w:type="dxa"/>
            <w:vAlign w:val="bottom"/>
            <w:shd w:val="clear" w:color="auto" w:fill="CCEBF8"/>
          </w:tcPr>
          <w:p>
            <w:pPr>
              <w:jc w:val="right"/>
              <w:ind w:right="340"/>
              <w:spacing w:after="0"/>
              <w:rPr>
                <w:sz w:val="20"/>
                <w:szCs w:val="20"/>
                <w:color w:val="auto"/>
              </w:rPr>
            </w:pPr>
            <w:r>
              <w:rPr>
                <w:rFonts w:ascii="Arial" w:cs="Arial" w:eastAsia="Arial" w:hAnsi="Arial"/>
                <w:sz w:val="16"/>
                <w:szCs w:val="16"/>
                <w:b w:val="1"/>
                <w:bCs w:val="1"/>
                <w:color w:val="009BDE"/>
              </w:rPr>
              <w:t>As</w:t>
            </w:r>
          </w:p>
        </w:tc>
        <w:tc>
          <w:tcPr>
            <w:tcW w:w="1300" w:type="dxa"/>
            <w:vAlign w:val="bottom"/>
            <w:shd w:val="clear" w:color="auto" w:fill="CCEBF8"/>
          </w:tcPr>
          <w:p>
            <w:pPr>
              <w:jc w:val="right"/>
              <w:ind w:right="120"/>
              <w:spacing w:after="0"/>
              <w:rPr>
                <w:sz w:val="20"/>
                <w:szCs w:val="20"/>
                <w:color w:val="auto"/>
              </w:rPr>
            </w:pPr>
            <w:r>
              <w:rPr>
                <w:rFonts w:ascii="Arial" w:cs="Arial" w:eastAsia="Arial" w:hAnsi="Arial"/>
                <w:sz w:val="16"/>
                <w:szCs w:val="16"/>
                <w:b w:val="1"/>
                <w:bCs w:val="1"/>
                <w:color w:val="009BDE"/>
              </w:rPr>
              <w:t>Non-GAAP</w:t>
            </w:r>
          </w:p>
        </w:tc>
        <w:tc>
          <w:tcPr>
            <w:tcW w:w="920" w:type="dxa"/>
            <w:vAlign w:val="bottom"/>
            <w:shd w:val="clear" w:color="auto" w:fill="CCEBF8"/>
          </w:tcPr>
          <w:p>
            <w:pPr>
              <w:spacing w:after="0"/>
              <w:rPr>
                <w:sz w:val="21"/>
                <w:szCs w:val="21"/>
                <w:color w:val="auto"/>
              </w:rPr>
            </w:pPr>
          </w:p>
        </w:tc>
      </w:tr>
      <w:tr>
        <w:trPr>
          <w:trHeight w:val="235"/>
        </w:trPr>
        <w:tc>
          <w:tcPr>
            <w:tcW w:w="4040" w:type="dxa"/>
            <w:vAlign w:val="bottom"/>
            <w:shd w:val="clear" w:color="auto" w:fill="CCEBF8"/>
          </w:tcPr>
          <w:p>
            <w:pPr>
              <w:spacing w:after="0"/>
              <w:rPr>
                <w:sz w:val="20"/>
                <w:szCs w:val="20"/>
                <w:color w:val="auto"/>
              </w:rPr>
            </w:pPr>
          </w:p>
        </w:tc>
        <w:tc>
          <w:tcPr>
            <w:tcW w:w="12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Reported</w:t>
            </w:r>
          </w:p>
        </w:tc>
        <w:tc>
          <w:tcPr>
            <w:tcW w:w="13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Adjustments</w:t>
            </w:r>
          </w:p>
        </w:tc>
        <w:tc>
          <w:tcPr>
            <w:tcW w:w="1060" w:type="dxa"/>
            <w:vAlign w:val="bottom"/>
            <w:shd w:val="clear" w:color="auto" w:fill="CCEBF8"/>
          </w:tcPr>
          <w:p>
            <w:pPr>
              <w:jc w:val="right"/>
              <w:ind w:right="100"/>
              <w:spacing w:after="0"/>
              <w:rPr>
                <w:sz w:val="20"/>
                <w:szCs w:val="20"/>
                <w:color w:val="auto"/>
              </w:rPr>
            </w:pPr>
            <w:r>
              <w:rPr>
                <w:rFonts w:ascii="Arial" w:cs="Arial" w:eastAsia="Arial" w:hAnsi="Arial"/>
                <w:sz w:val="16"/>
                <w:szCs w:val="16"/>
                <w:b w:val="1"/>
                <w:bCs w:val="1"/>
                <w:color w:val="009BDE"/>
              </w:rPr>
              <w:t>Adjusted</w:t>
            </w:r>
          </w:p>
        </w:tc>
        <w:tc>
          <w:tcPr>
            <w:tcW w:w="1060" w:type="dxa"/>
            <w:vAlign w:val="bottom"/>
            <w:shd w:val="clear" w:color="auto" w:fill="CCEBF8"/>
          </w:tcPr>
          <w:p>
            <w:pPr>
              <w:jc w:val="right"/>
              <w:ind w:right="100"/>
              <w:spacing w:after="0"/>
              <w:rPr>
                <w:sz w:val="20"/>
                <w:szCs w:val="20"/>
                <w:color w:val="auto"/>
              </w:rPr>
            </w:pPr>
            <w:r>
              <w:rPr>
                <w:rFonts w:ascii="Arial" w:cs="Arial" w:eastAsia="Arial" w:hAnsi="Arial"/>
                <w:sz w:val="16"/>
                <w:szCs w:val="16"/>
                <w:b w:val="1"/>
                <w:bCs w:val="1"/>
                <w:color w:val="009BDE"/>
              </w:rPr>
              <w:t>Reported</w:t>
            </w:r>
          </w:p>
        </w:tc>
        <w:tc>
          <w:tcPr>
            <w:tcW w:w="1300" w:type="dxa"/>
            <w:vAlign w:val="bottom"/>
            <w:shd w:val="clear" w:color="auto" w:fill="CCEBF8"/>
          </w:tcPr>
          <w:p>
            <w:pPr>
              <w:jc w:val="right"/>
              <w:ind w:right="60"/>
              <w:spacing w:after="0"/>
              <w:rPr>
                <w:sz w:val="20"/>
                <w:szCs w:val="20"/>
                <w:color w:val="auto"/>
              </w:rPr>
            </w:pPr>
            <w:r>
              <w:rPr>
                <w:rFonts w:ascii="Arial" w:cs="Arial" w:eastAsia="Arial" w:hAnsi="Arial"/>
                <w:sz w:val="16"/>
                <w:szCs w:val="16"/>
                <w:b w:val="1"/>
                <w:bCs w:val="1"/>
                <w:color w:val="009BDE"/>
              </w:rPr>
              <w:t>Adjustments</w:t>
            </w:r>
          </w:p>
        </w:tc>
        <w:tc>
          <w:tcPr>
            <w:tcW w:w="920" w:type="dxa"/>
            <w:vAlign w:val="bottom"/>
            <w:shd w:val="clear" w:color="auto" w:fill="CCEBF8"/>
          </w:tcPr>
          <w:p>
            <w:pPr>
              <w:jc w:val="right"/>
              <w:ind w:right="40"/>
              <w:spacing w:after="0"/>
              <w:rPr>
                <w:sz w:val="20"/>
                <w:szCs w:val="20"/>
                <w:color w:val="auto"/>
              </w:rPr>
            </w:pPr>
            <w:r>
              <w:rPr>
                <w:rFonts w:ascii="Arial" w:cs="Arial" w:eastAsia="Arial" w:hAnsi="Arial"/>
                <w:sz w:val="16"/>
                <w:szCs w:val="16"/>
                <w:b w:val="1"/>
                <w:bCs w:val="1"/>
                <w:color w:val="009BDE"/>
              </w:rPr>
              <w:t>Adjusted</w:t>
            </w:r>
          </w:p>
        </w:tc>
      </w:tr>
      <w:tr>
        <w:trPr>
          <w:trHeight w:val="114"/>
        </w:trPr>
        <w:tc>
          <w:tcPr>
            <w:tcW w:w="4040" w:type="dxa"/>
            <w:vAlign w:val="bottom"/>
            <w:tcBorders>
              <w:bottom w:val="single" w:sz="8" w:color="009BDE"/>
            </w:tcBorders>
            <w:shd w:val="clear" w:color="auto" w:fill="CCEBF8"/>
          </w:tcPr>
          <w:p>
            <w:pPr>
              <w:spacing w:after="0"/>
              <w:rPr>
                <w:sz w:val="9"/>
                <w:szCs w:val="9"/>
                <w:color w:val="auto"/>
              </w:rPr>
            </w:pPr>
          </w:p>
        </w:tc>
        <w:tc>
          <w:tcPr>
            <w:tcW w:w="1220" w:type="dxa"/>
            <w:vAlign w:val="bottom"/>
            <w:tcBorders>
              <w:bottom w:val="single" w:sz="8" w:color="009BDE"/>
            </w:tcBorders>
            <w:shd w:val="clear" w:color="auto" w:fill="CCEBF8"/>
          </w:tcPr>
          <w:p>
            <w:pPr>
              <w:spacing w:after="0"/>
              <w:rPr>
                <w:sz w:val="9"/>
                <w:szCs w:val="9"/>
                <w:color w:val="auto"/>
              </w:rPr>
            </w:pPr>
          </w:p>
        </w:tc>
        <w:tc>
          <w:tcPr>
            <w:tcW w:w="1320" w:type="dxa"/>
            <w:vAlign w:val="bottom"/>
            <w:tcBorders>
              <w:bottom w:val="single" w:sz="8" w:color="009BDE"/>
            </w:tcBorders>
            <w:shd w:val="clear" w:color="auto" w:fill="CCEBF8"/>
          </w:tcPr>
          <w:p>
            <w:pPr>
              <w:spacing w:after="0"/>
              <w:rPr>
                <w:sz w:val="9"/>
                <w:szCs w:val="9"/>
                <w:color w:val="auto"/>
              </w:rPr>
            </w:pPr>
          </w:p>
        </w:tc>
        <w:tc>
          <w:tcPr>
            <w:tcW w:w="1060" w:type="dxa"/>
            <w:vAlign w:val="bottom"/>
            <w:tcBorders>
              <w:bottom w:val="single" w:sz="8" w:color="009BDE"/>
            </w:tcBorders>
            <w:shd w:val="clear" w:color="auto" w:fill="CCEBF8"/>
          </w:tcPr>
          <w:p>
            <w:pPr>
              <w:spacing w:after="0"/>
              <w:rPr>
                <w:sz w:val="9"/>
                <w:szCs w:val="9"/>
                <w:color w:val="auto"/>
              </w:rPr>
            </w:pPr>
          </w:p>
        </w:tc>
        <w:tc>
          <w:tcPr>
            <w:tcW w:w="1060" w:type="dxa"/>
            <w:vAlign w:val="bottom"/>
            <w:tcBorders>
              <w:bottom w:val="single" w:sz="8" w:color="009BDE"/>
            </w:tcBorders>
            <w:shd w:val="clear" w:color="auto" w:fill="CCEBF8"/>
          </w:tcPr>
          <w:p>
            <w:pPr>
              <w:spacing w:after="0"/>
              <w:rPr>
                <w:sz w:val="9"/>
                <w:szCs w:val="9"/>
                <w:color w:val="auto"/>
              </w:rPr>
            </w:pPr>
          </w:p>
        </w:tc>
        <w:tc>
          <w:tcPr>
            <w:tcW w:w="1300" w:type="dxa"/>
            <w:vAlign w:val="bottom"/>
            <w:tcBorders>
              <w:bottom w:val="single" w:sz="8" w:color="009BDE"/>
            </w:tcBorders>
            <w:shd w:val="clear" w:color="auto" w:fill="CCEBF8"/>
          </w:tcPr>
          <w:p>
            <w:pPr>
              <w:spacing w:after="0"/>
              <w:rPr>
                <w:sz w:val="9"/>
                <w:szCs w:val="9"/>
                <w:color w:val="auto"/>
              </w:rPr>
            </w:pPr>
          </w:p>
        </w:tc>
        <w:tc>
          <w:tcPr>
            <w:tcW w:w="920" w:type="dxa"/>
            <w:vAlign w:val="bottom"/>
            <w:tcBorders>
              <w:bottom w:val="single" w:sz="8" w:color="009BDE"/>
            </w:tcBorders>
            <w:shd w:val="clear" w:color="auto" w:fill="CCEBF8"/>
          </w:tcPr>
          <w:p>
            <w:pPr>
              <w:spacing w:after="0"/>
              <w:rPr>
                <w:sz w:val="9"/>
                <w:szCs w:val="9"/>
                <w:color w:val="auto"/>
              </w:rPr>
            </w:pPr>
          </w:p>
        </w:tc>
      </w:tr>
      <w:tr>
        <w:trPr>
          <w:trHeight w:val="215"/>
        </w:trPr>
        <w:tc>
          <w:tcPr>
            <w:tcW w:w="4040" w:type="dxa"/>
            <w:vAlign w:val="bottom"/>
          </w:tcPr>
          <w:p>
            <w:pPr>
              <w:ind w:left="80"/>
              <w:spacing w:after="0"/>
              <w:rPr>
                <w:sz w:val="20"/>
                <w:szCs w:val="20"/>
                <w:color w:val="auto"/>
              </w:rPr>
            </w:pPr>
            <w:r>
              <w:rPr>
                <w:rFonts w:ascii="Arial" w:cs="Arial" w:eastAsia="Arial" w:hAnsi="Arial"/>
                <w:sz w:val="16"/>
                <w:szCs w:val="16"/>
                <w:b w:val="1"/>
                <w:bCs w:val="1"/>
                <w:color w:val="auto"/>
              </w:rPr>
              <w:t>Adjusted Company Results</w:t>
            </w: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70"/>
        </w:trPr>
        <w:tc>
          <w:tcPr>
            <w:tcW w:w="4040" w:type="dxa"/>
            <w:vAlign w:val="bottom"/>
          </w:tcPr>
          <w:p>
            <w:pPr>
              <w:ind w:left="80"/>
              <w:spacing w:after="0"/>
              <w:rPr>
                <w:sz w:val="20"/>
                <w:szCs w:val="20"/>
                <w:color w:val="auto"/>
              </w:rPr>
            </w:pPr>
            <w:r>
              <w:rPr>
                <w:rFonts w:ascii="Arial" w:cs="Arial" w:eastAsia="Arial" w:hAnsi="Arial"/>
                <w:sz w:val="16"/>
                <w:szCs w:val="16"/>
                <w:color w:val="auto"/>
              </w:rPr>
              <w:t>External Net Revenues</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$ 4,701.3</w:t>
            </w: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$ 4,701.3</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$ 4,135.5</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$ 4,135.5</w:t>
            </w:r>
          </w:p>
        </w:tc>
      </w:tr>
      <w:tr>
        <w:trPr>
          <w:trHeight w:val="97"/>
        </w:trPr>
        <w:tc>
          <w:tcPr>
            <w:tcW w:w="404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r>
      <w:tr>
        <w:trPr>
          <w:trHeight w:val="284"/>
        </w:trPr>
        <w:tc>
          <w:tcPr>
            <w:tcW w:w="4040" w:type="dxa"/>
            <w:vAlign w:val="bottom"/>
          </w:tcPr>
          <w:p>
            <w:pPr>
              <w:ind w:left="80"/>
              <w:spacing w:after="0"/>
              <w:rPr>
                <w:sz w:val="20"/>
                <w:szCs w:val="20"/>
                <w:color w:val="auto"/>
              </w:rPr>
            </w:pPr>
            <w:r>
              <w:rPr>
                <w:rFonts w:ascii="Arial" w:cs="Arial" w:eastAsia="Arial" w:hAnsi="Arial"/>
                <w:sz w:val="16"/>
                <w:szCs w:val="16"/>
                <w:color w:val="auto"/>
              </w:rPr>
              <w:t>Operating Profit (Loss)</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11.1</w:t>
            </w: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1,128.9</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1,140.0</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690.0</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148.8</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838.8</w:t>
            </w:r>
          </w:p>
        </w:tc>
      </w:tr>
      <w:tr>
        <w:trPr>
          <w:trHeight w:val="97"/>
        </w:trPr>
        <w:tc>
          <w:tcPr>
            <w:tcW w:w="404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r>
      <w:tr>
        <w:trPr>
          <w:trHeight w:val="284"/>
        </w:trPr>
        <w:tc>
          <w:tcPr>
            <w:tcW w:w="4040" w:type="dxa"/>
            <w:vAlign w:val="bottom"/>
          </w:tcPr>
          <w:p>
            <w:pPr>
              <w:ind w:left="80"/>
              <w:spacing w:after="0"/>
              <w:rPr>
                <w:sz w:val="20"/>
                <w:szCs w:val="20"/>
                <w:color w:val="auto"/>
              </w:rPr>
            </w:pPr>
            <w:r>
              <w:rPr>
                <w:rFonts w:ascii="Arial" w:cs="Arial" w:eastAsia="Arial" w:hAnsi="Arial"/>
                <w:sz w:val="16"/>
                <w:szCs w:val="16"/>
                <w:color w:val="auto"/>
              </w:rPr>
              <w:t>Operating Margin</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0.2%</w:t>
            </w: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24.0%</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24.2%</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16.7%</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3.6%</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20.3%</w:t>
            </w:r>
          </w:p>
        </w:tc>
      </w:tr>
      <w:tr>
        <w:trPr>
          <w:trHeight w:val="97"/>
        </w:trPr>
        <w:tc>
          <w:tcPr>
            <w:tcW w:w="4040" w:type="dxa"/>
            <w:vAlign w:val="bottom"/>
            <w:tcBorders>
              <w:bottom w:val="single" w:sz="8" w:color="009BDE"/>
            </w:tcBorders>
          </w:tcPr>
          <w:p>
            <w:pPr>
              <w:spacing w:after="0"/>
              <w:rPr>
                <w:sz w:val="8"/>
                <w:szCs w:val="8"/>
                <w:color w:val="auto"/>
              </w:rPr>
            </w:pPr>
          </w:p>
        </w:tc>
        <w:tc>
          <w:tcPr>
            <w:tcW w:w="3600" w:type="dxa"/>
            <w:vAlign w:val="bottom"/>
            <w:tcBorders>
              <w:bottom w:val="single" w:sz="8" w:color="009BDE"/>
            </w:tcBorders>
            <w:gridSpan w:val="3"/>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r>
      <w:tr>
        <w:trPr>
          <w:trHeight w:val="254"/>
        </w:trPr>
        <w:tc>
          <w:tcPr>
            <w:tcW w:w="4040" w:type="dxa"/>
            <w:vAlign w:val="bottom"/>
            <w:shd w:val="clear" w:color="auto" w:fill="CCEBF8"/>
          </w:tcPr>
          <w:p>
            <w:pPr>
              <w:spacing w:after="0"/>
              <w:rPr>
                <w:sz w:val="22"/>
                <w:szCs w:val="22"/>
                <w:color w:val="auto"/>
              </w:rPr>
            </w:pPr>
          </w:p>
        </w:tc>
        <w:tc>
          <w:tcPr>
            <w:tcW w:w="3600" w:type="dxa"/>
            <w:vAlign w:val="bottom"/>
            <w:gridSpan w:val="3"/>
            <w:shd w:val="clear" w:color="auto" w:fill="CCEBF8"/>
          </w:tcPr>
          <w:p>
            <w:pPr>
              <w:jc w:val="right"/>
              <w:ind w:right="480"/>
              <w:spacing w:after="0"/>
              <w:rPr>
                <w:sz w:val="20"/>
                <w:szCs w:val="20"/>
                <w:color w:val="auto"/>
              </w:rPr>
            </w:pPr>
            <w:r>
              <w:rPr>
                <w:rFonts w:ascii="Arial" w:cs="Arial" w:eastAsia="Arial" w:hAnsi="Arial"/>
                <w:sz w:val="16"/>
                <w:szCs w:val="16"/>
                <w:b w:val="1"/>
                <w:bCs w:val="1"/>
                <w:color w:val="009BDE"/>
              </w:rPr>
              <w:t>Year Ended December 31, 2023</w:t>
            </w:r>
          </w:p>
        </w:tc>
        <w:tc>
          <w:tcPr>
            <w:tcW w:w="1060" w:type="dxa"/>
            <w:vAlign w:val="bottom"/>
            <w:shd w:val="clear" w:color="auto" w:fill="CCEBF8"/>
          </w:tcPr>
          <w:p>
            <w:pPr>
              <w:spacing w:after="0"/>
              <w:rPr>
                <w:sz w:val="22"/>
                <w:szCs w:val="22"/>
                <w:color w:val="auto"/>
              </w:rPr>
            </w:pPr>
          </w:p>
        </w:tc>
        <w:tc>
          <w:tcPr>
            <w:tcW w:w="1300" w:type="dxa"/>
            <w:vAlign w:val="bottom"/>
            <w:shd w:val="clear" w:color="auto" w:fill="CCEBF8"/>
          </w:tcPr>
          <w:p>
            <w:pPr>
              <w:spacing w:after="0"/>
              <w:rPr>
                <w:sz w:val="22"/>
                <w:szCs w:val="22"/>
                <w:color w:val="auto"/>
              </w:rPr>
            </w:pPr>
          </w:p>
        </w:tc>
        <w:tc>
          <w:tcPr>
            <w:tcW w:w="920" w:type="dxa"/>
            <w:vAlign w:val="bottom"/>
            <w:shd w:val="clear" w:color="auto" w:fill="CCEBF8"/>
          </w:tcPr>
          <w:p>
            <w:pPr>
              <w:spacing w:after="0"/>
              <w:rPr>
                <w:sz w:val="22"/>
                <w:szCs w:val="22"/>
                <w:color w:val="auto"/>
              </w:rPr>
            </w:pPr>
          </w:p>
        </w:tc>
      </w:tr>
      <w:tr>
        <w:trPr>
          <w:trHeight w:val="247"/>
        </w:trPr>
        <w:tc>
          <w:tcPr>
            <w:tcW w:w="4040" w:type="dxa"/>
            <w:vAlign w:val="bottom"/>
            <w:shd w:val="clear" w:color="auto" w:fill="CCEBF8"/>
          </w:tcPr>
          <w:p>
            <w:pPr>
              <w:spacing w:after="0"/>
              <w:rPr>
                <w:sz w:val="21"/>
                <w:szCs w:val="21"/>
                <w:color w:val="auto"/>
              </w:rPr>
            </w:pPr>
          </w:p>
        </w:tc>
        <w:tc>
          <w:tcPr>
            <w:tcW w:w="12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7"/>
              </w:rPr>
              <w:t>As</w:t>
            </w:r>
          </w:p>
        </w:tc>
        <w:tc>
          <w:tcPr>
            <w:tcW w:w="13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Non-GAAP</w:t>
            </w:r>
          </w:p>
        </w:tc>
        <w:tc>
          <w:tcPr>
            <w:tcW w:w="1060" w:type="dxa"/>
            <w:vAlign w:val="bottom"/>
            <w:shd w:val="clear" w:color="auto" w:fill="CCEBF8"/>
          </w:tcPr>
          <w:p>
            <w:pPr>
              <w:spacing w:after="0"/>
              <w:rPr>
                <w:sz w:val="21"/>
                <w:szCs w:val="21"/>
                <w:color w:val="auto"/>
              </w:rPr>
            </w:pPr>
          </w:p>
        </w:tc>
        <w:tc>
          <w:tcPr>
            <w:tcW w:w="1060" w:type="dxa"/>
            <w:vAlign w:val="bottom"/>
            <w:shd w:val="clear" w:color="auto" w:fill="CCEBF8"/>
          </w:tcPr>
          <w:p>
            <w:pPr>
              <w:spacing w:after="0"/>
              <w:rPr>
                <w:sz w:val="21"/>
                <w:szCs w:val="21"/>
                <w:color w:val="auto"/>
              </w:rPr>
            </w:pPr>
          </w:p>
        </w:tc>
        <w:tc>
          <w:tcPr>
            <w:tcW w:w="1300" w:type="dxa"/>
            <w:vAlign w:val="bottom"/>
            <w:shd w:val="clear" w:color="auto" w:fill="CCEBF8"/>
          </w:tcPr>
          <w:p>
            <w:pPr>
              <w:spacing w:after="0"/>
              <w:rPr>
                <w:sz w:val="21"/>
                <w:szCs w:val="21"/>
                <w:color w:val="auto"/>
              </w:rPr>
            </w:pPr>
          </w:p>
        </w:tc>
        <w:tc>
          <w:tcPr>
            <w:tcW w:w="920" w:type="dxa"/>
            <w:vAlign w:val="bottom"/>
            <w:shd w:val="clear" w:color="auto" w:fill="CCEBF8"/>
          </w:tcPr>
          <w:p>
            <w:pPr>
              <w:spacing w:after="0"/>
              <w:rPr>
                <w:sz w:val="21"/>
                <w:szCs w:val="21"/>
                <w:color w:val="auto"/>
              </w:rPr>
            </w:pPr>
          </w:p>
        </w:tc>
      </w:tr>
      <w:tr>
        <w:trPr>
          <w:trHeight w:val="235"/>
        </w:trPr>
        <w:tc>
          <w:tcPr>
            <w:tcW w:w="4040" w:type="dxa"/>
            <w:vAlign w:val="bottom"/>
            <w:shd w:val="clear" w:color="auto" w:fill="CCEBF8"/>
          </w:tcPr>
          <w:p>
            <w:pPr>
              <w:spacing w:after="0"/>
              <w:rPr>
                <w:sz w:val="20"/>
                <w:szCs w:val="20"/>
                <w:color w:val="auto"/>
              </w:rPr>
            </w:pPr>
          </w:p>
        </w:tc>
        <w:tc>
          <w:tcPr>
            <w:tcW w:w="12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Reported</w:t>
            </w:r>
          </w:p>
        </w:tc>
        <w:tc>
          <w:tcPr>
            <w:tcW w:w="13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Adjustments</w:t>
            </w:r>
          </w:p>
        </w:tc>
        <w:tc>
          <w:tcPr>
            <w:tcW w:w="1060" w:type="dxa"/>
            <w:vAlign w:val="bottom"/>
            <w:shd w:val="clear" w:color="auto" w:fill="CCEBF8"/>
          </w:tcPr>
          <w:p>
            <w:pPr>
              <w:jc w:val="right"/>
              <w:ind w:right="100"/>
              <w:spacing w:after="0"/>
              <w:rPr>
                <w:sz w:val="20"/>
                <w:szCs w:val="20"/>
                <w:color w:val="auto"/>
              </w:rPr>
            </w:pPr>
            <w:r>
              <w:rPr>
                <w:rFonts w:ascii="Arial" w:cs="Arial" w:eastAsia="Arial" w:hAnsi="Arial"/>
                <w:sz w:val="16"/>
                <w:szCs w:val="16"/>
                <w:b w:val="1"/>
                <w:bCs w:val="1"/>
                <w:color w:val="009BDE"/>
              </w:rPr>
              <w:t>Adjusted</w:t>
            </w:r>
          </w:p>
        </w:tc>
        <w:tc>
          <w:tcPr>
            <w:tcW w:w="1060" w:type="dxa"/>
            <w:vAlign w:val="bottom"/>
            <w:shd w:val="clear" w:color="auto" w:fill="CCEBF8"/>
          </w:tcPr>
          <w:p>
            <w:pPr>
              <w:spacing w:after="0"/>
              <w:rPr>
                <w:sz w:val="20"/>
                <w:szCs w:val="20"/>
                <w:color w:val="auto"/>
              </w:rPr>
            </w:pPr>
          </w:p>
        </w:tc>
        <w:tc>
          <w:tcPr>
            <w:tcW w:w="1300" w:type="dxa"/>
            <w:vAlign w:val="bottom"/>
            <w:shd w:val="clear" w:color="auto" w:fill="CCEBF8"/>
          </w:tcPr>
          <w:p>
            <w:pPr>
              <w:spacing w:after="0"/>
              <w:rPr>
                <w:sz w:val="20"/>
                <w:szCs w:val="20"/>
                <w:color w:val="auto"/>
              </w:rPr>
            </w:pPr>
          </w:p>
        </w:tc>
        <w:tc>
          <w:tcPr>
            <w:tcW w:w="920" w:type="dxa"/>
            <w:vAlign w:val="bottom"/>
            <w:shd w:val="clear" w:color="auto" w:fill="CCEBF8"/>
          </w:tcPr>
          <w:p>
            <w:pPr>
              <w:spacing w:after="0"/>
              <w:rPr>
                <w:sz w:val="20"/>
                <w:szCs w:val="20"/>
                <w:color w:val="auto"/>
              </w:rPr>
            </w:pPr>
          </w:p>
        </w:tc>
      </w:tr>
      <w:tr>
        <w:trPr>
          <w:trHeight w:val="114"/>
        </w:trPr>
        <w:tc>
          <w:tcPr>
            <w:tcW w:w="4040" w:type="dxa"/>
            <w:vAlign w:val="bottom"/>
            <w:tcBorders>
              <w:bottom w:val="single" w:sz="8" w:color="009BDE"/>
            </w:tcBorders>
            <w:shd w:val="clear" w:color="auto" w:fill="CCEBF8"/>
          </w:tcPr>
          <w:p>
            <w:pPr>
              <w:spacing w:after="0"/>
              <w:rPr>
                <w:sz w:val="9"/>
                <w:szCs w:val="9"/>
                <w:color w:val="auto"/>
              </w:rPr>
            </w:pPr>
          </w:p>
        </w:tc>
        <w:tc>
          <w:tcPr>
            <w:tcW w:w="1220" w:type="dxa"/>
            <w:vAlign w:val="bottom"/>
            <w:tcBorders>
              <w:bottom w:val="single" w:sz="8" w:color="009BDE"/>
            </w:tcBorders>
            <w:shd w:val="clear" w:color="auto" w:fill="CCEBF8"/>
          </w:tcPr>
          <w:p>
            <w:pPr>
              <w:spacing w:after="0"/>
              <w:rPr>
                <w:sz w:val="9"/>
                <w:szCs w:val="9"/>
                <w:color w:val="auto"/>
              </w:rPr>
            </w:pPr>
          </w:p>
        </w:tc>
        <w:tc>
          <w:tcPr>
            <w:tcW w:w="1320" w:type="dxa"/>
            <w:vAlign w:val="bottom"/>
            <w:tcBorders>
              <w:bottom w:val="single" w:sz="8" w:color="009BDE"/>
            </w:tcBorders>
            <w:shd w:val="clear" w:color="auto" w:fill="CCEBF8"/>
          </w:tcPr>
          <w:p>
            <w:pPr>
              <w:spacing w:after="0"/>
              <w:rPr>
                <w:sz w:val="9"/>
                <w:szCs w:val="9"/>
                <w:color w:val="auto"/>
              </w:rPr>
            </w:pPr>
          </w:p>
        </w:tc>
        <w:tc>
          <w:tcPr>
            <w:tcW w:w="1060" w:type="dxa"/>
            <w:vAlign w:val="bottom"/>
            <w:tcBorders>
              <w:bottom w:val="single" w:sz="8" w:color="009BDE"/>
            </w:tcBorders>
            <w:shd w:val="clear" w:color="auto" w:fill="CCEBF8"/>
          </w:tcPr>
          <w:p>
            <w:pPr>
              <w:spacing w:after="0"/>
              <w:rPr>
                <w:sz w:val="9"/>
                <w:szCs w:val="9"/>
                <w:color w:val="auto"/>
              </w:rPr>
            </w:pPr>
          </w:p>
        </w:tc>
        <w:tc>
          <w:tcPr>
            <w:tcW w:w="1060" w:type="dxa"/>
            <w:vAlign w:val="bottom"/>
            <w:tcBorders>
              <w:bottom w:val="single" w:sz="8" w:color="009BDE"/>
            </w:tcBorders>
            <w:shd w:val="clear" w:color="auto" w:fill="CCEBF8"/>
          </w:tcPr>
          <w:p>
            <w:pPr>
              <w:spacing w:after="0"/>
              <w:rPr>
                <w:sz w:val="9"/>
                <w:szCs w:val="9"/>
                <w:color w:val="auto"/>
              </w:rPr>
            </w:pPr>
          </w:p>
        </w:tc>
        <w:tc>
          <w:tcPr>
            <w:tcW w:w="1300" w:type="dxa"/>
            <w:vAlign w:val="bottom"/>
            <w:tcBorders>
              <w:bottom w:val="single" w:sz="8" w:color="009BDE"/>
            </w:tcBorders>
            <w:shd w:val="clear" w:color="auto" w:fill="CCEBF8"/>
          </w:tcPr>
          <w:p>
            <w:pPr>
              <w:spacing w:after="0"/>
              <w:rPr>
                <w:sz w:val="9"/>
                <w:szCs w:val="9"/>
                <w:color w:val="auto"/>
              </w:rPr>
            </w:pPr>
          </w:p>
        </w:tc>
        <w:tc>
          <w:tcPr>
            <w:tcW w:w="920" w:type="dxa"/>
            <w:vAlign w:val="bottom"/>
            <w:tcBorders>
              <w:bottom w:val="single" w:sz="8" w:color="009BDE"/>
            </w:tcBorders>
            <w:shd w:val="clear" w:color="auto" w:fill="CCEBF8"/>
          </w:tcPr>
          <w:p>
            <w:pPr>
              <w:spacing w:after="0"/>
              <w:rPr>
                <w:sz w:val="9"/>
                <w:szCs w:val="9"/>
                <w:color w:val="auto"/>
              </w:rPr>
            </w:pPr>
          </w:p>
        </w:tc>
      </w:tr>
      <w:tr>
        <w:trPr>
          <w:trHeight w:val="215"/>
        </w:trPr>
        <w:tc>
          <w:tcPr>
            <w:tcW w:w="4040" w:type="dxa"/>
            <w:vAlign w:val="bottom"/>
          </w:tcPr>
          <w:p>
            <w:pPr>
              <w:ind w:left="80"/>
              <w:spacing w:after="0"/>
              <w:rPr>
                <w:sz w:val="20"/>
                <w:szCs w:val="20"/>
                <w:color w:val="auto"/>
              </w:rPr>
            </w:pPr>
            <w:r>
              <w:rPr>
                <w:rFonts w:ascii="Arial" w:cs="Arial" w:eastAsia="Arial" w:hAnsi="Arial"/>
                <w:sz w:val="16"/>
                <w:szCs w:val="16"/>
                <w:b w:val="1"/>
                <w:bCs w:val="1"/>
                <w:color w:val="auto"/>
              </w:rPr>
              <w:t>Adjusted Company Results</w:t>
            </w: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70"/>
        </w:trPr>
        <w:tc>
          <w:tcPr>
            <w:tcW w:w="4040" w:type="dxa"/>
            <w:vAlign w:val="bottom"/>
          </w:tcPr>
          <w:p>
            <w:pPr>
              <w:ind w:left="80"/>
              <w:spacing w:after="0"/>
              <w:rPr>
                <w:sz w:val="20"/>
                <w:szCs w:val="20"/>
                <w:color w:val="auto"/>
              </w:rPr>
            </w:pPr>
            <w:r>
              <w:rPr>
                <w:rFonts w:ascii="Arial" w:cs="Arial" w:eastAsia="Arial" w:hAnsi="Arial"/>
                <w:sz w:val="16"/>
                <w:szCs w:val="16"/>
                <w:color w:val="auto"/>
              </w:rPr>
              <w:t>External Net Revenues</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$ 5,003.3</w:t>
            </w: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$ 5,003.3</w:t>
            </w:r>
          </w:p>
        </w:tc>
        <w:tc>
          <w:tcPr>
            <w:tcW w:w="10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97"/>
        </w:trPr>
        <w:tc>
          <w:tcPr>
            <w:tcW w:w="404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r>
      <w:tr>
        <w:trPr>
          <w:trHeight w:val="284"/>
        </w:trPr>
        <w:tc>
          <w:tcPr>
            <w:tcW w:w="4040" w:type="dxa"/>
            <w:vAlign w:val="bottom"/>
          </w:tcPr>
          <w:p>
            <w:pPr>
              <w:ind w:left="80"/>
              <w:spacing w:after="0"/>
              <w:rPr>
                <w:sz w:val="20"/>
                <w:szCs w:val="20"/>
                <w:color w:val="auto"/>
              </w:rPr>
            </w:pPr>
            <w:r>
              <w:rPr>
                <w:rFonts w:ascii="Arial" w:cs="Arial" w:eastAsia="Arial" w:hAnsi="Arial"/>
                <w:sz w:val="16"/>
                <w:szCs w:val="16"/>
                <w:color w:val="auto"/>
              </w:rPr>
              <w:t>Operating Profit (Loss)</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(1,538.8)</w:t>
            </w: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2,015.3</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476.5</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7"/>
        </w:trPr>
        <w:tc>
          <w:tcPr>
            <w:tcW w:w="404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r>
      <w:tr>
        <w:trPr>
          <w:trHeight w:val="284"/>
        </w:trPr>
        <w:tc>
          <w:tcPr>
            <w:tcW w:w="4040" w:type="dxa"/>
            <w:vAlign w:val="bottom"/>
          </w:tcPr>
          <w:p>
            <w:pPr>
              <w:ind w:left="80"/>
              <w:spacing w:after="0"/>
              <w:rPr>
                <w:sz w:val="20"/>
                <w:szCs w:val="20"/>
                <w:color w:val="auto"/>
              </w:rPr>
            </w:pPr>
            <w:r>
              <w:rPr>
                <w:rFonts w:ascii="Arial" w:cs="Arial" w:eastAsia="Arial" w:hAnsi="Arial"/>
                <w:sz w:val="16"/>
                <w:szCs w:val="16"/>
                <w:color w:val="auto"/>
              </w:rPr>
              <w:t>Operating Margin</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-30.8%</w:t>
            </w: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40.3%</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9.5%</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7"/>
        </w:trPr>
        <w:tc>
          <w:tcPr>
            <w:tcW w:w="404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246380</wp:posOffset>
            </wp:positionV>
            <wp:extent cx="6964045" cy="39052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CFCFC"/>
        </w:rPr>
        <w:t>    A-2</w:t>
      </w:r>
    </w:p>
    <w:p>
      <w:pPr>
        <w:sectPr>
          <w:pgSz w:w="11900" w:h="16838" w:orient="portrait"/>
          <w:cols w:equalWidth="0" w:num="1">
            <w:col w:w="11080"/>
          </w:cols>
          <w:pgMar w:left="320" w:top="478"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2"/>
          <w:szCs w:val="32"/>
          <w:color w:val="0060ED"/>
        </w:rPr>
        <w:t>Reconciliation of Net Earnings and Earnings Per Share</w:t>
      </w:r>
      <w:r>
        <w:rPr>
          <w:rFonts w:ascii="Arial" w:cs="Arial" w:eastAsia="Arial" w:hAnsi="Arial"/>
          <w:sz w:val="48"/>
          <w:szCs w:val="48"/>
          <w:color w:val="0060ED"/>
          <w:vertAlign w:val="superscript"/>
        </w:rPr>
        <w:t>(1)</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(Unaudited)</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(Millions of Dollars)</w:t>
      </w: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20"/>
        </w:trPr>
        <w:tc>
          <w:tcPr>
            <w:tcW w:w="2820" w:type="dxa"/>
            <w:vAlign w:val="bottom"/>
            <w:shd w:val="clear" w:color="auto" w:fill="CCEBF8"/>
          </w:tcPr>
          <w:p>
            <w:pPr>
              <w:spacing w:after="0"/>
              <w:rPr>
                <w:sz w:val="19"/>
                <w:szCs w:val="19"/>
                <w:color w:val="auto"/>
              </w:rPr>
            </w:pPr>
          </w:p>
        </w:tc>
        <w:tc>
          <w:tcPr>
            <w:tcW w:w="500" w:type="dxa"/>
            <w:vAlign w:val="bottom"/>
            <w:shd w:val="clear" w:color="auto" w:fill="CCEBF8"/>
          </w:tcPr>
          <w:p>
            <w:pPr>
              <w:spacing w:after="0"/>
              <w:rPr>
                <w:sz w:val="19"/>
                <w:szCs w:val="19"/>
                <w:color w:val="auto"/>
              </w:rPr>
            </w:pPr>
          </w:p>
        </w:tc>
        <w:tc>
          <w:tcPr>
            <w:tcW w:w="880" w:type="dxa"/>
            <w:vAlign w:val="bottom"/>
            <w:shd w:val="clear" w:color="auto" w:fill="CCEBF8"/>
          </w:tcPr>
          <w:p>
            <w:pPr>
              <w:spacing w:after="0"/>
              <w:rPr>
                <w:sz w:val="19"/>
                <w:szCs w:val="19"/>
                <w:color w:val="auto"/>
              </w:rPr>
            </w:pPr>
          </w:p>
        </w:tc>
        <w:tc>
          <w:tcPr>
            <w:tcW w:w="360" w:type="dxa"/>
            <w:vAlign w:val="bottom"/>
            <w:shd w:val="clear" w:color="auto" w:fill="CCEBF8"/>
          </w:tcPr>
          <w:p>
            <w:pPr>
              <w:spacing w:after="0"/>
              <w:rPr>
                <w:sz w:val="19"/>
                <w:szCs w:val="19"/>
                <w:color w:val="auto"/>
              </w:rPr>
            </w:pPr>
          </w:p>
        </w:tc>
        <w:tc>
          <w:tcPr>
            <w:tcW w:w="1100" w:type="dxa"/>
            <w:vAlign w:val="bottom"/>
            <w:shd w:val="clear" w:color="auto" w:fill="CCEBF8"/>
          </w:tcPr>
          <w:p>
            <w:pPr>
              <w:spacing w:after="0"/>
              <w:rPr>
                <w:sz w:val="19"/>
                <w:szCs w:val="19"/>
                <w:color w:val="auto"/>
              </w:rPr>
            </w:pPr>
          </w:p>
        </w:tc>
        <w:tc>
          <w:tcPr>
            <w:tcW w:w="380" w:type="dxa"/>
            <w:vAlign w:val="bottom"/>
            <w:shd w:val="clear" w:color="auto" w:fill="CCEBF8"/>
          </w:tcPr>
          <w:p>
            <w:pPr>
              <w:spacing w:after="0"/>
              <w:rPr>
                <w:sz w:val="19"/>
                <w:szCs w:val="19"/>
                <w:color w:val="auto"/>
              </w:rPr>
            </w:pPr>
          </w:p>
        </w:tc>
        <w:tc>
          <w:tcPr>
            <w:tcW w:w="1280" w:type="dxa"/>
            <w:vAlign w:val="bottom"/>
            <w:gridSpan w:val="2"/>
            <w:shd w:val="clear" w:color="auto" w:fill="CCEBF8"/>
          </w:tcPr>
          <w:p>
            <w:pPr>
              <w:ind w:left="600"/>
              <w:spacing w:after="0"/>
              <w:rPr>
                <w:sz w:val="20"/>
                <w:szCs w:val="20"/>
                <w:color w:val="auto"/>
              </w:rPr>
            </w:pPr>
            <w:r>
              <w:rPr>
                <w:rFonts w:ascii="Arial" w:cs="Arial" w:eastAsia="Arial" w:hAnsi="Arial"/>
                <w:sz w:val="12"/>
                <w:szCs w:val="12"/>
                <w:b w:val="1"/>
                <w:bCs w:val="1"/>
                <w:color w:val="009BDE"/>
                <w:w w:val="99"/>
              </w:rPr>
              <w:t>Year Ended</w:t>
            </w:r>
          </w:p>
        </w:tc>
        <w:tc>
          <w:tcPr>
            <w:tcW w:w="960" w:type="dxa"/>
            <w:vAlign w:val="bottom"/>
            <w:shd w:val="clear" w:color="auto" w:fill="CCEBF8"/>
          </w:tcPr>
          <w:p>
            <w:pPr>
              <w:spacing w:after="0"/>
              <w:rPr>
                <w:sz w:val="19"/>
                <w:szCs w:val="19"/>
                <w:color w:val="auto"/>
              </w:rPr>
            </w:pPr>
          </w:p>
        </w:tc>
        <w:tc>
          <w:tcPr>
            <w:tcW w:w="340" w:type="dxa"/>
            <w:vAlign w:val="bottom"/>
            <w:shd w:val="clear" w:color="auto" w:fill="CCEBF8"/>
          </w:tcPr>
          <w:p>
            <w:pPr>
              <w:spacing w:after="0"/>
              <w:rPr>
                <w:sz w:val="19"/>
                <w:szCs w:val="19"/>
                <w:color w:val="auto"/>
              </w:rPr>
            </w:pPr>
          </w:p>
        </w:tc>
        <w:tc>
          <w:tcPr>
            <w:tcW w:w="900" w:type="dxa"/>
            <w:vAlign w:val="bottom"/>
            <w:shd w:val="clear" w:color="auto" w:fill="CCEBF8"/>
          </w:tcPr>
          <w:p>
            <w:pPr>
              <w:spacing w:after="0"/>
              <w:rPr>
                <w:sz w:val="19"/>
                <w:szCs w:val="19"/>
                <w:color w:val="auto"/>
              </w:rPr>
            </w:pPr>
          </w:p>
        </w:tc>
        <w:tc>
          <w:tcPr>
            <w:tcW w:w="380" w:type="dxa"/>
            <w:vAlign w:val="bottom"/>
            <w:shd w:val="clear" w:color="auto" w:fill="CCEBF8"/>
          </w:tcPr>
          <w:p>
            <w:pPr>
              <w:spacing w:after="0"/>
              <w:rPr>
                <w:sz w:val="19"/>
                <w:szCs w:val="19"/>
                <w:color w:val="auto"/>
              </w:rPr>
            </w:pPr>
          </w:p>
        </w:tc>
        <w:tc>
          <w:tcPr>
            <w:tcW w:w="1020" w:type="dxa"/>
            <w:vAlign w:val="bottom"/>
            <w:shd w:val="clear" w:color="auto" w:fill="CCEBF8"/>
          </w:tcPr>
          <w:p>
            <w:pPr>
              <w:spacing w:after="0"/>
              <w:rPr>
                <w:sz w:val="19"/>
                <w:szCs w:val="19"/>
                <w:color w:val="auto"/>
              </w:rPr>
            </w:pPr>
          </w:p>
        </w:tc>
      </w:tr>
      <w:tr>
        <w:trPr>
          <w:trHeight w:val="190"/>
        </w:trPr>
        <w:tc>
          <w:tcPr>
            <w:tcW w:w="2820" w:type="dxa"/>
            <w:vAlign w:val="bottom"/>
            <w:shd w:val="clear" w:color="auto" w:fill="CCEBF8"/>
          </w:tcPr>
          <w:p>
            <w:pPr>
              <w:spacing w:after="0"/>
              <w:rPr>
                <w:sz w:val="16"/>
                <w:szCs w:val="16"/>
                <w:color w:val="auto"/>
              </w:rPr>
            </w:pPr>
          </w:p>
        </w:tc>
        <w:tc>
          <w:tcPr>
            <w:tcW w:w="1380" w:type="dxa"/>
            <w:vAlign w:val="bottom"/>
            <w:gridSpan w:val="2"/>
            <w:shd w:val="clear" w:color="auto" w:fill="CCEBF8"/>
          </w:tcPr>
          <w:p>
            <w:pPr>
              <w:ind w:left="320"/>
              <w:spacing w:after="0"/>
              <w:rPr>
                <w:sz w:val="20"/>
                <w:szCs w:val="20"/>
                <w:color w:val="auto"/>
              </w:rPr>
            </w:pPr>
            <w:r>
              <w:rPr>
                <w:rFonts w:ascii="Arial" w:cs="Arial" w:eastAsia="Arial" w:hAnsi="Arial"/>
                <w:sz w:val="12"/>
                <w:szCs w:val="12"/>
                <w:b w:val="1"/>
                <w:bCs w:val="1"/>
                <w:color w:val="009BDE"/>
              </w:rPr>
              <w:t>December 28,</w:t>
            </w:r>
          </w:p>
        </w:tc>
        <w:tc>
          <w:tcPr>
            <w:tcW w:w="1460" w:type="dxa"/>
            <w:vAlign w:val="bottom"/>
            <w:gridSpan w:val="2"/>
            <w:shd w:val="clear" w:color="auto" w:fill="CCEBF8"/>
          </w:tcPr>
          <w:p>
            <w:pPr>
              <w:ind w:left="180"/>
              <w:spacing w:after="0"/>
              <w:rPr>
                <w:sz w:val="20"/>
                <w:szCs w:val="20"/>
                <w:color w:val="auto"/>
              </w:rPr>
            </w:pPr>
            <w:r>
              <w:rPr>
                <w:rFonts w:ascii="Arial" w:cs="Arial" w:eastAsia="Arial" w:hAnsi="Arial"/>
                <w:sz w:val="12"/>
                <w:szCs w:val="12"/>
                <w:b w:val="1"/>
                <w:bCs w:val="1"/>
                <w:color w:val="009BDE"/>
              </w:rPr>
              <w:t>Diluted Per Share</w:t>
            </w:r>
          </w:p>
        </w:tc>
        <w:tc>
          <w:tcPr>
            <w:tcW w:w="1200" w:type="dxa"/>
            <w:vAlign w:val="bottom"/>
            <w:gridSpan w:val="2"/>
            <w:shd w:val="clear" w:color="auto" w:fill="CCEBF8"/>
          </w:tcPr>
          <w:p>
            <w:pPr>
              <w:ind w:left="200"/>
              <w:spacing w:after="0"/>
              <w:rPr>
                <w:sz w:val="20"/>
                <w:szCs w:val="20"/>
                <w:color w:val="auto"/>
              </w:rPr>
            </w:pPr>
            <w:r>
              <w:rPr>
                <w:rFonts w:ascii="Arial" w:cs="Arial" w:eastAsia="Arial" w:hAnsi="Arial"/>
                <w:sz w:val="12"/>
                <w:szCs w:val="12"/>
                <w:b w:val="1"/>
                <w:bCs w:val="1"/>
                <w:color w:val="009BDE"/>
              </w:rPr>
              <w:t>December 29,</w:t>
            </w:r>
          </w:p>
        </w:tc>
        <w:tc>
          <w:tcPr>
            <w:tcW w:w="1420" w:type="dxa"/>
            <w:vAlign w:val="bottom"/>
            <w:gridSpan w:val="2"/>
            <w:shd w:val="clear" w:color="auto" w:fill="CCEBF8"/>
          </w:tcPr>
          <w:p>
            <w:pPr>
              <w:ind w:left="180"/>
              <w:spacing w:after="0"/>
              <w:rPr>
                <w:sz w:val="20"/>
                <w:szCs w:val="20"/>
                <w:color w:val="auto"/>
              </w:rPr>
            </w:pPr>
            <w:r>
              <w:rPr>
                <w:rFonts w:ascii="Arial" w:cs="Arial" w:eastAsia="Arial" w:hAnsi="Arial"/>
                <w:sz w:val="12"/>
                <w:szCs w:val="12"/>
                <w:b w:val="1"/>
                <w:bCs w:val="1"/>
                <w:color w:val="009BDE"/>
              </w:rPr>
              <w:t>Diluted Per Share</w:t>
            </w:r>
          </w:p>
        </w:tc>
        <w:tc>
          <w:tcPr>
            <w:tcW w:w="1240" w:type="dxa"/>
            <w:vAlign w:val="bottom"/>
            <w:gridSpan w:val="2"/>
            <w:shd w:val="clear" w:color="auto" w:fill="CCEBF8"/>
          </w:tcPr>
          <w:p>
            <w:pPr>
              <w:ind w:left="180"/>
              <w:spacing w:after="0"/>
              <w:rPr>
                <w:sz w:val="20"/>
                <w:szCs w:val="20"/>
                <w:color w:val="auto"/>
              </w:rPr>
            </w:pPr>
            <w:r>
              <w:rPr>
                <w:rFonts w:ascii="Arial" w:cs="Arial" w:eastAsia="Arial" w:hAnsi="Arial"/>
                <w:sz w:val="12"/>
                <w:szCs w:val="12"/>
                <w:b w:val="1"/>
                <w:bCs w:val="1"/>
                <w:color w:val="009BDE"/>
              </w:rPr>
              <w:t>December 31,</w:t>
            </w:r>
          </w:p>
        </w:tc>
        <w:tc>
          <w:tcPr>
            <w:tcW w:w="1400" w:type="dxa"/>
            <w:vAlign w:val="bottom"/>
            <w:gridSpan w:val="2"/>
            <w:shd w:val="clear" w:color="auto" w:fill="CCEBF8"/>
          </w:tcPr>
          <w:p>
            <w:pPr>
              <w:ind w:left="180"/>
              <w:spacing w:after="0"/>
              <w:rPr>
                <w:sz w:val="20"/>
                <w:szCs w:val="20"/>
                <w:color w:val="auto"/>
              </w:rPr>
            </w:pPr>
            <w:r>
              <w:rPr>
                <w:rFonts w:ascii="Arial" w:cs="Arial" w:eastAsia="Arial" w:hAnsi="Arial"/>
                <w:sz w:val="12"/>
                <w:szCs w:val="12"/>
                <w:b w:val="1"/>
                <w:bCs w:val="1"/>
                <w:color w:val="009BDE"/>
              </w:rPr>
              <w:t>Diluted Per Share</w:t>
            </w:r>
          </w:p>
        </w:tc>
      </w:tr>
      <w:tr>
        <w:trPr>
          <w:trHeight w:val="178"/>
        </w:trPr>
        <w:tc>
          <w:tcPr>
            <w:tcW w:w="2820" w:type="dxa"/>
            <w:vAlign w:val="bottom"/>
            <w:shd w:val="clear" w:color="auto" w:fill="CCEBF8"/>
          </w:tcPr>
          <w:p>
            <w:pPr>
              <w:spacing w:after="0"/>
              <w:rPr>
                <w:sz w:val="20"/>
                <w:szCs w:val="20"/>
                <w:color w:val="auto"/>
              </w:rPr>
            </w:pPr>
            <w:r>
              <w:rPr>
                <w:rFonts w:ascii="Arial" w:cs="Arial" w:eastAsia="Arial" w:hAnsi="Arial"/>
                <w:sz w:val="12"/>
                <w:szCs w:val="12"/>
                <w:i w:val="1"/>
                <w:iCs w:val="1"/>
                <w:color w:val="009BDE"/>
              </w:rPr>
              <w:t>  (all adjustments reported after-tax)</w:t>
            </w:r>
          </w:p>
        </w:tc>
        <w:tc>
          <w:tcPr>
            <w:tcW w:w="500" w:type="dxa"/>
            <w:vAlign w:val="bottom"/>
            <w:shd w:val="clear" w:color="auto" w:fill="CCEBF8"/>
          </w:tcPr>
          <w:p>
            <w:pPr>
              <w:spacing w:after="0"/>
              <w:rPr>
                <w:sz w:val="15"/>
                <w:szCs w:val="15"/>
                <w:color w:val="auto"/>
              </w:rPr>
            </w:pPr>
          </w:p>
        </w:tc>
        <w:tc>
          <w:tcPr>
            <w:tcW w:w="880" w:type="dxa"/>
            <w:vAlign w:val="bottom"/>
            <w:shd w:val="clear" w:color="auto" w:fill="CCEBF8"/>
          </w:tcPr>
          <w:p>
            <w:pPr>
              <w:jc w:val="right"/>
              <w:ind w:right="441"/>
              <w:spacing w:after="0"/>
              <w:rPr>
                <w:sz w:val="20"/>
                <w:szCs w:val="20"/>
                <w:color w:val="auto"/>
              </w:rPr>
            </w:pPr>
            <w:r>
              <w:rPr>
                <w:rFonts w:ascii="Arial" w:cs="Arial" w:eastAsia="Arial" w:hAnsi="Arial"/>
                <w:sz w:val="12"/>
                <w:szCs w:val="12"/>
                <w:b w:val="1"/>
                <w:bCs w:val="1"/>
                <w:color w:val="009BDE"/>
              </w:rPr>
              <w:t>2025</w:t>
            </w:r>
          </w:p>
        </w:tc>
        <w:tc>
          <w:tcPr>
            <w:tcW w:w="360" w:type="dxa"/>
            <w:vAlign w:val="bottom"/>
            <w:shd w:val="clear" w:color="auto" w:fill="CCEBF8"/>
          </w:tcPr>
          <w:p>
            <w:pPr>
              <w:spacing w:after="0"/>
              <w:rPr>
                <w:sz w:val="15"/>
                <w:szCs w:val="15"/>
                <w:color w:val="auto"/>
              </w:rPr>
            </w:pPr>
          </w:p>
        </w:tc>
        <w:tc>
          <w:tcPr>
            <w:tcW w:w="1100" w:type="dxa"/>
            <w:vAlign w:val="bottom"/>
            <w:shd w:val="clear" w:color="auto" w:fill="CCEBF8"/>
          </w:tcPr>
          <w:p>
            <w:pPr>
              <w:jc w:val="right"/>
              <w:ind w:right="441"/>
              <w:spacing w:after="0"/>
              <w:rPr>
                <w:sz w:val="20"/>
                <w:szCs w:val="20"/>
                <w:color w:val="auto"/>
              </w:rPr>
            </w:pPr>
            <w:r>
              <w:rPr>
                <w:rFonts w:ascii="Arial" w:cs="Arial" w:eastAsia="Arial" w:hAnsi="Arial"/>
                <w:sz w:val="12"/>
                <w:szCs w:val="12"/>
                <w:b w:val="1"/>
                <w:bCs w:val="1"/>
                <w:color w:val="009BDE"/>
              </w:rPr>
              <w:t>Amount</w:t>
            </w:r>
          </w:p>
        </w:tc>
        <w:tc>
          <w:tcPr>
            <w:tcW w:w="380" w:type="dxa"/>
            <w:vAlign w:val="bottom"/>
            <w:shd w:val="clear" w:color="auto" w:fill="CCEBF8"/>
          </w:tcPr>
          <w:p>
            <w:pPr>
              <w:spacing w:after="0"/>
              <w:rPr>
                <w:sz w:val="15"/>
                <w:szCs w:val="15"/>
                <w:color w:val="auto"/>
              </w:rPr>
            </w:pPr>
          </w:p>
        </w:tc>
        <w:tc>
          <w:tcPr>
            <w:tcW w:w="820" w:type="dxa"/>
            <w:vAlign w:val="bottom"/>
            <w:shd w:val="clear" w:color="auto" w:fill="CCEBF8"/>
          </w:tcPr>
          <w:p>
            <w:pPr>
              <w:jc w:val="right"/>
              <w:ind w:right="383"/>
              <w:spacing w:after="0"/>
              <w:rPr>
                <w:sz w:val="20"/>
                <w:szCs w:val="20"/>
                <w:color w:val="auto"/>
              </w:rPr>
            </w:pPr>
            <w:r>
              <w:rPr>
                <w:rFonts w:ascii="Arial" w:cs="Arial" w:eastAsia="Arial" w:hAnsi="Arial"/>
                <w:sz w:val="12"/>
                <w:szCs w:val="12"/>
                <w:b w:val="1"/>
                <w:bCs w:val="1"/>
                <w:color w:val="009BDE"/>
              </w:rPr>
              <w:t>2024</w:t>
            </w:r>
          </w:p>
        </w:tc>
        <w:tc>
          <w:tcPr>
            <w:tcW w:w="460" w:type="dxa"/>
            <w:vAlign w:val="bottom"/>
            <w:shd w:val="clear" w:color="auto" w:fill="CCEBF8"/>
          </w:tcPr>
          <w:p>
            <w:pPr>
              <w:spacing w:after="0"/>
              <w:rPr>
                <w:sz w:val="15"/>
                <w:szCs w:val="15"/>
                <w:color w:val="auto"/>
              </w:rPr>
            </w:pPr>
          </w:p>
        </w:tc>
        <w:tc>
          <w:tcPr>
            <w:tcW w:w="960" w:type="dxa"/>
            <w:vAlign w:val="bottom"/>
            <w:shd w:val="clear" w:color="auto" w:fill="CCEBF8"/>
          </w:tcPr>
          <w:p>
            <w:pPr>
              <w:jc w:val="right"/>
              <w:ind w:right="401"/>
              <w:spacing w:after="0"/>
              <w:rPr>
                <w:sz w:val="20"/>
                <w:szCs w:val="20"/>
                <w:color w:val="auto"/>
              </w:rPr>
            </w:pPr>
            <w:r>
              <w:rPr>
                <w:rFonts w:ascii="Arial" w:cs="Arial" w:eastAsia="Arial" w:hAnsi="Arial"/>
                <w:sz w:val="12"/>
                <w:szCs w:val="12"/>
                <w:b w:val="1"/>
                <w:bCs w:val="1"/>
                <w:color w:val="009BDE"/>
              </w:rPr>
              <w:t>Amount</w:t>
            </w:r>
          </w:p>
        </w:tc>
        <w:tc>
          <w:tcPr>
            <w:tcW w:w="340" w:type="dxa"/>
            <w:vAlign w:val="bottom"/>
            <w:shd w:val="clear" w:color="auto" w:fill="CCEBF8"/>
          </w:tcPr>
          <w:p>
            <w:pPr>
              <w:spacing w:after="0"/>
              <w:rPr>
                <w:sz w:val="15"/>
                <w:szCs w:val="15"/>
                <w:color w:val="auto"/>
              </w:rPr>
            </w:pPr>
          </w:p>
        </w:tc>
        <w:tc>
          <w:tcPr>
            <w:tcW w:w="900" w:type="dxa"/>
            <w:vAlign w:val="bottom"/>
            <w:shd w:val="clear" w:color="auto" w:fill="CCEBF8"/>
          </w:tcPr>
          <w:p>
            <w:pPr>
              <w:jc w:val="right"/>
              <w:ind w:right="441"/>
              <w:spacing w:after="0"/>
              <w:rPr>
                <w:sz w:val="20"/>
                <w:szCs w:val="20"/>
                <w:color w:val="auto"/>
              </w:rPr>
            </w:pPr>
            <w:r>
              <w:rPr>
                <w:rFonts w:ascii="Arial" w:cs="Arial" w:eastAsia="Arial" w:hAnsi="Arial"/>
                <w:sz w:val="12"/>
                <w:szCs w:val="12"/>
                <w:b w:val="1"/>
                <w:bCs w:val="1"/>
                <w:color w:val="009BDE"/>
              </w:rPr>
              <w:t>2023</w:t>
            </w:r>
          </w:p>
        </w:tc>
        <w:tc>
          <w:tcPr>
            <w:tcW w:w="380" w:type="dxa"/>
            <w:vAlign w:val="bottom"/>
            <w:shd w:val="clear" w:color="auto" w:fill="CCEBF8"/>
          </w:tcPr>
          <w:p>
            <w:pPr>
              <w:spacing w:after="0"/>
              <w:rPr>
                <w:sz w:val="15"/>
                <w:szCs w:val="15"/>
                <w:color w:val="auto"/>
              </w:rPr>
            </w:pPr>
          </w:p>
        </w:tc>
        <w:tc>
          <w:tcPr>
            <w:tcW w:w="1020" w:type="dxa"/>
            <w:vAlign w:val="bottom"/>
            <w:shd w:val="clear" w:color="auto" w:fill="CCEBF8"/>
          </w:tcPr>
          <w:p>
            <w:pPr>
              <w:jc w:val="right"/>
              <w:ind w:right="381"/>
              <w:spacing w:after="0"/>
              <w:rPr>
                <w:sz w:val="20"/>
                <w:szCs w:val="20"/>
                <w:color w:val="auto"/>
              </w:rPr>
            </w:pPr>
            <w:r>
              <w:rPr>
                <w:rFonts w:ascii="Arial" w:cs="Arial" w:eastAsia="Arial" w:hAnsi="Arial"/>
                <w:sz w:val="12"/>
                <w:szCs w:val="12"/>
                <w:b w:val="1"/>
                <w:bCs w:val="1"/>
                <w:color w:val="009BDE"/>
              </w:rPr>
              <w:t>Amount</w:t>
            </w:r>
          </w:p>
        </w:tc>
      </w:tr>
      <w:tr>
        <w:trPr>
          <w:trHeight w:val="120"/>
        </w:trPr>
        <w:tc>
          <w:tcPr>
            <w:tcW w:w="2820" w:type="dxa"/>
            <w:vAlign w:val="bottom"/>
            <w:tcBorders>
              <w:bottom w:val="single" w:sz="8" w:color="009BDE"/>
            </w:tcBorders>
            <w:shd w:val="clear" w:color="auto" w:fill="CCEBF8"/>
          </w:tcPr>
          <w:p>
            <w:pPr>
              <w:spacing w:after="0"/>
              <w:rPr>
                <w:sz w:val="10"/>
                <w:szCs w:val="10"/>
                <w:color w:val="auto"/>
              </w:rPr>
            </w:pPr>
          </w:p>
        </w:tc>
        <w:tc>
          <w:tcPr>
            <w:tcW w:w="500" w:type="dxa"/>
            <w:vAlign w:val="bottom"/>
            <w:tcBorders>
              <w:bottom w:val="single" w:sz="8" w:color="009BDE"/>
            </w:tcBorders>
            <w:shd w:val="clear" w:color="auto" w:fill="CCEBF8"/>
          </w:tcPr>
          <w:p>
            <w:pPr>
              <w:spacing w:after="0"/>
              <w:rPr>
                <w:sz w:val="10"/>
                <w:szCs w:val="10"/>
                <w:color w:val="auto"/>
              </w:rPr>
            </w:pPr>
          </w:p>
        </w:tc>
        <w:tc>
          <w:tcPr>
            <w:tcW w:w="880" w:type="dxa"/>
            <w:vAlign w:val="bottom"/>
            <w:tcBorders>
              <w:bottom w:val="single" w:sz="8" w:color="009BDE"/>
            </w:tcBorders>
            <w:shd w:val="clear" w:color="auto" w:fill="CCEBF8"/>
          </w:tcPr>
          <w:p>
            <w:pPr>
              <w:spacing w:after="0"/>
              <w:rPr>
                <w:sz w:val="10"/>
                <w:szCs w:val="10"/>
                <w:color w:val="auto"/>
              </w:rPr>
            </w:pPr>
          </w:p>
        </w:tc>
        <w:tc>
          <w:tcPr>
            <w:tcW w:w="360" w:type="dxa"/>
            <w:vAlign w:val="bottom"/>
            <w:tcBorders>
              <w:bottom w:val="single" w:sz="8" w:color="009BDE"/>
            </w:tcBorders>
            <w:shd w:val="clear" w:color="auto" w:fill="CCEBF8"/>
          </w:tcPr>
          <w:p>
            <w:pPr>
              <w:spacing w:after="0"/>
              <w:rPr>
                <w:sz w:val="10"/>
                <w:szCs w:val="10"/>
                <w:color w:val="auto"/>
              </w:rPr>
            </w:pPr>
          </w:p>
        </w:tc>
        <w:tc>
          <w:tcPr>
            <w:tcW w:w="1100" w:type="dxa"/>
            <w:vAlign w:val="bottom"/>
            <w:tcBorders>
              <w:bottom w:val="single" w:sz="8" w:color="009BDE"/>
            </w:tcBorders>
            <w:shd w:val="clear" w:color="auto" w:fill="CCEBF8"/>
          </w:tcPr>
          <w:p>
            <w:pPr>
              <w:spacing w:after="0"/>
              <w:rPr>
                <w:sz w:val="10"/>
                <w:szCs w:val="10"/>
                <w:color w:val="auto"/>
              </w:rPr>
            </w:pPr>
          </w:p>
        </w:tc>
        <w:tc>
          <w:tcPr>
            <w:tcW w:w="380" w:type="dxa"/>
            <w:vAlign w:val="bottom"/>
            <w:tcBorders>
              <w:bottom w:val="single" w:sz="8" w:color="009BDE"/>
            </w:tcBorders>
            <w:shd w:val="clear" w:color="auto" w:fill="CCEBF8"/>
          </w:tcPr>
          <w:p>
            <w:pPr>
              <w:spacing w:after="0"/>
              <w:rPr>
                <w:sz w:val="10"/>
                <w:szCs w:val="10"/>
                <w:color w:val="auto"/>
              </w:rPr>
            </w:pPr>
          </w:p>
        </w:tc>
        <w:tc>
          <w:tcPr>
            <w:tcW w:w="820" w:type="dxa"/>
            <w:vAlign w:val="bottom"/>
            <w:tcBorders>
              <w:bottom w:val="single" w:sz="8" w:color="009BDE"/>
            </w:tcBorders>
            <w:shd w:val="clear" w:color="auto" w:fill="CCEBF8"/>
          </w:tcPr>
          <w:p>
            <w:pPr>
              <w:spacing w:after="0"/>
              <w:rPr>
                <w:sz w:val="10"/>
                <w:szCs w:val="10"/>
                <w:color w:val="auto"/>
              </w:rPr>
            </w:pPr>
          </w:p>
        </w:tc>
        <w:tc>
          <w:tcPr>
            <w:tcW w:w="460" w:type="dxa"/>
            <w:vAlign w:val="bottom"/>
            <w:tcBorders>
              <w:bottom w:val="single" w:sz="8" w:color="009BDE"/>
            </w:tcBorders>
            <w:shd w:val="clear" w:color="auto" w:fill="CCEBF8"/>
          </w:tcPr>
          <w:p>
            <w:pPr>
              <w:spacing w:after="0"/>
              <w:rPr>
                <w:sz w:val="10"/>
                <w:szCs w:val="10"/>
                <w:color w:val="auto"/>
              </w:rPr>
            </w:pPr>
          </w:p>
        </w:tc>
        <w:tc>
          <w:tcPr>
            <w:tcW w:w="960" w:type="dxa"/>
            <w:vAlign w:val="bottom"/>
            <w:tcBorders>
              <w:bottom w:val="single" w:sz="8" w:color="009BDE"/>
            </w:tcBorders>
            <w:shd w:val="clear" w:color="auto" w:fill="CCEBF8"/>
          </w:tcPr>
          <w:p>
            <w:pPr>
              <w:spacing w:after="0"/>
              <w:rPr>
                <w:sz w:val="10"/>
                <w:szCs w:val="10"/>
                <w:color w:val="auto"/>
              </w:rPr>
            </w:pPr>
          </w:p>
        </w:tc>
        <w:tc>
          <w:tcPr>
            <w:tcW w:w="340" w:type="dxa"/>
            <w:vAlign w:val="bottom"/>
            <w:tcBorders>
              <w:bottom w:val="single" w:sz="8" w:color="009BDE"/>
            </w:tcBorders>
            <w:shd w:val="clear" w:color="auto" w:fill="CCEBF8"/>
          </w:tcPr>
          <w:p>
            <w:pPr>
              <w:spacing w:after="0"/>
              <w:rPr>
                <w:sz w:val="10"/>
                <w:szCs w:val="10"/>
                <w:color w:val="auto"/>
              </w:rPr>
            </w:pPr>
          </w:p>
        </w:tc>
        <w:tc>
          <w:tcPr>
            <w:tcW w:w="900" w:type="dxa"/>
            <w:vAlign w:val="bottom"/>
            <w:tcBorders>
              <w:bottom w:val="single" w:sz="8" w:color="009BDE"/>
            </w:tcBorders>
            <w:shd w:val="clear" w:color="auto" w:fill="CCEBF8"/>
          </w:tcPr>
          <w:p>
            <w:pPr>
              <w:spacing w:after="0"/>
              <w:rPr>
                <w:sz w:val="10"/>
                <w:szCs w:val="10"/>
                <w:color w:val="auto"/>
              </w:rPr>
            </w:pPr>
          </w:p>
        </w:tc>
        <w:tc>
          <w:tcPr>
            <w:tcW w:w="380" w:type="dxa"/>
            <w:vAlign w:val="bottom"/>
            <w:tcBorders>
              <w:bottom w:val="single" w:sz="8" w:color="009BDE"/>
            </w:tcBorders>
            <w:shd w:val="clear" w:color="auto" w:fill="CCEBF8"/>
          </w:tcPr>
          <w:p>
            <w:pPr>
              <w:spacing w:after="0"/>
              <w:rPr>
                <w:sz w:val="10"/>
                <w:szCs w:val="10"/>
                <w:color w:val="auto"/>
              </w:rPr>
            </w:pPr>
          </w:p>
        </w:tc>
        <w:tc>
          <w:tcPr>
            <w:tcW w:w="1020" w:type="dxa"/>
            <w:vAlign w:val="bottom"/>
            <w:tcBorders>
              <w:bottom w:val="single" w:sz="8" w:color="009BDE"/>
            </w:tcBorders>
            <w:shd w:val="clear" w:color="auto" w:fill="CCEBF8"/>
          </w:tcPr>
          <w:p>
            <w:pPr>
              <w:spacing w:after="0"/>
              <w:rPr>
                <w:sz w:val="10"/>
                <w:szCs w:val="10"/>
                <w:color w:val="auto"/>
              </w:rPr>
            </w:pPr>
          </w:p>
        </w:tc>
      </w:tr>
      <w:tr>
        <w:trPr>
          <w:trHeight w:val="260"/>
        </w:trPr>
        <w:tc>
          <w:tcPr>
            <w:tcW w:w="2820" w:type="dxa"/>
            <w:vAlign w:val="bottom"/>
          </w:tcPr>
          <w:p>
            <w:pPr>
              <w:ind w:left="80"/>
              <w:spacing w:after="0"/>
              <w:rPr>
                <w:sz w:val="20"/>
                <w:szCs w:val="20"/>
                <w:color w:val="auto"/>
              </w:rPr>
            </w:pPr>
            <w:r>
              <w:rPr>
                <w:rFonts w:ascii="Arial" w:cs="Arial" w:eastAsia="Arial" w:hAnsi="Arial"/>
                <w:sz w:val="16"/>
                <w:szCs w:val="16"/>
                <w:color w:val="auto"/>
              </w:rPr>
              <w:t>Net Earnings Attributable to</w:t>
            </w: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5"/>
        </w:trPr>
        <w:tc>
          <w:tcPr>
            <w:tcW w:w="2820" w:type="dxa"/>
            <w:vAlign w:val="bottom"/>
          </w:tcPr>
          <w:p>
            <w:pPr>
              <w:ind w:left="80"/>
              <w:spacing w:after="0"/>
              <w:rPr>
                <w:sz w:val="20"/>
                <w:szCs w:val="20"/>
                <w:color w:val="auto"/>
              </w:rPr>
            </w:pPr>
            <w:r>
              <w:rPr>
                <w:rFonts w:ascii="Arial" w:cs="Arial" w:eastAsia="Arial" w:hAnsi="Arial"/>
                <w:sz w:val="16"/>
                <w:szCs w:val="16"/>
                <w:color w:val="auto"/>
              </w:rPr>
              <w:t>Hasbro, Inc.</w:t>
            </w:r>
          </w:p>
        </w:tc>
        <w:tc>
          <w:tcPr>
            <w:tcW w:w="500" w:type="dxa"/>
            <w:vAlign w:val="bottom"/>
          </w:tcPr>
          <w:p>
            <w:pPr>
              <w:ind w:left="3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(322.4)</w:t>
            </w:r>
          </w:p>
        </w:tc>
        <w:tc>
          <w:tcPr>
            <w:tcW w:w="360" w:type="dxa"/>
            <w:vAlign w:val="bottom"/>
          </w:tcPr>
          <w:p>
            <w:pPr>
              <w:ind w:lef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(2.30)</w:t>
            </w:r>
          </w:p>
        </w:tc>
        <w:tc>
          <w:tcPr>
            <w:tcW w:w="380" w:type="dxa"/>
            <w:vAlign w:val="bottom"/>
          </w:tcPr>
          <w:p>
            <w:pPr>
              <w:ind w:left="2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3"/>
              <w:spacing w:after="0"/>
              <w:rPr>
                <w:sz w:val="20"/>
                <w:szCs w:val="20"/>
                <w:color w:val="auto"/>
              </w:rPr>
            </w:pPr>
            <w:r>
              <w:rPr>
                <w:rFonts w:ascii="Arial" w:cs="Arial" w:eastAsia="Arial" w:hAnsi="Arial"/>
                <w:sz w:val="16"/>
                <w:szCs w:val="16"/>
                <w:color w:val="auto"/>
              </w:rPr>
              <w:t>385.6</w:t>
            </w:r>
          </w:p>
        </w:tc>
        <w:tc>
          <w:tcPr>
            <w:tcW w:w="460" w:type="dxa"/>
            <w:vAlign w:val="bottom"/>
          </w:tcPr>
          <w:p>
            <w:pPr>
              <w:ind w:lef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2.75</w:t>
            </w:r>
          </w:p>
        </w:tc>
        <w:tc>
          <w:tcPr>
            <w:tcW w:w="340" w:type="dxa"/>
            <w:vAlign w:val="bottom"/>
          </w:tcPr>
          <w:p>
            <w:pPr>
              <w:ind w:left="1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(1,489.3)</w:t>
            </w:r>
          </w:p>
        </w:tc>
        <w:tc>
          <w:tcPr>
            <w:tcW w:w="380" w:type="dxa"/>
            <w:vAlign w:val="bottom"/>
          </w:tcPr>
          <w:p>
            <w:pPr>
              <w:ind w:lef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(10.73)</w:t>
            </w:r>
          </w:p>
        </w:tc>
      </w:tr>
      <w:tr>
        <w:trPr>
          <w:trHeight w:val="97"/>
        </w:trPr>
        <w:tc>
          <w:tcPr>
            <w:tcW w:w="2820" w:type="dxa"/>
            <w:vAlign w:val="bottom"/>
            <w:tcBorders>
              <w:bottom w:val="single" w:sz="8" w:color="009BDE"/>
            </w:tcBorders>
          </w:tcPr>
          <w:p>
            <w:pPr>
              <w:spacing w:after="0"/>
              <w:rPr>
                <w:sz w:val="8"/>
                <w:szCs w:val="8"/>
                <w:color w:val="auto"/>
              </w:rPr>
            </w:pPr>
          </w:p>
        </w:tc>
        <w:tc>
          <w:tcPr>
            <w:tcW w:w="5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60"/>
        </w:trPr>
        <w:tc>
          <w:tcPr>
            <w:tcW w:w="2820" w:type="dxa"/>
            <w:vAlign w:val="bottom"/>
          </w:tcPr>
          <w:p>
            <w:pPr>
              <w:ind w:left="80"/>
              <w:spacing w:after="0"/>
              <w:rPr>
                <w:sz w:val="20"/>
                <w:szCs w:val="20"/>
                <w:color w:val="auto"/>
              </w:rPr>
            </w:pPr>
            <w:r>
              <w:rPr>
                <w:rFonts w:ascii="Arial" w:cs="Arial" w:eastAsia="Arial" w:hAnsi="Arial"/>
                <w:sz w:val="16"/>
                <w:szCs w:val="16"/>
                <w:color w:val="auto"/>
              </w:rPr>
              <w:t>Acquisition-related</w:t>
            </w: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5"/>
        </w:trPr>
        <w:tc>
          <w:tcPr>
            <w:tcW w:w="2820" w:type="dxa"/>
            <w:vAlign w:val="bottom"/>
          </w:tcPr>
          <w:p>
            <w:pPr>
              <w:ind w:left="80"/>
              <w:spacing w:after="0"/>
              <w:rPr>
                <w:sz w:val="20"/>
                <w:szCs w:val="20"/>
                <w:color w:val="auto"/>
              </w:rPr>
            </w:pPr>
            <w:r>
              <w:rPr>
                <w:rFonts w:ascii="Arial" w:cs="Arial" w:eastAsia="Arial" w:hAnsi="Arial"/>
                <w:sz w:val="16"/>
                <w:szCs w:val="16"/>
                <w:color w:val="auto"/>
              </w:rPr>
              <w:t>Costs(2)</w:t>
            </w:r>
          </w:p>
        </w:tc>
        <w:tc>
          <w:tcPr>
            <w:tcW w:w="500" w:type="dxa"/>
            <w:vAlign w:val="bottom"/>
          </w:tcPr>
          <w:p>
            <w:pPr>
              <w:spacing w:after="0"/>
              <w:rPr>
                <w:sz w:val="19"/>
                <w:szCs w:val="19"/>
                <w:color w:val="auto"/>
              </w:rPr>
            </w:pPr>
          </w:p>
        </w:tc>
        <w:tc>
          <w:tcPr>
            <w:tcW w:w="88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8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00" w:type="dxa"/>
            <w:vAlign w:val="bottom"/>
          </w:tcPr>
          <w:p>
            <w:pPr>
              <w:jc w:val="right"/>
              <w:ind w:right="161"/>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0.01</w:t>
            </w:r>
          </w:p>
        </w:tc>
      </w:tr>
      <w:tr>
        <w:trPr>
          <w:trHeight w:val="97"/>
        </w:trPr>
        <w:tc>
          <w:tcPr>
            <w:tcW w:w="2820" w:type="dxa"/>
            <w:vAlign w:val="bottom"/>
            <w:tcBorders>
              <w:bottom w:val="single" w:sz="8" w:color="009BDE"/>
            </w:tcBorders>
          </w:tcPr>
          <w:p>
            <w:pPr>
              <w:spacing w:after="0"/>
              <w:rPr>
                <w:sz w:val="8"/>
                <w:szCs w:val="8"/>
                <w:color w:val="auto"/>
              </w:rPr>
            </w:pPr>
          </w:p>
        </w:tc>
        <w:tc>
          <w:tcPr>
            <w:tcW w:w="5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4"/>
        </w:trPr>
        <w:tc>
          <w:tcPr>
            <w:tcW w:w="2820" w:type="dxa"/>
            <w:vAlign w:val="bottom"/>
          </w:tcPr>
          <w:p>
            <w:pPr>
              <w:ind w:left="80"/>
              <w:spacing w:after="0"/>
              <w:rPr>
                <w:sz w:val="20"/>
                <w:szCs w:val="20"/>
                <w:color w:val="auto"/>
              </w:rPr>
            </w:pPr>
            <w:r>
              <w:rPr>
                <w:rFonts w:ascii="Arial" w:cs="Arial" w:eastAsia="Arial" w:hAnsi="Arial"/>
                <w:sz w:val="16"/>
                <w:szCs w:val="16"/>
                <w:color w:val="auto"/>
              </w:rPr>
              <w:t>Acquired intangible amortization(3)</w:t>
            </w:r>
          </w:p>
        </w:tc>
        <w:tc>
          <w:tcPr>
            <w:tcW w:w="500" w:type="dxa"/>
            <w:vAlign w:val="bottom"/>
          </w:tcPr>
          <w:p>
            <w:pPr>
              <w:spacing w:after="0"/>
              <w:rPr>
                <w:sz w:val="24"/>
                <w:szCs w:val="24"/>
                <w:color w:val="auto"/>
              </w:rPr>
            </w:pPr>
          </w:p>
        </w:tc>
        <w:tc>
          <w:tcPr>
            <w:tcW w:w="880" w:type="dxa"/>
            <w:vAlign w:val="bottom"/>
          </w:tcPr>
          <w:p>
            <w:pPr>
              <w:jc w:val="right"/>
              <w:ind w:right="161"/>
              <w:spacing w:after="0"/>
              <w:rPr>
                <w:sz w:val="20"/>
                <w:szCs w:val="20"/>
                <w:color w:val="auto"/>
              </w:rPr>
            </w:pPr>
            <w:r>
              <w:rPr>
                <w:rFonts w:ascii="Arial" w:cs="Arial" w:eastAsia="Arial" w:hAnsi="Arial"/>
                <w:sz w:val="16"/>
                <w:szCs w:val="16"/>
                <w:color w:val="auto"/>
              </w:rPr>
              <w:t>35.6</w:t>
            </w:r>
          </w:p>
        </w:tc>
        <w:tc>
          <w:tcPr>
            <w:tcW w:w="36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0.25</w:t>
            </w:r>
          </w:p>
        </w:tc>
        <w:tc>
          <w:tcPr>
            <w:tcW w:w="380" w:type="dxa"/>
            <w:vAlign w:val="bottom"/>
          </w:tcPr>
          <w:p>
            <w:pPr>
              <w:spacing w:after="0"/>
              <w:rPr>
                <w:sz w:val="24"/>
                <w:szCs w:val="24"/>
                <w:color w:val="auto"/>
              </w:rPr>
            </w:pPr>
          </w:p>
        </w:tc>
        <w:tc>
          <w:tcPr>
            <w:tcW w:w="820" w:type="dxa"/>
            <w:vAlign w:val="bottom"/>
          </w:tcPr>
          <w:p>
            <w:pPr>
              <w:jc w:val="right"/>
              <w:ind w:right="123"/>
              <w:spacing w:after="0"/>
              <w:rPr>
                <w:sz w:val="20"/>
                <w:szCs w:val="20"/>
                <w:color w:val="auto"/>
              </w:rPr>
            </w:pPr>
            <w:r>
              <w:rPr>
                <w:rFonts w:ascii="Arial" w:cs="Arial" w:eastAsia="Arial" w:hAnsi="Arial"/>
                <w:sz w:val="16"/>
                <w:szCs w:val="16"/>
                <w:color w:val="auto"/>
              </w:rPr>
              <w:t>37.4</w:t>
            </w:r>
          </w:p>
        </w:tc>
        <w:tc>
          <w:tcPr>
            <w:tcW w:w="460" w:type="dxa"/>
            <w:vAlign w:val="bottom"/>
          </w:tcPr>
          <w:p>
            <w:pPr>
              <w:spacing w:after="0"/>
              <w:rPr>
                <w:sz w:val="24"/>
                <w:szCs w:val="24"/>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0.27</w:t>
            </w:r>
          </w:p>
        </w:tc>
        <w:tc>
          <w:tcPr>
            <w:tcW w:w="34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Arial" w:cs="Arial" w:eastAsia="Arial" w:hAnsi="Arial"/>
                <w:sz w:val="16"/>
                <w:szCs w:val="16"/>
                <w:color w:val="auto"/>
              </w:rPr>
              <w:t>48.8</w:t>
            </w:r>
          </w:p>
        </w:tc>
        <w:tc>
          <w:tcPr>
            <w:tcW w:w="38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0.35</w:t>
            </w:r>
          </w:p>
        </w:tc>
      </w:tr>
      <w:tr>
        <w:trPr>
          <w:trHeight w:val="97"/>
        </w:trPr>
        <w:tc>
          <w:tcPr>
            <w:tcW w:w="2820" w:type="dxa"/>
            <w:vAlign w:val="bottom"/>
            <w:tcBorders>
              <w:bottom w:val="single" w:sz="8" w:color="009BDE"/>
            </w:tcBorders>
          </w:tcPr>
          <w:p>
            <w:pPr>
              <w:spacing w:after="0"/>
              <w:rPr>
                <w:sz w:val="8"/>
                <w:szCs w:val="8"/>
                <w:color w:val="auto"/>
              </w:rPr>
            </w:pPr>
          </w:p>
        </w:tc>
        <w:tc>
          <w:tcPr>
            <w:tcW w:w="5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4"/>
        </w:trPr>
        <w:tc>
          <w:tcPr>
            <w:tcW w:w="2820" w:type="dxa"/>
            <w:vAlign w:val="bottom"/>
          </w:tcPr>
          <w:p>
            <w:pPr>
              <w:ind w:left="80"/>
              <w:spacing w:after="0"/>
              <w:rPr>
                <w:sz w:val="20"/>
                <w:szCs w:val="20"/>
                <w:color w:val="auto"/>
              </w:rPr>
            </w:pPr>
            <w:r>
              <w:rPr>
                <w:rFonts w:ascii="Arial" w:cs="Arial" w:eastAsia="Arial" w:hAnsi="Arial"/>
                <w:sz w:val="16"/>
                <w:szCs w:val="16"/>
                <w:color w:val="auto"/>
              </w:rPr>
              <w:t>Strategic transformation initiatives(4)</w:t>
            </w:r>
          </w:p>
        </w:tc>
        <w:tc>
          <w:tcPr>
            <w:tcW w:w="500" w:type="dxa"/>
            <w:vAlign w:val="bottom"/>
          </w:tcPr>
          <w:p>
            <w:pPr>
              <w:spacing w:after="0"/>
              <w:rPr>
                <w:sz w:val="24"/>
                <w:szCs w:val="24"/>
                <w:color w:val="auto"/>
              </w:rPr>
            </w:pPr>
          </w:p>
        </w:tc>
        <w:tc>
          <w:tcPr>
            <w:tcW w:w="880" w:type="dxa"/>
            <w:vAlign w:val="bottom"/>
          </w:tcPr>
          <w:p>
            <w:pPr>
              <w:jc w:val="right"/>
              <w:ind w:right="161"/>
              <w:spacing w:after="0"/>
              <w:rPr>
                <w:sz w:val="20"/>
                <w:szCs w:val="20"/>
                <w:color w:val="auto"/>
              </w:rPr>
            </w:pPr>
            <w:r>
              <w:rPr>
                <w:rFonts w:ascii="Arial" w:cs="Arial" w:eastAsia="Arial" w:hAnsi="Arial"/>
                <w:sz w:val="16"/>
                <w:szCs w:val="16"/>
                <w:color w:val="auto"/>
              </w:rPr>
              <w:t>18.3</w:t>
            </w:r>
          </w:p>
        </w:tc>
        <w:tc>
          <w:tcPr>
            <w:tcW w:w="36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0.13</w:t>
            </w:r>
          </w:p>
        </w:tc>
        <w:tc>
          <w:tcPr>
            <w:tcW w:w="380" w:type="dxa"/>
            <w:vAlign w:val="bottom"/>
          </w:tcPr>
          <w:p>
            <w:pPr>
              <w:spacing w:after="0"/>
              <w:rPr>
                <w:sz w:val="24"/>
                <w:szCs w:val="24"/>
                <w:color w:val="auto"/>
              </w:rPr>
            </w:pPr>
          </w:p>
        </w:tc>
        <w:tc>
          <w:tcPr>
            <w:tcW w:w="820" w:type="dxa"/>
            <w:vAlign w:val="bottom"/>
          </w:tcPr>
          <w:p>
            <w:pPr>
              <w:jc w:val="right"/>
              <w:ind w:right="123"/>
              <w:spacing w:after="0"/>
              <w:rPr>
                <w:sz w:val="20"/>
                <w:szCs w:val="20"/>
                <w:color w:val="auto"/>
              </w:rPr>
            </w:pPr>
            <w:r>
              <w:rPr>
                <w:rFonts w:ascii="Arial" w:cs="Arial" w:eastAsia="Arial" w:hAnsi="Arial"/>
                <w:sz w:val="16"/>
                <w:szCs w:val="16"/>
                <w:color w:val="auto"/>
              </w:rPr>
              <w:t>21.6</w:t>
            </w:r>
          </w:p>
        </w:tc>
        <w:tc>
          <w:tcPr>
            <w:tcW w:w="460" w:type="dxa"/>
            <w:vAlign w:val="bottom"/>
          </w:tcPr>
          <w:p>
            <w:pPr>
              <w:spacing w:after="0"/>
              <w:rPr>
                <w:sz w:val="24"/>
                <w:szCs w:val="24"/>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0.15</w:t>
            </w:r>
          </w:p>
        </w:tc>
        <w:tc>
          <w:tcPr>
            <w:tcW w:w="34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Arial" w:cs="Arial" w:eastAsia="Arial" w:hAnsi="Arial"/>
                <w:sz w:val="16"/>
                <w:szCs w:val="16"/>
                <w:color w:val="auto"/>
              </w:rPr>
              <w:t>27.0</w:t>
            </w:r>
          </w:p>
        </w:tc>
        <w:tc>
          <w:tcPr>
            <w:tcW w:w="38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0.19</w:t>
            </w:r>
          </w:p>
        </w:tc>
      </w:tr>
      <w:tr>
        <w:trPr>
          <w:trHeight w:val="97"/>
        </w:trPr>
        <w:tc>
          <w:tcPr>
            <w:tcW w:w="2820" w:type="dxa"/>
            <w:vAlign w:val="bottom"/>
            <w:tcBorders>
              <w:bottom w:val="single" w:sz="8" w:color="009BDE"/>
            </w:tcBorders>
          </w:tcPr>
          <w:p>
            <w:pPr>
              <w:spacing w:after="0"/>
              <w:rPr>
                <w:sz w:val="8"/>
                <w:szCs w:val="8"/>
                <w:color w:val="auto"/>
              </w:rPr>
            </w:pPr>
          </w:p>
        </w:tc>
        <w:tc>
          <w:tcPr>
            <w:tcW w:w="5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4"/>
        </w:trPr>
        <w:tc>
          <w:tcPr>
            <w:tcW w:w="2820" w:type="dxa"/>
            <w:vAlign w:val="bottom"/>
          </w:tcPr>
          <w:p>
            <w:pPr>
              <w:ind w:left="80"/>
              <w:spacing w:after="0"/>
              <w:rPr>
                <w:sz w:val="20"/>
                <w:szCs w:val="20"/>
                <w:color w:val="auto"/>
              </w:rPr>
            </w:pPr>
            <w:r>
              <w:rPr>
                <w:rFonts w:ascii="Arial" w:cs="Arial" w:eastAsia="Arial" w:hAnsi="Arial"/>
                <w:sz w:val="16"/>
                <w:szCs w:val="16"/>
                <w:color w:val="auto"/>
              </w:rPr>
              <w:t>Restructuring and severance costs(5)</w:t>
            </w:r>
          </w:p>
        </w:tc>
        <w:tc>
          <w:tcPr>
            <w:tcW w:w="500" w:type="dxa"/>
            <w:vAlign w:val="bottom"/>
          </w:tcPr>
          <w:p>
            <w:pPr>
              <w:spacing w:after="0"/>
              <w:rPr>
                <w:sz w:val="24"/>
                <w:szCs w:val="24"/>
                <w:color w:val="auto"/>
              </w:rPr>
            </w:pPr>
          </w:p>
        </w:tc>
        <w:tc>
          <w:tcPr>
            <w:tcW w:w="880" w:type="dxa"/>
            <w:vAlign w:val="bottom"/>
          </w:tcPr>
          <w:p>
            <w:pPr>
              <w:jc w:val="right"/>
              <w:ind w:right="161"/>
              <w:spacing w:after="0"/>
              <w:rPr>
                <w:sz w:val="20"/>
                <w:szCs w:val="20"/>
                <w:color w:val="auto"/>
              </w:rPr>
            </w:pPr>
            <w:r>
              <w:rPr>
                <w:rFonts w:ascii="Arial" w:cs="Arial" w:eastAsia="Arial" w:hAnsi="Arial"/>
                <w:sz w:val="16"/>
                <w:szCs w:val="16"/>
                <w:color w:val="auto"/>
              </w:rPr>
              <w:t>7.2</w:t>
            </w:r>
          </w:p>
        </w:tc>
        <w:tc>
          <w:tcPr>
            <w:tcW w:w="36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0.05</w:t>
            </w:r>
          </w:p>
        </w:tc>
        <w:tc>
          <w:tcPr>
            <w:tcW w:w="380" w:type="dxa"/>
            <w:vAlign w:val="bottom"/>
          </w:tcPr>
          <w:p>
            <w:pPr>
              <w:spacing w:after="0"/>
              <w:rPr>
                <w:sz w:val="24"/>
                <w:szCs w:val="24"/>
                <w:color w:val="auto"/>
              </w:rPr>
            </w:pPr>
          </w:p>
        </w:tc>
        <w:tc>
          <w:tcPr>
            <w:tcW w:w="820" w:type="dxa"/>
            <w:vAlign w:val="bottom"/>
          </w:tcPr>
          <w:p>
            <w:pPr>
              <w:jc w:val="right"/>
              <w:ind w:right="123"/>
              <w:spacing w:after="0"/>
              <w:rPr>
                <w:sz w:val="20"/>
                <w:szCs w:val="20"/>
                <w:color w:val="auto"/>
              </w:rPr>
            </w:pPr>
            <w:r>
              <w:rPr>
                <w:rFonts w:ascii="Arial" w:cs="Arial" w:eastAsia="Arial" w:hAnsi="Arial"/>
                <w:sz w:val="16"/>
                <w:szCs w:val="16"/>
                <w:color w:val="auto"/>
              </w:rPr>
              <w:t>17.0</w:t>
            </w:r>
          </w:p>
        </w:tc>
        <w:tc>
          <w:tcPr>
            <w:tcW w:w="460" w:type="dxa"/>
            <w:vAlign w:val="bottom"/>
          </w:tcPr>
          <w:p>
            <w:pPr>
              <w:spacing w:after="0"/>
              <w:rPr>
                <w:sz w:val="24"/>
                <w:szCs w:val="24"/>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0.12</w:t>
            </w:r>
          </w:p>
        </w:tc>
        <w:tc>
          <w:tcPr>
            <w:tcW w:w="34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Arial" w:cs="Arial" w:eastAsia="Arial" w:hAnsi="Arial"/>
                <w:sz w:val="16"/>
                <w:szCs w:val="16"/>
                <w:color w:val="auto"/>
              </w:rPr>
              <w:t>28.7</w:t>
            </w:r>
          </w:p>
        </w:tc>
        <w:tc>
          <w:tcPr>
            <w:tcW w:w="38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0.21</w:t>
            </w:r>
          </w:p>
        </w:tc>
      </w:tr>
      <w:tr>
        <w:trPr>
          <w:trHeight w:val="97"/>
        </w:trPr>
        <w:tc>
          <w:tcPr>
            <w:tcW w:w="2820" w:type="dxa"/>
            <w:vAlign w:val="bottom"/>
            <w:tcBorders>
              <w:bottom w:val="single" w:sz="8" w:color="009BDE"/>
            </w:tcBorders>
          </w:tcPr>
          <w:p>
            <w:pPr>
              <w:spacing w:after="0"/>
              <w:rPr>
                <w:sz w:val="8"/>
                <w:szCs w:val="8"/>
                <w:color w:val="auto"/>
              </w:rPr>
            </w:pPr>
          </w:p>
        </w:tc>
        <w:tc>
          <w:tcPr>
            <w:tcW w:w="5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4"/>
        </w:trPr>
        <w:tc>
          <w:tcPr>
            <w:tcW w:w="2820" w:type="dxa"/>
            <w:vAlign w:val="bottom"/>
          </w:tcPr>
          <w:p>
            <w:pPr>
              <w:ind w:left="80"/>
              <w:spacing w:after="0"/>
              <w:rPr>
                <w:sz w:val="20"/>
                <w:szCs w:val="20"/>
                <w:color w:val="auto"/>
              </w:rPr>
            </w:pPr>
            <w:r>
              <w:rPr>
                <w:rFonts w:ascii="Arial" w:cs="Arial" w:eastAsia="Arial" w:hAnsi="Arial"/>
                <w:sz w:val="16"/>
                <w:szCs w:val="16"/>
                <w:color w:val="auto"/>
              </w:rPr>
              <w:t>Loss on disposal of business(6)</w:t>
            </w:r>
          </w:p>
        </w:tc>
        <w:tc>
          <w:tcPr>
            <w:tcW w:w="500" w:type="dxa"/>
            <w:vAlign w:val="bottom"/>
          </w:tcPr>
          <w:p>
            <w:pPr>
              <w:spacing w:after="0"/>
              <w:rPr>
                <w:sz w:val="24"/>
                <w:szCs w:val="24"/>
                <w:color w:val="auto"/>
              </w:rPr>
            </w:pPr>
          </w:p>
        </w:tc>
        <w:tc>
          <w:tcPr>
            <w:tcW w:w="880" w:type="dxa"/>
            <w:vAlign w:val="bottom"/>
          </w:tcPr>
          <w:p>
            <w:pPr>
              <w:jc w:val="right"/>
              <w:ind w:right="161"/>
              <w:spacing w:after="0"/>
              <w:rPr>
                <w:sz w:val="20"/>
                <w:szCs w:val="20"/>
                <w:color w:val="auto"/>
              </w:rPr>
            </w:pPr>
            <w:r>
              <w:rPr>
                <w:rFonts w:ascii="Arial" w:cs="Arial" w:eastAsia="Arial" w:hAnsi="Arial"/>
                <w:sz w:val="16"/>
                <w:szCs w:val="16"/>
                <w:color w:val="auto"/>
              </w:rPr>
              <w:t>25.0</w:t>
            </w:r>
          </w:p>
        </w:tc>
        <w:tc>
          <w:tcPr>
            <w:tcW w:w="36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0.18</w:t>
            </w:r>
          </w:p>
        </w:tc>
        <w:tc>
          <w:tcPr>
            <w:tcW w:w="380" w:type="dxa"/>
            <w:vAlign w:val="bottom"/>
          </w:tcPr>
          <w:p>
            <w:pPr>
              <w:spacing w:after="0"/>
              <w:rPr>
                <w:sz w:val="24"/>
                <w:szCs w:val="24"/>
                <w:color w:val="auto"/>
              </w:rPr>
            </w:pPr>
          </w:p>
        </w:tc>
        <w:tc>
          <w:tcPr>
            <w:tcW w:w="820" w:type="dxa"/>
            <w:vAlign w:val="bottom"/>
          </w:tcPr>
          <w:p>
            <w:pPr>
              <w:jc w:val="right"/>
              <w:ind w:right="123"/>
              <w:spacing w:after="0"/>
              <w:rPr>
                <w:sz w:val="20"/>
                <w:szCs w:val="20"/>
                <w:color w:val="auto"/>
              </w:rPr>
            </w:pPr>
            <w:r>
              <w:rPr>
                <w:rFonts w:ascii="Arial" w:cs="Arial" w:eastAsia="Arial" w:hAnsi="Arial"/>
                <w:sz w:val="16"/>
                <w:szCs w:val="16"/>
                <w:color w:val="auto"/>
              </w:rPr>
              <w:t>32.9</w:t>
            </w:r>
          </w:p>
        </w:tc>
        <w:tc>
          <w:tcPr>
            <w:tcW w:w="460" w:type="dxa"/>
            <w:vAlign w:val="bottom"/>
          </w:tcPr>
          <w:p>
            <w:pPr>
              <w:spacing w:after="0"/>
              <w:rPr>
                <w:sz w:val="24"/>
                <w:szCs w:val="24"/>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0.23</w:t>
            </w:r>
          </w:p>
        </w:tc>
        <w:tc>
          <w:tcPr>
            <w:tcW w:w="34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Arial" w:cs="Arial" w:eastAsia="Arial" w:hAnsi="Arial"/>
                <w:sz w:val="16"/>
                <w:szCs w:val="16"/>
                <w:color w:val="auto"/>
              </w:rPr>
              <w:t>419.7</w:t>
            </w:r>
          </w:p>
        </w:tc>
        <w:tc>
          <w:tcPr>
            <w:tcW w:w="38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3.02</w:t>
            </w:r>
          </w:p>
        </w:tc>
      </w:tr>
      <w:tr>
        <w:trPr>
          <w:trHeight w:val="97"/>
        </w:trPr>
        <w:tc>
          <w:tcPr>
            <w:tcW w:w="2820" w:type="dxa"/>
            <w:vAlign w:val="bottom"/>
            <w:tcBorders>
              <w:bottom w:val="single" w:sz="8" w:color="009BDE"/>
            </w:tcBorders>
          </w:tcPr>
          <w:p>
            <w:pPr>
              <w:spacing w:after="0"/>
              <w:rPr>
                <w:sz w:val="8"/>
                <w:szCs w:val="8"/>
                <w:color w:val="auto"/>
              </w:rPr>
            </w:pPr>
          </w:p>
        </w:tc>
        <w:tc>
          <w:tcPr>
            <w:tcW w:w="5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60"/>
        </w:trPr>
        <w:tc>
          <w:tcPr>
            <w:tcW w:w="2820" w:type="dxa"/>
            <w:vAlign w:val="bottom"/>
          </w:tcPr>
          <w:p>
            <w:pPr>
              <w:ind w:left="80"/>
              <w:spacing w:after="0"/>
              <w:rPr>
                <w:sz w:val="20"/>
                <w:szCs w:val="20"/>
                <w:color w:val="auto"/>
              </w:rPr>
            </w:pPr>
            <w:r>
              <w:rPr>
                <w:rFonts w:ascii="Arial" w:cs="Arial" w:eastAsia="Arial" w:hAnsi="Arial"/>
                <w:sz w:val="16"/>
                <w:szCs w:val="16"/>
                <w:color w:val="auto"/>
              </w:rPr>
              <w:t>eOne Film and TV business</w:t>
            </w: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11"/>
        </w:trPr>
        <w:tc>
          <w:tcPr>
            <w:tcW w:w="2820" w:type="dxa"/>
            <w:vAlign w:val="bottom"/>
          </w:tcPr>
          <w:p>
            <w:pPr>
              <w:ind w:left="80"/>
              <w:spacing w:after="0"/>
              <w:rPr>
                <w:sz w:val="20"/>
                <w:szCs w:val="20"/>
                <w:color w:val="auto"/>
              </w:rPr>
            </w:pPr>
            <w:r>
              <w:rPr>
                <w:rFonts w:ascii="Arial" w:cs="Arial" w:eastAsia="Arial" w:hAnsi="Arial"/>
                <w:sz w:val="16"/>
                <w:szCs w:val="16"/>
                <w:color w:val="auto"/>
              </w:rPr>
              <w:t>divestiture related costs(7)</w:t>
            </w:r>
          </w:p>
        </w:tc>
        <w:tc>
          <w:tcPr>
            <w:tcW w:w="500" w:type="dxa"/>
            <w:vAlign w:val="bottom"/>
          </w:tcPr>
          <w:p>
            <w:pPr>
              <w:spacing w:after="0"/>
              <w:rPr>
                <w:sz w:val="18"/>
                <w:szCs w:val="18"/>
                <w:color w:val="auto"/>
              </w:rPr>
            </w:pPr>
          </w:p>
        </w:tc>
        <w:tc>
          <w:tcPr>
            <w:tcW w:w="880" w:type="dxa"/>
            <w:vAlign w:val="bottom"/>
          </w:tcPr>
          <w:p>
            <w:pPr>
              <w:jc w:val="right"/>
              <w:ind w:right="161"/>
              <w:spacing w:after="0"/>
              <w:rPr>
                <w:sz w:val="20"/>
                <w:szCs w:val="20"/>
                <w:color w:val="auto"/>
              </w:rPr>
            </w:pPr>
            <w:r>
              <w:rPr>
                <w:rFonts w:ascii="Arial" w:cs="Arial" w:eastAsia="Arial" w:hAnsi="Arial"/>
                <w:sz w:val="16"/>
                <w:szCs w:val="16"/>
                <w:color w:val="auto"/>
              </w:rPr>
              <w:t>4.2</w:t>
            </w:r>
          </w:p>
        </w:tc>
        <w:tc>
          <w:tcPr>
            <w:tcW w:w="360" w:type="dxa"/>
            <w:vAlign w:val="bottom"/>
          </w:tcPr>
          <w:p>
            <w:pPr>
              <w:spacing w:after="0"/>
              <w:rPr>
                <w:sz w:val="18"/>
                <w:szCs w:val="18"/>
                <w:color w:val="auto"/>
              </w:rPr>
            </w:pP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0.03</w:t>
            </w:r>
          </w:p>
        </w:tc>
        <w:tc>
          <w:tcPr>
            <w:tcW w:w="380" w:type="dxa"/>
            <w:vAlign w:val="bottom"/>
          </w:tcPr>
          <w:p>
            <w:pPr>
              <w:spacing w:after="0"/>
              <w:rPr>
                <w:sz w:val="18"/>
                <w:szCs w:val="18"/>
                <w:color w:val="auto"/>
              </w:rPr>
            </w:pPr>
          </w:p>
        </w:tc>
        <w:tc>
          <w:tcPr>
            <w:tcW w:w="820" w:type="dxa"/>
            <w:vAlign w:val="bottom"/>
          </w:tcPr>
          <w:p>
            <w:pPr>
              <w:jc w:val="right"/>
              <w:ind w:right="123"/>
              <w:spacing w:after="0"/>
              <w:rPr>
                <w:sz w:val="20"/>
                <w:szCs w:val="20"/>
                <w:color w:val="auto"/>
              </w:rPr>
            </w:pPr>
            <w:r>
              <w:rPr>
                <w:rFonts w:ascii="Arial" w:cs="Arial" w:eastAsia="Arial" w:hAnsi="Arial"/>
                <w:sz w:val="16"/>
                <w:szCs w:val="16"/>
                <w:color w:val="auto"/>
              </w:rPr>
              <w:t>8.5</w:t>
            </w:r>
          </w:p>
        </w:tc>
        <w:tc>
          <w:tcPr>
            <w:tcW w:w="46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0.06</w:t>
            </w:r>
          </w:p>
        </w:tc>
        <w:tc>
          <w:tcPr>
            <w:tcW w:w="340" w:type="dxa"/>
            <w:vAlign w:val="bottom"/>
          </w:tcPr>
          <w:p>
            <w:pPr>
              <w:spacing w:after="0"/>
              <w:rPr>
                <w:sz w:val="18"/>
                <w:szCs w:val="18"/>
                <w:color w:val="auto"/>
              </w:rPr>
            </w:pPr>
          </w:p>
        </w:tc>
        <w:tc>
          <w:tcPr>
            <w:tcW w:w="900" w:type="dxa"/>
            <w:vAlign w:val="bottom"/>
          </w:tcPr>
          <w:p>
            <w:pPr>
              <w:jc w:val="right"/>
              <w:ind w:right="161"/>
              <w:spacing w:after="0"/>
              <w:rPr>
                <w:sz w:val="20"/>
                <w:szCs w:val="20"/>
                <w:color w:val="auto"/>
              </w:rPr>
            </w:pPr>
            <w:r>
              <w:rPr>
                <w:rFonts w:ascii="Arial" w:cs="Arial" w:eastAsia="Arial" w:hAnsi="Arial"/>
                <w:sz w:val="16"/>
                <w:szCs w:val="16"/>
                <w:color w:val="auto"/>
              </w:rPr>
              <w:t>34.0</w:t>
            </w:r>
          </w:p>
        </w:tc>
        <w:tc>
          <w:tcPr>
            <w:tcW w:w="38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0.24</w:t>
            </w:r>
          </w:p>
        </w:tc>
      </w:tr>
      <w:tr>
        <w:trPr>
          <w:trHeight w:val="97"/>
        </w:trPr>
        <w:tc>
          <w:tcPr>
            <w:tcW w:w="2820" w:type="dxa"/>
            <w:vAlign w:val="bottom"/>
            <w:tcBorders>
              <w:bottom w:val="single" w:sz="8" w:color="009BDE"/>
            </w:tcBorders>
          </w:tcPr>
          <w:p>
            <w:pPr>
              <w:spacing w:after="0"/>
              <w:rPr>
                <w:sz w:val="8"/>
                <w:szCs w:val="8"/>
                <w:color w:val="auto"/>
              </w:rPr>
            </w:pPr>
          </w:p>
        </w:tc>
        <w:tc>
          <w:tcPr>
            <w:tcW w:w="5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60"/>
        </w:trPr>
        <w:tc>
          <w:tcPr>
            <w:tcW w:w="2820" w:type="dxa"/>
            <w:vAlign w:val="bottom"/>
          </w:tcPr>
          <w:p>
            <w:pPr>
              <w:ind w:left="80"/>
              <w:spacing w:after="0"/>
              <w:rPr>
                <w:sz w:val="20"/>
                <w:szCs w:val="20"/>
                <w:color w:val="auto"/>
              </w:rPr>
            </w:pPr>
            <w:r>
              <w:rPr>
                <w:rFonts w:ascii="Arial" w:cs="Arial" w:eastAsia="Arial" w:hAnsi="Arial"/>
                <w:sz w:val="16"/>
                <w:szCs w:val="16"/>
                <w:color w:val="auto"/>
              </w:rPr>
              <w:t>Impairment of goodwill and intangible</w:t>
            </w: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11"/>
        </w:trPr>
        <w:tc>
          <w:tcPr>
            <w:tcW w:w="2820" w:type="dxa"/>
            <w:vAlign w:val="bottom"/>
          </w:tcPr>
          <w:p>
            <w:pPr>
              <w:ind w:left="80"/>
              <w:spacing w:after="0"/>
              <w:rPr>
                <w:sz w:val="20"/>
                <w:szCs w:val="20"/>
                <w:color w:val="auto"/>
              </w:rPr>
            </w:pPr>
            <w:r>
              <w:rPr>
                <w:rFonts w:ascii="Arial" w:cs="Arial" w:eastAsia="Arial" w:hAnsi="Arial"/>
                <w:sz w:val="16"/>
                <w:szCs w:val="16"/>
                <w:color w:val="auto"/>
              </w:rPr>
              <w:t>assets(8)</w:t>
            </w:r>
          </w:p>
        </w:tc>
        <w:tc>
          <w:tcPr>
            <w:tcW w:w="500" w:type="dxa"/>
            <w:vAlign w:val="bottom"/>
          </w:tcPr>
          <w:p>
            <w:pPr>
              <w:spacing w:after="0"/>
              <w:rPr>
                <w:sz w:val="18"/>
                <w:szCs w:val="18"/>
                <w:color w:val="auto"/>
              </w:rPr>
            </w:pPr>
          </w:p>
        </w:tc>
        <w:tc>
          <w:tcPr>
            <w:tcW w:w="880" w:type="dxa"/>
            <w:vAlign w:val="bottom"/>
          </w:tcPr>
          <w:p>
            <w:pPr>
              <w:jc w:val="right"/>
              <w:ind w:right="161"/>
              <w:spacing w:after="0"/>
              <w:rPr>
                <w:sz w:val="20"/>
                <w:szCs w:val="20"/>
                <w:color w:val="auto"/>
              </w:rPr>
            </w:pPr>
            <w:r>
              <w:rPr>
                <w:rFonts w:ascii="Arial" w:cs="Arial" w:eastAsia="Arial" w:hAnsi="Arial"/>
                <w:sz w:val="16"/>
                <w:szCs w:val="16"/>
                <w:color w:val="auto"/>
              </w:rPr>
              <w:t>1,016.5</w:t>
            </w:r>
          </w:p>
        </w:tc>
        <w:tc>
          <w:tcPr>
            <w:tcW w:w="360" w:type="dxa"/>
            <w:vAlign w:val="bottom"/>
          </w:tcPr>
          <w:p>
            <w:pPr>
              <w:spacing w:after="0"/>
              <w:rPr>
                <w:sz w:val="18"/>
                <w:szCs w:val="18"/>
                <w:color w:val="auto"/>
              </w:rPr>
            </w:pP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7.17</w:t>
            </w:r>
          </w:p>
        </w:tc>
        <w:tc>
          <w:tcPr>
            <w:tcW w:w="380" w:type="dxa"/>
            <w:vAlign w:val="bottom"/>
          </w:tcPr>
          <w:p>
            <w:pPr>
              <w:spacing w:after="0"/>
              <w:rPr>
                <w:sz w:val="18"/>
                <w:szCs w:val="18"/>
                <w:color w:val="auto"/>
              </w:rPr>
            </w:pPr>
          </w:p>
        </w:tc>
        <w:tc>
          <w:tcPr>
            <w:tcW w:w="8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161"/>
              <w:spacing w:after="0"/>
              <w:rPr>
                <w:sz w:val="20"/>
                <w:szCs w:val="20"/>
                <w:color w:val="auto"/>
              </w:rPr>
            </w:pPr>
            <w:r>
              <w:rPr>
                <w:rFonts w:ascii="Arial" w:cs="Arial" w:eastAsia="Arial" w:hAnsi="Arial"/>
                <w:sz w:val="16"/>
                <w:szCs w:val="16"/>
                <w:color w:val="auto"/>
              </w:rPr>
              <w:t>1,278.2</w:t>
            </w:r>
          </w:p>
        </w:tc>
        <w:tc>
          <w:tcPr>
            <w:tcW w:w="38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9.20</w:t>
            </w:r>
          </w:p>
        </w:tc>
      </w:tr>
      <w:tr>
        <w:trPr>
          <w:trHeight w:val="97"/>
        </w:trPr>
        <w:tc>
          <w:tcPr>
            <w:tcW w:w="2820" w:type="dxa"/>
            <w:vAlign w:val="bottom"/>
            <w:tcBorders>
              <w:bottom w:val="single" w:sz="8" w:color="009BDE"/>
            </w:tcBorders>
          </w:tcPr>
          <w:p>
            <w:pPr>
              <w:spacing w:after="0"/>
              <w:rPr>
                <w:sz w:val="8"/>
                <w:szCs w:val="8"/>
                <w:color w:val="auto"/>
              </w:rPr>
            </w:pPr>
          </w:p>
        </w:tc>
        <w:tc>
          <w:tcPr>
            <w:tcW w:w="5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4"/>
        </w:trPr>
        <w:tc>
          <w:tcPr>
            <w:tcW w:w="2820" w:type="dxa"/>
            <w:vAlign w:val="bottom"/>
          </w:tcPr>
          <w:p>
            <w:pPr>
              <w:ind w:left="80"/>
              <w:spacing w:after="0"/>
              <w:rPr>
                <w:sz w:val="20"/>
                <w:szCs w:val="20"/>
                <w:color w:val="auto"/>
              </w:rPr>
            </w:pPr>
            <w:r>
              <w:rPr>
                <w:rFonts w:ascii="Arial" w:cs="Arial" w:eastAsia="Arial" w:hAnsi="Arial"/>
                <w:sz w:val="16"/>
                <w:szCs w:val="16"/>
                <w:color w:val="auto"/>
              </w:rPr>
              <w:t>Net loss on Discovery investment(9)</w:t>
            </w:r>
          </w:p>
        </w:tc>
        <w:tc>
          <w:tcPr>
            <w:tcW w:w="500" w:type="dxa"/>
            <w:vAlign w:val="bottom"/>
          </w:tcPr>
          <w:p>
            <w:pPr>
              <w:spacing w:after="0"/>
              <w:rPr>
                <w:sz w:val="24"/>
                <w:szCs w:val="24"/>
                <w:color w:val="auto"/>
              </w:rPr>
            </w:pPr>
          </w:p>
        </w:tc>
        <w:tc>
          <w:tcPr>
            <w:tcW w:w="88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820" w:type="dxa"/>
            <w:vAlign w:val="bottom"/>
          </w:tcPr>
          <w:p>
            <w:pPr>
              <w:jc w:val="right"/>
              <w:ind w:right="123"/>
              <w:spacing w:after="0"/>
              <w:rPr>
                <w:sz w:val="20"/>
                <w:szCs w:val="20"/>
                <w:color w:val="auto"/>
              </w:rPr>
            </w:pPr>
            <w:r>
              <w:rPr>
                <w:rFonts w:ascii="Arial" w:cs="Arial" w:eastAsia="Arial" w:hAnsi="Arial"/>
                <w:sz w:val="16"/>
                <w:szCs w:val="16"/>
                <w:color w:val="auto"/>
              </w:rPr>
              <w:t>59.8</w:t>
            </w:r>
          </w:p>
        </w:tc>
        <w:tc>
          <w:tcPr>
            <w:tcW w:w="460" w:type="dxa"/>
            <w:vAlign w:val="bottom"/>
          </w:tcPr>
          <w:p>
            <w:pPr>
              <w:spacing w:after="0"/>
              <w:rPr>
                <w:sz w:val="24"/>
                <w:szCs w:val="24"/>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0.43</w:t>
            </w:r>
          </w:p>
        </w:tc>
        <w:tc>
          <w:tcPr>
            <w:tcW w:w="34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97"/>
        </w:trPr>
        <w:tc>
          <w:tcPr>
            <w:tcW w:w="2820" w:type="dxa"/>
            <w:vAlign w:val="bottom"/>
            <w:tcBorders>
              <w:bottom w:val="single" w:sz="8" w:color="009BDE"/>
            </w:tcBorders>
          </w:tcPr>
          <w:p>
            <w:pPr>
              <w:spacing w:after="0"/>
              <w:rPr>
                <w:sz w:val="8"/>
                <w:szCs w:val="8"/>
                <w:color w:val="auto"/>
              </w:rPr>
            </w:pPr>
          </w:p>
        </w:tc>
        <w:tc>
          <w:tcPr>
            <w:tcW w:w="50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4"/>
        </w:trPr>
        <w:tc>
          <w:tcPr>
            <w:tcW w:w="2820" w:type="dxa"/>
            <w:vAlign w:val="bottom"/>
          </w:tcPr>
          <w:p>
            <w:pPr>
              <w:ind w:left="80"/>
              <w:spacing w:after="0"/>
              <w:rPr>
                <w:sz w:val="20"/>
                <w:szCs w:val="20"/>
                <w:color w:val="auto"/>
              </w:rPr>
            </w:pPr>
            <w:r>
              <w:rPr>
                <w:rFonts w:ascii="Arial" w:cs="Arial" w:eastAsia="Arial" w:hAnsi="Arial"/>
                <w:sz w:val="16"/>
                <w:szCs w:val="16"/>
                <w:color w:val="auto"/>
              </w:rPr>
              <w:t>Net Earnings, as Adjusted</w:t>
            </w:r>
          </w:p>
        </w:tc>
        <w:tc>
          <w:tcPr>
            <w:tcW w:w="500" w:type="dxa"/>
            <w:vAlign w:val="bottom"/>
          </w:tcPr>
          <w:p>
            <w:pPr>
              <w:ind w:left="3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61"/>
              <w:spacing w:after="0"/>
              <w:rPr>
                <w:sz w:val="20"/>
                <w:szCs w:val="20"/>
                <w:color w:val="auto"/>
              </w:rPr>
            </w:pPr>
            <w:r>
              <w:rPr>
                <w:rFonts w:ascii="Arial" w:cs="Arial" w:eastAsia="Arial" w:hAnsi="Arial"/>
                <w:sz w:val="16"/>
                <w:szCs w:val="16"/>
                <w:color w:val="auto"/>
              </w:rPr>
              <w:t>784.4</w:t>
            </w:r>
          </w:p>
        </w:tc>
        <w:tc>
          <w:tcPr>
            <w:tcW w:w="360" w:type="dxa"/>
            <w:vAlign w:val="bottom"/>
          </w:tcPr>
          <w:p>
            <w:pPr>
              <w:ind w:lef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5.54</w:t>
            </w:r>
          </w:p>
        </w:tc>
        <w:tc>
          <w:tcPr>
            <w:tcW w:w="380" w:type="dxa"/>
            <w:vAlign w:val="bottom"/>
          </w:tcPr>
          <w:p>
            <w:pPr>
              <w:ind w:left="2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3"/>
              <w:spacing w:after="0"/>
              <w:rPr>
                <w:sz w:val="20"/>
                <w:szCs w:val="20"/>
                <w:color w:val="auto"/>
              </w:rPr>
            </w:pPr>
            <w:r>
              <w:rPr>
                <w:rFonts w:ascii="Arial" w:cs="Arial" w:eastAsia="Arial" w:hAnsi="Arial"/>
                <w:sz w:val="16"/>
                <w:szCs w:val="16"/>
                <w:color w:val="auto"/>
              </w:rPr>
              <w:t>562.8</w:t>
            </w:r>
          </w:p>
        </w:tc>
        <w:tc>
          <w:tcPr>
            <w:tcW w:w="460" w:type="dxa"/>
            <w:vAlign w:val="bottom"/>
          </w:tcPr>
          <w:p>
            <w:pPr>
              <w:ind w:lef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4.01</w:t>
            </w:r>
          </w:p>
        </w:tc>
        <w:tc>
          <w:tcPr>
            <w:tcW w:w="340" w:type="dxa"/>
            <w:vAlign w:val="bottom"/>
          </w:tcPr>
          <w:p>
            <w:pPr>
              <w:ind w:left="1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61"/>
              <w:spacing w:after="0"/>
              <w:rPr>
                <w:sz w:val="20"/>
                <w:szCs w:val="20"/>
                <w:color w:val="auto"/>
              </w:rPr>
            </w:pPr>
            <w:r>
              <w:rPr>
                <w:rFonts w:ascii="Arial" w:cs="Arial" w:eastAsia="Arial" w:hAnsi="Arial"/>
                <w:sz w:val="16"/>
                <w:szCs w:val="16"/>
                <w:color w:val="auto"/>
              </w:rPr>
              <w:t>348.8</w:t>
            </w:r>
          </w:p>
        </w:tc>
        <w:tc>
          <w:tcPr>
            <w:tcW w:w="380" w:type="dxa"/>
            <w:vAlign w:val="bottom"/>
          </w:tcPr>
          <w:p>
            <w:pPr>
              <w:ind w:lef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61595</wp:posOffset>
            </wp:positionV>
            <wp:extent cx="6929755"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ind w:left="600" w:hanging="433"/>
        <w:spacing w:after="0"/>
        <w:tabs>
          <w:tab w:leader="none" w:pos="6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Amounts may not sum due to rounding.</w:t>
      </w:r>
    </w:p>
    <w:p>
      <w:pPr>
        <w:spacing w:after="0" w:line="79" w:lineRule="exact"/>
        <w:rPr>
          <w:rFonts w:ascii="Arial" w:cs="Arial" w:eastAsia="Arial" w:hAnsi="Arial"/>
          <w:sz w:val="14"/>
          <w:szCs w:val="14"/>
          <w:color w:val="auto"/>
        </w:rPr>
      </w:pPr>
    </w:p>
    <w:p>
      <w:pPr>
        <w:ind w:left="600" w:right="140" w:hanging="433"/>
        <w:spacing w:after="0" w:line="281" w:lineRule="auto"/>
        <w:tabs>
          <w:tab w:leader="none" w:pos="6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In association with the company’s acquisition of eOne, the Company incurred stock compensation expenses of $1.9 ($1.7 after-tax) in the year ended December 31, 2023 due to the acceleration of eOne stock-based compensation associated with acquisition-related grants.</w:t>
      </w:r>
    </w:p>
    <w:p>
      <w:pPr>
        <w:spacing w:after="0" w:line="24" w:lineRule="exact"/>
        <w:rPr>
          <w:rFonts w:ascii="Arial" w:cs="Arial" w:eastAsia="Arial" w:hAnsi="Arial"/>
          <w:sz w:val="14"/>
          <w:szCs w:val="14"/>
          <w:color w:val="auto"/>
        </w:rPr>
      </w:pPr>
    </w:p>
    <w:p>
      <w:pPr>
        <w:ind w:left="600" w:right="80" w:hanging="433"/>
        <w:spacing w:after="0" w:line="253" w:lineRule="auto"/>
        <w:tabs>
          <w:tab w:leader="none" w:pos="6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Represents intangible amortization costs related to the intangible assets acquired in the eOne acquisition. The Company has allocated certain of these intangible amortization costs between the Consumer Products and Entertainment segments, to match the revenue generated from such intangible assets. While amortization of acquired intangibles is being excluded from the related GAAP financial measure, the revenue of the acquired company is reflected within the Company’s operating results to which these assets contribute.</w:t>
      </w:r>
    </w:p>
    <w:p>
      <w:pPr>
        <w:spacing w:after="0" w:line="43" w:lineRule="exact"/>
        <w:rPr>
          <w:rFonts w:ascii="Arial" w:cs="Arial" w:eastAsia="Arial" w:hAnsi="Arial"/>
          <w:sz w:val="14"/>
          <w:szCs w:val="14"/>
          <w:color w:val="auto"/>
        </w:rPr>
      </w:pPr>
    </w:p>
    <w:p>
      <w:pPr>
        <w:ind w:left="600" w:right="400" w:hanging="433"/>
        <w:spacing w:after="0" w:line="253" w:lineRule="auto"/>
        <w:tabs>
          <w:tab w:leader="none" w:pos="6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Strategic transformation initiatives costs represent non-recurring expenses for strategic projects with anticipated long-term benefits to support the organization in identifying, realizing and capturing savings to create efficiencies and improve business processes and operations. These costs primarily consist of third-party consulting of $23.9 ($18.3 after-tax), $28.3 ($21.6 after-tax), and $35.3 ($27.0 after-tax) in the years ended December 28, 2025, December 29, 2024 and December 31, 2023, respectively.</w:t>
      </w:r>
    </w:p>
    <w:p>
      <w:pPr>
        <w:spacing w:after="0" w:line="43" w:lineRule="exact"/>
        <w:rPr>
          <w:rFonts w:ascii="Arial" w:cs="Arial" w:eastAsia="Arial" w:hAnsi="Arial"/>
          <w:sz w:val="14"/>
          <w:szCs w:val="14"/>
          <w:color w:val="auto"/>
        </w:rPr>
      </w:pPr>
    </w:p>
    <w:p>
      <w:pPr>
        <w:ind w:left="600" w:right="100" w:hanging="433"/>
        <w:spacing w:after="0" w:line="281" w:lineRule="auto"/>
        <w:tabs>
          <w:tab w:leader="none" w:pos="6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Restructuring and severance costs of $9.3 ($7.2 after-tax), $22.2 ($17.0 after-tax), and $34.2 ($28.7 after-tax) in the years ended December 28, 2025, December 29, 2024 and December 31, 2023, respectively, associated with cost-savings initiatives across the Company.</w:t>
      </w:r>
    </w:p>
    <w:p>
      <w:pPr>
        <w:spacing w:after="0" w:line="24" w:lineRule="exact"/>
        <w:rPr>
          <w:rFonts w:ascii="Arial" w:cs="Arial" w:eastAsia="Arial" w:hAnsi="Arial"/>
          <w:sz w:val="14"/>
          <w:szCs w:val="14"/>
          <w:color w:val="auto"/>
        </w:rPr>
      </w:pPr>
    </w:p>
    <w:p>
      <w:pPr>
        <w:ind w:left="600" w:right="120" w:hanging="433"/>
        <w:spacing w:after="0" w:line="281" w:lineRule="auto"/>
        <w:tabs>
          <w:tab w:leader="none" w:pos="6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Loss on disposal of a business of $25.0 ($25.0 after-tax), $37.4 (32.9 after-tax), and $539.0 ($419.7 after-tax) in the years ended December 28, 2025, December 29, 2024 and December 31, 2023, respectively, related to the sale of the eOne Film and TV business executed on December 27, 2023.</w:t>
      </w:r>
    </w:p>
    <w:p>
      <w:pPr>
        <w:spacing w:after="0" w:line="24" w:lineRule="exact"/>
        <w:rPr>
          <w:rFonts w:ascii="Arial" w:cs="Arial" w:eastAsia="Arial" w:hAnsi="Arial"/>
          <w:sz w:val="14"/>
          <w:szCs w:val="14"/>
          <w:color w:val="auto"/>
        </w:rPr>
      </w:pPr>
    </w:p>
    <w:p>
      <w:pPr>
        <w:ind w:left="600" w:right="380" w:hanging="433"/>
        <w:spacing w:after="0" w:line="281" w:lineRule="auto"/>
        <w:tabs>
          <w:tab w:leader="none" w:pos="6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eOne Film and TV business divestiture related costs of $5.6 ($4.2 after-tax), $11.1 ($8.5 after-tax), and $35.1 ($34.0 after-tax), in the years ended December 28, 2025, December 29, 2024 and December 31, 2023, respectively, as a result of the sale of the eOne Film and TV business and certain retained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267335</wp:posOffset>
            </wp:positionV>
            <wp:extent cx="6964045" cy="39052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CFCFC"/>
        </w:rPr>
        <w:t>    A-3</w:t>
      </w:r>
    </w:p>
    <w:p>
      <w:pPr>
        <w:sectPr>
          <w:pgSz w:w="11900" w:h="16838" w:orient="portrait"/>
          <w:cols w:equalWidth="0" w:num="1">
            <w:col w:w="11080"/>
          </w:cols>
          <w:pgMar w:left="320" w:top="478" w:right="4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600" w:hanging="433"/>
        <w:spacing w:after="0" w:line="260" w:lineRule="auto"/>
        <w:tabs>
          <w:tab w:leader="none" w:pos="6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Non-cash goodwill impairment of $1,021.9 ($1,016.5 after-tax) for the year ended December 28, 2025, in the Consumer Products segment, following completion of an interim quantitative assessment of goodwill triggered by the implementation of tariffs. Non-cash goodwill and intangible assets impairment of $1,307.2 ($1,278.2 after-tax) for the year ended December 31, 2023, incurred within the Entertainment segment related to the eOne Film and TV business.</w:t>
      </w:r>
    </w:p>
    <w:p>
      <w:pPr>
        <w:spacing w:after="0" w:line="38" w:lineRule="exact"/>
        <w:rPr>
          <w:rFonts w:ascii="Arial" w:cs="Arial" w:eastAsia="Arial" w:hAnsi="Arial"/>
          <w:sz w:val="14"/>
          <w:szCs w:val="14"/>
          <w:color w:val="auto"/>
        </w:rPr>
      </w:pPr>
    </w:p>
    <w:p>
      <w:pPr>
        <w:ind w:left="600" w:hanging="433"/>
        <w:spacing w:after="0"/>
        <w:tabs>
          <w:tab w:leader="none" w:pos="6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Impairment of the Company’s Discovery JV investment of $78.2 ($59.8 after tax) in the year ended December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252095</wp:posOffset>
            </wp:positionV>
            <wp:extent cx="6964045" cy="39052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CFCFC"/>
        </w:rPr>
        <w:t>    A-4</w:t>
      </w:r>
    </w:p>
    <w:p>
      <w:pPr>
        <w:sectPr>
          <w:pgSz w:w="11900" w:h="16838" w:orient="portrait"/>
          <w:cols w:equalWidth="0" w:num="1">
            <w:col w:w="11020"/>
          </w:cols>
          <w:pgMar w:left="320" w:top="478" w:right="5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221615</wp:posOffset>
            </wp:positionV>
            <wp:extent cx="7094855" cy="917194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221615</wp:posOffset>
            </wp:positionV>
            <wp:extent cx="6403340" cy="829691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6403340" cy="829691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220980</wp:posOffset>
            </wp:positionV>
            <wp:extent cx="6403340" cy="829691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6403340" cy="8296910"/>
                    </a:xfrm>
                    <a:prstGeom prst="rect">
                      <a:avLst/>
                    </a:prstGeom>
                    <a:noFill/>
                  </pic:spPr>
                </pic:pic>
              </a:graphicData>
            </a:graphic>
          </wp:anchor>
        </w:drawing>
      </w:r>
    </w:p>
    <w:sectPr>
      <w:pgSz w:w="11900" w:h="16838" w:orient="portrait"/>
      <w:cols w:equalWidth="0" w:num="1">
        <w:col w:w="10139"/>
      </w:cols>
      <w:pgMar w:left="320" w:top="4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lvl w:ilvl="1">
      <w:lvlJc w:val="left"/>
      <w:lvlText w:val=" "/>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lvl w:ilvl="1">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lvl w:ilvl="1">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lvl w:ilvl="1">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1)"/>
      <w:numFmt w:val="lowerLetter"/>
      <w:start w:val="1"/>
    </w:lvl>
  </w:abstractNum>
  <w:abstractNum w:abstractNumId="30">
    <w:nsid w:val="8F2B15E"/>
    <w:multiLevelType w:val="hybridMultilevel"/>
    <w:lvl w:ilvl="0">
      <w:lvlJc w:val="left"/>
      <w:lvlText w:val="(%1)"/>
      <w:numFmt w:val="lowerLetter"/>
      <w:start w:val="2"/>
    </w:lvl>
  </w:abstractNum>
  <w:abstractNum w:abstractNumId="31">
    <w:nsid w:val="1A32234B"/>
    <w:multiLevelType w:val="hybridMultilevel"/>
    <w:lvl w:ilvl="0">
      <w:lvlJc w:val="left"/>
      <w:lvlText w:val=" "/>
      <w:numFmt w:val="bullet"/>
      <w:start w:val="1"/>
    </w:lvl>
  </w:abstractNum>
  <w:abstractNum w:abstractNumId="32">
    <w:nsid w:val="3B0FD379"/>
    <w:multiLevelType w:val="hybridMultilevel"/>
    <w:lvl w:ilvl="0">
      <w:lvlJc w:val="left"/>
      <w:lvlText w:val="(%1)"/>
      <w:numFmt w:val="lowerLetter"/>
      <w:start w:val="3"/>
    </w:lvl>
  </w:abstractNum>
  <w:abstractNum w:abstractNumId="33">
    <w:nsid w:val="68EB2F63"/>
    <w:multiLevelType w:val="hybridMultilevel"/>
    <w:lvl w:ilvl="0">
      <w:lvlJc w:val="left"/>
      <w:lvlText w:val=" "/>
      <w:numFmt w:val="bullet"/>
      <w:start w:val="1"/>
    </w:lvl>
  </w:abstractNum>
  <w:abstractNum w:abstractNumId="34">
    <w:nsid w:val="4962813B"/>
    <w:multiLevelType w:val="hybridMultilevel"/>
    <w:lvl w:ilvl="0">
      <w:lvlJc w:val="left"/>
      <w:lvlText w:val="(%1)"/>
      <w:numFmt w:val="lowerLetter"/>
      <w:start w:val="4"/>
    </w:lvl>
  </w:abstractNum>
  <w:abstractNum w:abstractNumId="35">
    <w:nsid w:val="60B6DF70"/>
    <w:multiLevelType w:val="hybridMultilevel"/>
    <w:lvl w:ilvl="0">
      <w:lvlJc w:val="left"/>
      <w:lvlText w:val="(%1)"/>
      <w:numFmt w:val="decimal"/>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lvl w:ilvl="1">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1)"/>
      <w:numFmt w:val="lowerRoman"/>
      <w:start w:val="3"/>
    </w:lvl>
  </w:abstractNum>
  <w:abstractNum w:abstractNumId="43">
    <w:nsid w:val="6EB5BD4"/>
    <w:multiLevelType w:val="hybridMultilevel"/>
    <w:lvl w:ilvl="0">
      <w:lvlJc w:val="left"/>
      <w:lvlText w:val="•"/>
      <w:numFmt w:val="bullet"/>
      <w:start w:val="1"/>
    </w:lvl>
    <w:lvl w:ilvl="1">
      <w:lvlJc w:val="left"/>
      <w:lvlText w:val=" "/>
      <w:numFmt w:val="bullet"/>
      <w:start w:val="1"/>
    </w:lvl>
  </w:abstractNum>
  <w:abstractNum w:abstractNumId="44">
    <w:nsid w:val="6F6DD9AC"/>
    <w:multiLevelType w:val="hybridMultilevel"/>
    <w:lvl w:ilvl="0">
      <w:lvlJc w:val="left"/>
      <w:lvlText w:val="1"/>
      <w:numFmt w:val="bullet"/>
      <w:start w:val="1"/>
    </w:lvl>
  </w:abstractNum>
  <w:abstractNum w:abstractNumId="45">
    <w:nsid w:val="94211F2"/>
    <w:multiLevelType w:val="hybridMultilevel"/>
    <w:lvl w:ilvl="0">
      <w:lvlJc w:val="left"/>
      <w:lvlText w:val="2"/>
      <w:numFmt w:val="bullet"/>
      <w:start w:val="1"/>
    </w:lvl>
    <w:lvl w:ilvl="1">
      <w:lvlJc w:val="left"/>
      <w:lvlText w:val=" "/>
      <w:numFmt w:val="bullet"/>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1)"/>
      <w:numFmt w:val="lowerLetter"/>
      <w:start w:val="1"/>
    </w:lvl>
  </w:abstractNum>
  <w:abstractNum w:abstractNumId="48">
    <w:nsid w:val="4C04A8AF"/>
    <w:multiLevelType w:val="hybridMultilevel"/>
    <w:lvl w:ilvl="0">
      <w:lvlJc w:val="left"/>
      <w:lvlText w:val=" "/>
      <w:numFmt w:val="bullet"/>
      <w:start w:val="1"/>
    </w:lvl>
  </w:abstractNum>
  <w:abstractNum w:abstractNumId="49">
    <w:nsid w:val="1716703B"/>
    <w:multiLevelType w:val="hybridMultilevel"/>
    <w:lvl w:ilvl="0">
      <w:lvlJc w:val="left"/>
      <w:lvlText w:val="(%1)"/>
      <w:numFmt w:val="lowerLetter"/>
      <w:start w:val="4"/>
    </w:lvl>
  </w:abstractNum>
  <w:abstractNum w:abstractNumId="50">
    <w:nsid w:val="14E17E33"/>
    <w:multiLevelType w:val="hybridMultilevel"/>
    <w:lvl w:ilvl="0">
      <w:lvlJc w:val="left"/>
      <w:lvlText w:val=" "/>
      <w:numFmt w:val="bullet"/>
      <w:start w:val="1"/>
    </w:lvl>
  </w:abstractNum>
  <w:abstractNum w:abstractNumId="51">
    <w:nsid w:val="3222E7CD"/>
    <w:multiLevelType w:val="hybridMultilevel"/>
    <w:lvl w:ilvl="0">
      <w:lvlJc w:val="left"/>
      <w:lvlText w:val=" "/>
      <w:numFmt w:val="bullet"/>
      <w:start w:val="1"/>
    </w:lvl>
  </w:abstractNum>
  <w:abstractNum w:abstractNumId="52">
    <w:nsid w:val="74DE0EE3"/>
    <w:multiLevelType w:val="hybridMultilevel"/>
    <w:lvl w:ilvl="0">
      <w:lvlJc w:val="left"/>
      <w:lvlText w:val="(%1)"/>
      <w:numFmt w:val="lowerLetter"/>
      <w:start w:val="6"/>
    </w:lvl>
  </w:abstractNum>
  <w:abstractNum w:abstractNumId="53">
    <w:nsid w:val="68EBC550"/>
    <w:multiLevelType w:val="hybridMultilevel"/>
    <w:lvl w:ilvl="0">
      <w:lvlJc w:val="left"/>
      <w:lvlText w:val=" "/>
      <w:numFmt w:val="bullet"/>
      <w:start w:val="1"/>
    </w:lvl>
    <w:lvl w:ilvl="1">
      <w:lvlJc w:val="left"/>
      <w:lvlText w:val=" "/>
      <w:numFmt w:val="bullet"/>
      <w:start w:val="1"/>
    </w:lvl>
  </w:abstractNum>
  <w:abstractNum w:abstractNumId="54">
    <w:nsid w:val="2DF6D648"/>
    <w:multiLevelType w:val="hybridMultilevel"/>
    <w:lvl w:ilvl="0">
      <w:lvlJc w:val="left"/>
      <w:lvlText w:val=" "/>
      <w:numFmt w:val="bullet"/>
      <w:start w:val="1"/>
    </w:lvl>
  </w:abstractNum>
  <w:abstractNum w:abstractNumId="55">
    <w:nsid w:val="46B7D447"/>
    <w:multiLevelType w:val="hybridMultilevel"/>
    <w:lvl w:ilvl="0">
      <w:lvlJc w:val="left"/>
      <w:lvlText w:val=" "/>
      <w:numFmt w:val="bullet"/>
      <w:start w:val="1"/>
    </w:lvl>
    <w:lvl w:ilvl="1">
      <w:lvlJc w:val="left"/>
      <w:lvlText w:val=" "/>
      <w:numFmt w:val="bullet"/>
      <w:start w:val="1"/>
    </w:lvl>
  </w:abstractNum>
  <w:abstractNum w:abstractNumId="56">
    <w:nsid w:val="4A2AC315"/>
    <w:multiLevelType w:val="hybridMultilevel"/>
    <w:lvl w:ilvl="0">
      <w:lvlJc w:val="left"/>
      <w:lvlText w:val="(%1)"/>
      <w:numFmt w:val="lowerLetter"/>
      <w:start w:val="1"/>
    </w:lvl>
  </w:abstractNum>
  <w:abstractNum w:abstractNumId="57">
    <w:nsid w:val="39EE015C"/>
    <w:multiLevelType w:val="hybridMultilevel"/>
    <w:lvl w:ilvl="0">
      <w:lvlJc w:val="left"/>
      <w:lvlText w:val="(%1)"/>
      <w:numFmt w:val="lowerLetter"/>
      <w:start w:val="1"/>
    </w:lvl>
  </w:abstractNum>
  <w:abstractNum w:abstractNumId="58">
    <w:nsid w:val="57FC4FBB"/>
    <w:multiLevelType w:val="hybridMultilevel"/>
    <w:lvl w:ilvl="0">
      <w:lvlJc w:val="left"/>
      <w:lvlText w:val="(%1)"/>
      <w:numFmt w:val="lowerLetter"/>
      <w:start w:val="2"/>
    </w:lvl>
  </w:abstractNum>
  <w:abstractNum w:abstractNumId="59">
    <w:nsid w:val="CC1016F"/>
    <w:multiLevelType w:val="hybridMultilevel"/>
    <w:lvl w:ilvl="0">
      <w:lvlJc w:val="left"/>
      <w:lvlText w:val="%1)"/>
      <w:numFmt w:val="lowerLetter"/>
      <w:start w:val="1"/>
    </w:lvl>
  </w:abstractNum>
  <w:abstractNum w:abstractNumId="60">
    <w:nsid w:val="43F18422"/>
    <w:multiLevelType w:val="hybridMultilevel"/>
    <w:lvl w:ilvl="0">
      <w:lvlJc w:val="left"/>
      <w:lvlText w:val="(%1)"/>
      <w:numFmt w:val="lowerLetter"/>
      <w:start w:val="2"/>
    </w:lvl>
  </w:abstractNum>
  <w:abstractNum w:abstractNumId="61">
    <w:nsid w:val="60EF0119"/>
    <w:multiLevelType w:val="hybridMultilevel"/>
    <w:lvl w:ilvl="0">
      <w:lvlJc w:val="left"/>
      <w:lvlText w:val="(%1)"/>
      <w:numFmt w:val="lowerLetter"/>
      <w:start w:val="1"/>
    </w:lvl>
  </w:abstractNum>
  <w:abstractNum w:abstractNumId="62">
    <w:nsid w:val="26F324BA"/>
    <w:multiLevelType w:val="hybridMultilevel"/>
    <w:lvl w:ilvl="0">
      <w:lvlJc w:val="left"/>
      <w:lvlText w:val="(%1)"/>
      <w:numFmt w:val="lowerLetter"/>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1)"/>
      <w:numFmt w:val="lowerRoman"/>
      <w:start w:val="1"/>
    </w:lvl>
    <w:lvl w:ilvl="1">
      <w:lvlJc w:val="left"/>
      <w:lvlText w:val=" "/>
      <w:numFmt w:val="bullet"/>
      <w:start w:val="1"/>
    </w:lvl>
  </w:abstractNum>
  <w:abstractNum w:abstractNumId="65">
    <w:nsid w:val="7055A5F5"/>
    <w:multiLevelType w:val="hybridMultilevel"/>
    <w:lvl w:ilvl="0">
      <w:lvlJc w:val="left"/>
      <w:lvlText w:val="•"/>
      <w:numFmt w:val="bullet"/>
      <w:start w:val="1"/>
    </w:lvl>
    <w:lvl w:ilvl="1">
      <w:lvlJc w:val="left"/>
      <w:lvlText w:val=" "/>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1)"/>
      <w:numFmt w:val="decimal"/>
      <w:start w:val="1"/>
    </w:lvl>
  </w:abstractNum>
  <w:abstractNum w:abstractNumId="68">
    <w:nsid w:val="488AC1A"/>
    <w:multiLevelType w:val="hybridMultilevel"/>
    <w:lvl w:ilvl="0">
      <w:lvlJc w:val="left"/>
      <w:lvlText w:val="(%1)"/>
      <w:numFmt w:val="decimal"/>
      <w:start w:val="3"/>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
      <w:numFmt w:val="bullet"/>
      <w:start w:val="1"/>
    </w:lvl>
  </w:abstractNum>
  <w:abstractNum w:abstractNumId="71">
    <w:nsid w:val="7672BD23"/>
    <w:multiLevelType w:val="hybridMultilevel"/>
    <w:lvl w:ilvl="0">
      <w:lvlJc w:val="left"/>
      <w:lvlText w:val="•"/>
      <w:numFmt w:val="bullet"/>
      <w:start w:val="1"/>
    </w:lvl>
    <w:lvl w:ilvl="1">
      <w:lvlJc w:val="left"/>
      <w:lvlText w:val="○"/>
      <w:numFmt w:val="bullet"/>
      <w:start w:val="1"/>
    </w:lvl>
  </w:abstractNum>
  <w:abstractNum w:abstractNumId="72">
    <w:nsid w:val="6FC75AF8"/>
    <w:multiLevelType w:val="hybridMultilevel"/>
    <w:lvl w:ilvl="0">
      <w:lvlJc w:val="left"/>
      <w:lvlText w:val="(%1)"/>
      <w:numFmt w:val="decimal"/>
      <w:start w:val="1"/>
    </w:lvl>
  </w:abstractNum>
  <w:abstractNum w:abstractNumId="73">
    <w:nsid w:val="6A5F7029"/>
    <w:multiLevelType w:val="hybridMultilevel"/>
    <w:lvl w:ilvl="0">
      <w:lvlJc w:val="left"/>
      <w:lvlText w:val="•"/>
      <w:numFmt w:val="bullet"/>
      <w:start w:val="1"/>
    </w:lvl>
  </w:abstractNum>
  <w:abstractNum w:abstractNumId="74">
    <w:nsid w:val="7D5E18F8"/>
    <w:multiLevelType w:val="hybridMultilevel"/>
    <w:lvl w:ilvl="0">
      <w:lvlJc w:val="left"/>
      <w:lvlText w:val="(%1)"/>
      <w:numFmt w:val="decimal"/>
      <w:start w:val="1"/>
    </w:lvl>
  </w:abstractNum>
  <w:abstractNum w:abstractNumId="75">
    <w:nsid w:val="5F3534A4"/>
    <w:multiLevelType w:val="hybridMultilevel"/>
    <w:lvl w:ilvl="0">
      <w:lvlJc w:val="left"/>
      <w:lvlText w:val=" "/>
      <w:numFmt w:val="bullet"/>
      <w:start w:val="1"/>
    </w:lvl>
  </w:abstractNum>
  <w:abstractNum w:abstractNumId="76">
    <w:nsid w:val="73A1821B"/>
    <w:multiLevelType w:val="hybridMultilevel"/>
    <w:lvl w:ilvl="0">
      <w:lvlJc w:val="left"/>
      <w:lvlText w:val="(%1)"/>
      <w:numFmt w:val="decimal"/>
      <w:start w:val="2"/>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1)"/>
      <w:numFmt w:val="decimal"/>
      <w:start w:val="1"/>
    </w:lvl>
    <w:lvl w:ilvl="1">
      <w:lvlJc w:val="left"/>
      <w:lvlText w:val=" "/>
      <w:numFmt w:val="bullet"/>
      <w:start w:val="1"/>
    </w:lvl>
  </w:abstractNum>
  <w:abstractNum w:abstractNumId="79">
    <w:nsid w:val="3FA62ACA"/>
    <w:multiLevelType w:val="hybridMultilevel"/>
    <w:lvl w:ilvl="0">
      <w:lvlJc w:val="left"/>
      <w:lvlText w:val="(%1)"/>
      <w:numFmt w:val="decimal"/>
      <w:start w:val="1"/>
    </w:lvl>
  </w:abstractNum>
  <w:abstractNum w:abstractNumId="80">
    <w:nsid w:val="14FCE74E"/>
    <w:multiLevelType w:val="hybridMultilevel"/>
    <w:lvl w:ilvl="0">
      <w:lvlJc w:val="left"/>
      <w:lvlText w:val=" "/>
      <w:numFmt w:val="bullet"/>
      <w:start w:val="1"/>
    </w:lvl>
  </w:abstractNum>
  <w:abstractNum w:abstractNumId="81">
    <w:nsid w:val="6A3DD3E8"/>
    <w:multiLevelType w:val="hybridMultilevel"/>
    <w:lvl w:ilvl="0">
      <w:lvlJc w:val="left"/>
      <w:lvlText w:val="(%1)"/>
      <w:numFmt w:val="decimal"/>
      <w:start w:val="2"/>
    </w:lvl>
  </w:abstractNum>
  <w:abstractNum w:abstractNumId="82">
    <w:nsid w:val="71C91298"/>
    <w:multiLevelType w:val="hybridMultilevel"/>
    <w:lvl w:ilvl="0">
      <w:lvlJc w:val="left"/>
      <w:lvlText w:val="%1:"/>
      <w:numFmt w:val="upperLetter"/>
      <w:start w:val="1"/>
    </w:lvl>
  </w:abstractNum>
  <w:abstractNum w:abstractNumId="83">
    <w:nsid w:val="9DAF632"/>
    <w:multiLevelType w:val="hybridMultilevel"/>
    <w:lvl w:ilvl="0">
      <w:lvlJc w:val="left"/>
      <w:lvlText w:val="%1:"/>
      <w:numFmt w:val="upperLetter"/>
      <w:start w:val="1"/>
    </w:lvl>
  </w:abstractNum>
  <w:abstractNum w:abstractNumId="84">
    <w:nsid w:val="53299938"/>
    <w:multiLevelType w:val="hybridMultilevel"/>
    <w:lvl w:ilvl="0">
      <w:lvlJc w:val="left"/>
      <w:lvlText w:val=" "/>
      <w:numFmt w:val="bullet"/>
      <w:start w:val="1"/>
    </w:lvl>
  </w:abstractNum>
  <w:abstractNum w:abstractNumId="85">
    <w:nsid w:val="1FBFE8E0"/>
    <w:multiLevelType w:val="hybridMultilevel"/>
    <w:lvl w:ilvl="0">
      <w:lvlJc w:val="left"/>
      <w:lvlText w:val="%1:"/>
      <w:numFmt w:val="upperLetter"/>
      <w:start w:val="1"/>
    </w:lvl>
  </w:abstractNum>
  <w:abstractNum w:abstractNumId="86">
    <w:nsid w:val="5092CA79"/>
    <w:multiLevelType w:val="hybridMultilevel"/>
    <w:lvl w:ilvl="0">
      <w:lvlJc w:val="left"/>
      <w:lvlText w:val="%1:"/>
      <w:numFmt w:val="upperLetter"/>
      <w:start w:val="16"/>
    </w:lvl>
    <w:lvl w:ilvl="1">
      <w:lvlJc w:val="left"/>
      <w:lvlText w:val="•"/>
      <w:numFmt w:val="bullet"/>
      <w:start w:val="1"/>
    </w:lvl>
  </w:abstractNum>
  <w:abstractNum w:abstractNumId="87">
    <w:nsid w:val="1D545C4D"/>
    <w:multiLevelType w:val="hybridMultilevel"/>
    <w:lvl w:ilvl="0">
      <w:lvlJc w:val="left"/>
      <w:lvlText w:val="%1:"/>
      <w:numFmt w:val="upperLetter"/>
      <w:start w:val="1"/>
    </w:lvl>
  </w:abstractNum>
  <w:abstractNum w:abstractNumId="88">
    <w:nsid w:val="59ADEA3D"/>
    <w:multiLevelType w:val="hybridMultilevel"/>
    <w:lvl w:ilvl="0">
      <w:lvlJc w:val="left"/>
      <w:lvlText w:val="%1:"/>
      <w:numFmt w:val="upperLetter"/>
      <w:start w:val="1"/>
    </w:lvl>
  </w:abstractNum>
  <w:abstractNum w:abstractNumId="89">
    <w:nsid w:val="288F1A34"/>
    <w:multiLevelType w:val="hybridMultilevel"/>
    <w:lvl w:ilvl="0">
      <w:lvlJc w:val="left"/>
      <w:lvlText w:val=" "/>
      <w:numFmt w:val="bullet"/>
      <w:start w:val="1"/>
    </w:lvl>
    <w:lvl w:ilvl="1">
      <w:lvlJc w:val="left"/>
      <w:lvlText w:val="•"/>
      <w:numFmt w:val="bullet"/>
      <w:start w:val="1"/>
    </w:lvl>
  </w:abstractNum>
  <w:abstractNum w:abstractNumId="90">
    <w:nsid w:val="2A155DBC"/>
    <w:multiLevelType w:val="hybridMultilevel"/>
    <w:lvl w:ilvl="0">
      <w:lvlJc w:val="left"/>
      <w:lvlText w:val=" "/>
      <w:numFmt w:val="bullet"/>
      <w:start w:val="1"/>
    </w:lvl>
  </w:abstractNum>
  <w:abstractNum w:abstractNumId="91">
    <w:nsid w:val="1D9F6E5F"/>
    <w:multiLevelType w:val="hybridMultilevel"/>
    <w:lvl w:ilvl="0">
      <w:lvlJc w:val="left"/>
      <w:lvlText w:val=" "/>
      <w:numFmt w:val="bullet"/>
      <w:start w:val="1"/>
    </w:lvl>
    <w:lvl w:ilvl="1">
      <w:lvlJc w:val="left"/>
      <w:lvlText w:val="•"/>
      <w:numFmt w:val="bullet"/>
      <w:start w:val="1"/>
    </w:lvl>
  </w:abstractNum>
  <w:abstractNum w:abstractNumId="92">
    <w:nsid w:val="97E1B4E"/>
    <w:multiLevelType w:val="hybridMultilevel"/>
    <w:lvl w:ilvl="0">
      <w:lvlJc w:val="left"/>
      <w:lvlText w:val="%1:"/>
      <w:numFmt w:val="upperLetter"/>
      <w:start w:val="1"/>
    </w:lvl>
  </w:abstractNum>
  <w:abstractNum w:abstractNumId="93">
    <w:nsid w:val="51088277"/>
    <w:multiLevelType w:val="hybridMultilevel"/>
    <w:lvl w:ilvl="0">
      <w:lvlJc w:val="left"/>
      <w:lvlText w:val="%1:"/>
      <w:numFmt w:val="upperLetter"/>
      <w:start w:val="1"/>
    </w:lvl>
  </w:abstractNum>
  <w:abstractNum w:abstractNumId="94">
    <w:nsid w:val="1CA0C5FA"/>
    <w:multiLevelType w:val="hybridMultilevel"/>
    <w:lvl w:ilvl="0">
      <w:lvlJc w:val="left"/>
      <w:lvlText w:val="%1:"/>
      <w:numFmt w:val="upperLetter"/>
      <w:start w:val="1"/>
    </w:lvl>
  </w:abstractNum>
  <w:abstractNum w:abstractNumId="95">
    <w:nsid w:val="53584BCB"/>
    <w:multiLevelType w:val="hybridMultilevel"/>
    <w:lvl w:ilvl="0">
      <w:lvlJc w:val="left"/>
      <w:lvlText w:val=" "/>
      <w:numFmt w:val="bullet"/>
      <w:start w:val="1"/>
    </w:lvl>
  </w:abstractNum>
  <w:abstractNum w:abstractNumId="96">
    <w:nsid w:val="415E286C"/>
    <w:multiLevelType w:val="hybridMultilevel"/>
    <w:lvl w:ilvl="0">
      <w:lvlJc w:val="left"/>
      <w:lvlText w:val="%1:"/>
      <w:numFmt w:val="upperLetter"/>
      <w:start w:val="17"/>
    </w:lvl>
  </w:abstractNum>
  <w:abstractNum w:abstractNumId="97">
    <w:nsid w:val="7C58FD05"/>
    <w:multiLevelType w:val="hybridMultilevel"/>
    <w:lvl w:ilvl="0">
      <w:lvlJc w:val="left"/>
      <w:lvlText w:val="%1:"/>
      <w:numFmt w:val="upperLetter"/>
      <w:start w:val="1"/>
    </w:lvl>
  </w:abstractNum>
  <w:abstractNum w:abstractNumId="98">
    <w:nsid w:val="23D86AAC"/>
    <w:multiLevelType w:val="hybridMultilevel"/>
    <w:lvl w:ilvl="0">
      <w:lvlJc w:val="left"/>
      <w:lvlText w:val="%1:"/>
      <w:numFmt w:val="upperLetter"/>
      <w:start w:val="1"/>
    </w:lvl>
  </w:abstractNum>
  <w:abstractNum w:abstractNumId="99">
    <w:nsid w:val="45E6D486"/>
    <w:multiLevelType w:val="hybridMultilevel"/>
    <w:lvl w:ilvl="0">
      <w:lvlJc w:val="left"/>
      <w:lvlText w:val=" "/>
      <w:numFmt w:val="bullet"/>
      <w:start w:val="1"/>
    </w:lvl>
  </w:abstractNum>
  <w:abstractNum w:abstractNumId="100">
    <w:nsid w:val="5C10FE21"/>
    <w:multiLevelType w:val="hybridMultilevel"/>
    <w:lvl w:ilvl="0">
      <w:lvlJc w:val="left"/>
      <w:lvlText w:val="%1:"/>
      <w:numFmt w:val="upperLetter"/>
      <w:start w:val="1"/>
    </w:lvl>
  </w:abstractNum>
  <w:abstractNum w:abstractNumId="101">
    <w:nsid w:val="E7FFA2B"/>
    <w:multiLevelType w:val="hybridMultilevel"/>
    <w:lvl w:ilvl="0">
      <w:lvlJc w:val="left"/>
      <w:lvlText w:val="%1:"/>
      <w:numFmt w:val="upperLetter"/>
      <w:start w:val="1"/>
    </w:lvl>
  </w:abstractNum>
  <w:abstractNum w:abstractNumId="102">
    <w:nsid w:val="3C5991AA"/>
    <w:multiLevelType w:val="hybridMultilevel"/>
    <w:lvl w:ilvl="0">
      <w:lvlJc w:val="left"/>
      <w:lvlText w:val="%1:"/>
      <w:numFmt w:val="upperLetter"/>
      <w:start w:val="17"/>
    </w:lvl>
  </w:abstractNum>
  <w:abstractNum w:abstractNumId="103">
    <w:nsid w:val="4BD8591A"/>
    <w:multiLevelType w:val="hybridMultilevel"/>
    <w:lvl w:ilvl="0">
      <w:lvlJc w:val="left"/>
      <w:lvlText w:val="%1:"/>
      <w:numFmt w:val="upperLetter"/>
      <w:start w:val="1"/>
    </w:lvl>
  </w:abstractNum>
  <w:abstractNum w:abstractNumId="104">
    <w:nsid w:val="78DF6A55"/>
    <w:multiLevelType w:val="hybridMultilevel"/>
    <w:lvl w:ilvl="0">
      <w:lvlJc w:val="left"/>
      <w:lvlText w:val="  "/>
      <w:numFmt w:val="bullet"/>
      <w:start w:val="1"/>
    </w:lvl>
  </w:abstractNum>
  <w:abstractNum w:abstractNumId="105">
    <w:nsid w:val="39B7AAA2"/>
    <w:multiLevelType w:val="hybridMultilevel"/>
    <w:lvl w:ilvl="0">
      <w:lvlJc w:val="left"/>
      <w:lvlText w:val=" "/>
      <w:numFmt w:val="bullet"/>
      <w:start w:val="1"/>
    </w:lvl>
  </w:abstractNum>
  <w:abstractNum w:abstractNumId="106">
    <w:nsid w:val="2B0D8DBE"/>
    <w:multiLevelType w:val="hybridMultilevel"/>
    <w:lvl w:ilvl="0">
      <w:lvlJc w:val="left"/>
      <w:lvlText w:val="%1:"/>
      <w:numFmt w:val="upperLetter"/>
      <w:start w:val="17"/>
    </w:lvl>
  </w:abstractNum>
  <w:abstractNum w:abstractNumId="107">
    <w:nsid w:val="6C80EC70"/>
    <w:multiLevelType w:val="hybridMultilevel"/>
    <w:lvl w:ilvl="0">
      <w:lvlJc w:val="left"/>
      <w:lvlText w:val="%1:"/>
      <w:numFmt w:val="upperLetter"/>
      <w:start w:val="1"/>
    </w:lvl>
  </w:abstractNum>
  <w:abstractNum w:abstractNumId="108">
    <w:nsid w:val="379E21B5"/>
    <w:multiLevelType w:val="hybridMultilevel"/>
    <w:lvl w:ilvl="0">
      <w:lvlJc w:val="left"/>
      <w:lvlText w:val=" "/>
      <w:numFmt w:val="bullet"/>
      <w:start w:val="1"/>
    </w:lvl>
  </w:abstractNum>
  <w:abstractNum w:abstractNumId="109">
    <w:nsid w:val="69E373"/>
    <w:multiLevelType w:val="hybridMultilevel"/>
    <w:lvl w:ilvl="0">
      <w:lvlJc w:val="left"/>
      <w:lvlText w:val="%1:"/>
      <w:numFmt w:val="upperLetter"/>
      <w:start w:val="17"/>
    </w:lvl>
  </w:abstractNum>
  <w:abstractNum w:abstractNumId="110">
    <w:nsid w:val="2C27173B"/>
    <w:multiLevelType w:val="hybridMultilevel"/>
    <w:lvl w:ilvl="0">
      <w:lvlJc w:val="left"/>
      <w:lvlText w:val="%1:"/>
      <w:numFmt w:val="upperLetter"/>
      <w:start w:val="1"/>
    </w:lvl>
  </w:abstractNum>
  <w:abstractNum w:abstractNumId="111">
    <w:nsid w:val="4C9B0904"/>
    <w:multiLevelType w:val="hybridMultilevel"/>
    <w:lvl w:ilvl="0">
      <w:lvlJc w:val="left"/>
      <w:lvlText w:val=" "/>
      <w:numFmt w:val="bullet"/>
      <w:start w:val="1"/>
    </w:lvl>
  </w:abstractNum>
  <w:abstractNum w:abstractNumId="112">
    <w:nsid w:val="6AA7B75C"/>
    <w:multiLevelType w:val="hybridMultilevel"/>
    <w:lvl w:ilvl="0">
      <w:lvlJc w:val="left"/>
      <w:lvlText w:val="%1:"/>
      <w:numFmt w:val="upperLetter"/>
      <w:start w:val="1"/>
    </w:lvl>
  </w:abstractNum>
  <w:abstractNum w:abstractNumId="113">
    <w:nsid w:val="1DF029D3"/>
    <w:multiLevelType w:val="hybridMultilevel"/>
    <w:lvl w:ilvl="0">
      <w:lvlJc w:val="left"/>
      <w:lvlText w:val="%1:"/>
      <w:numFmt w:val="upperLetter"/>
      <w:start w:val="1"/>
    </w:lvl>
  </w:abstractNum>
  <w:abstractNum w:abstractNumId="114">
    <w:nsid w:val="5675FF36"/>
    <w:multiLevelType w:val="hybridMultilevel"/>
    <w:lvl w:ilvl="0">
      <w:lvlJc w:val="left"/>
      <w:lvlText w:val="%1:"/>
      <w:numFmt w:val="upperLetter"/>
      <w:start w:val="17"/>
    </w:lvl>
  </w:abstractNum>
  <w:abstractNum w:abstractNumId="115">
    <w:nsid w:val="3DD15094"/>
    <w:multiLevelType w:val="hybridMultilevel"/>
    <w:lvl w:ilvl="0">
      <w:lvlJc w:val="left"/>
      <w:lvlText w:val="%1:"/>
      <w:numFmt w:val="upperLetter"/>
      <w:start w:val="1"/>
    </w:lvl>
  </w:abstractNum>
  <w:abstractNum w:abstractNumId="116">
    <w:nsid w:val="3DB012B3"/>
    <w:multiLevelType w:val="hybridMultilevel"/>
    <w:lvl w:ilvl="0">
      <w:lvlJc w:val="left"/>
      <w:lvlText w:val="%1:"/>
      <w:numFmt w:val="upperLetter"/>
      <w:start w:val="17"/>
    </w:lvl>
  </w:abstractNum>
  <w:abstractNum w:abstractNumId="117">
    <w:nsid w:val="2708C9AF"/>
    <w:multiLevelType w:val="hybridMultilevel"/>
    <w:lvl w:ilvl="0">
      <w:lvlJc w:val="left"/>
      <w:lvlText w:val="%1:"/>
      <w:numFmt w:val="upperLetter"/>
      <w:start w:val="1"/>
    </w:lvl>
  </w:abstractNum>
  <w:abstractNum w:abstractNumId="118">
    <w:nsid w:val="5B25ACE2"/>
    <w:multiLevelType w:val="hybridMultilevel"/>
    <w:lvl w:ilvl="0">
      <w:lvlJc w:val="left"/>
      <w:lvlText w:val="•"/>
      <w:numFmt w:val="bullet"/>
      <w:start w:val="1"/>
    </w:lvl>
    <w:lvl w:ilvl="1">
      <w:lvlJc w:val="left"/>
      <w:lvlText w:val=" "/>
      <w:numFmt w:val="bullet"/>
      <w:start w:val="1"/>
    </w:lvl>
    <w:lvl w:ilvl="2">
      <w:lvlJc w:val="left"/>
      <w:lvlText w:val="o"/>
      <w:numFmt w:val="bullet"/>
      <w:start w:val="1"/>
    </w:lvl>
  </w:abstractNum>
  <w:abstractNum w:abstractNumId="119">
    <w:nsid w:val="175DFCF0"/>
    <w:multiLevelType w:val="hybridMultilevel"/>
    <w:lvl w:ilvl="0">
      <w:lvlJc w:val="left"/>
      <w:lvlText w:val="•"/>
      <w:numFmt w:val="bullet"/>
      <w:start w:val="1"/>
    </w:lvl>
    <w:lvl w:ilvl="1">
      <w:lvlJc w:val="left"/>
      <w:lvlText w:val=" "/>
      <w:numFmt w:val="bullet"/>
      <w:start w:val="1"/>
    </w:lvl>
    <w:lvl w:ilvl="2">
      <w:lvlJc w:val="left"/>
      <w:lvlText w:val="○"/>
      <w:numFmt w:val="bullet"/>
      <w:start w:val="1"/>
    </w:lvl>
  </w:abstractNum>
  <w:abstractNum w:abstractNumId="120">
    <w:nsid w:val="4F97E3E4"/>
    <w:multiLevelType w:val="hybridMultilevel"/>
    <w:lvl w:ilvl="0">
      <w:lvlJc w:val="left"/>
      <w:lvlText w:val="•"/>
      <w:numFmt w:val="bullet"/>
      <w:start w:val="1"/>
    </w:lvl>
    <w:lvl w:ilvl="1">
      <w:lvlJc w:val="left"/>
      <w:lvlText w:val="○"/>
      <w:numFmt w:val="bullet"/>
      <w:start w:val="1"/>
    </w:lvl>
  </w:abstractNum>
  <w:abstractNum w:abstractNumId="121">
    <w:nsid w:val="53B0A9E"/>
    <w:multiLevelType w:val="hybridMultilevel"/>
    <w:lvl w:ilvl="0">
      <w:lvlJc w:val="left"/>
      <w:lvlText w:val="(%1)"/>
      <w:numFmt w:val="lowerRoman"/>
      <w:start w:val="3"/>
    </w:lvl>
  </w:abstractNum>
  <w:abstractNum w:abstractNumId="122">
    <w:nsid w:val="34FD6B4F"/>
    <w:multiLevelType w:val="hybridMultilevel"/>
    <w:lvl w:ilvl="0">
      <w:lvlJc w:val="left"/>
      <w:lvlText w:val="(%1)"/>
      <w:numFmt w:val="decimal"/>
      <w:start w:val="1"/>
    </w:lvl>
  </w:abstractNum>
  <w:abstractNum w:abstractNumId="123">
    <w:nsid w:val="5915FF32"/>
    <w:multiLevelType w:val="hybridMultilevel"/>
    <w:lvl w:ilvl="0">
      <w:lvlJc w:val="left"/>
      <w:lvlText w:val="(%1)"/>
      <w:numFmt w:val="decimal"/>
      <w:start w:val="5"/>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jpeg"/><Relationship Id="rId724" Type="http://schemas.openxmlformats.org/officeDocument/2006/relationships/image" Target="media/image717.jpe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jpeg"/><Relationship Id="rId763" Type="http://schemas.openxmlformats.org/officeDocument/2006/relationships/image" Target="media/image756.jpe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jpeg"/><Relationship Id="rId887" Type="http://schemas.openxmlformats.org/officeDocument/2006/relationships/image" Target="media/image880.png"/><Relationship Id="rId888" Type="http://schemas.openxmlformats.org/officeDocument/2006/relationships/image" Target="media/image881.jpe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jpe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jpe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jpe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jpeg"/><Relationship Id="rId1278" Type="http://schemas.openxmlformats.org/officeDocument/2006/relationships/image" Target="media/image1271.png"/><Relationship Id="rId1279" Type="http://schemas.openxmlformats.org/officeDocument/2006/relationships/image" Target="media/image1272.jpe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jpe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jpe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jpe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jpeg"/><Relationship Id="rId1293" Type="http://schemas.openxmlformats.org/officeDocument/2006/relationships/image" Target="media/image1286.png"/><Relationship Id="rId1294" Type="http://schemas.openxmlformats.org/officeDocument/2006/relationships/image" Target="media/image1287.jpe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jpe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jpe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jpe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jpe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jpe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jpeg"/><Relationship Id="rId1326" Type="http://schemas.openxmlformats.org/officeDocument/2006/relationships/image" Target="media/image1319.png"/><Relationship Id="rId1327" Type="http://schemas.openxmlformats.org/officeDocument/2006/relationships/image" Target="media/image1320.jpe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jpeg"/><Relationship Id="rId1331" Type="http://schemas.openxmlformats.org/officeDocument/2006/relationships/image" Target="media/image1324.png"/><Relationship Id="rId1332" Type="http://schemas.openxmlformats.org/officeDocument/2006/relationships/image" Target="media/image1325.jpe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jpeg"/><Relationship Id="rId1344" Type="http://schemas.openxmlformats.org/officeDocument/2006/relationships/image" Target="media/image1337.png"/><Relationship Id="rId1345" Type="http://schemas.openxmlformats.org/officeDocument/2006/relationships/image" Target="media/image1338.jpeg"/><Relationship Id="rId1346" Type="http://schemas.openxmlformats.org/officeDocument/2006/relationships/image" Target="media/image1339.jpeg"/><Relationship Id="rId1347" Type="http://schemas.openxmlformats.org/officeDocument/2006/relationships/image" Target="media/image1340.png"/><Relationship Id="rId1348" Type="http://schemas.openxmlformats.org/officeDocument/2006/relationships/image" Target="media/image1341.jpeg"/><Relationship Id="rId1349" Type="http://schemas.openxmlformats.org/officeDocument/2006/relationships/image" Target="media/image1342.png"/><Relationship Id="rId1350" Type="http://schemas.openxmlformats.org/officeDocument/2006/relationships/image" Target="media/image1343.jpe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jpe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jpe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jpe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jpe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jpe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jpeg"/><Relationship Id="rId1370" Type="http://schemas.openxmlformats.org/officeDocument/2006/relationships/image" Target="media/image1363.png"/><Relationship Id="rId1371" Type="http://schemas.openxmlformats.org/officeDocument/2006/relationships/image" Target="media/image1364.jpeg"/><Relationship Id="rId1372" Type="http://schemas.openxmlformats.org/officeDocument/2006/relationships/image" Target="media/image1365.jpeg"/><Relationship Id="rId1373" Type="http://schemas.openxmlformats.org/officeDocument/2006/relationships/image" Target="media/image1366.png"/><Relationship Id="rId1374" Type="http://schemas.openxmlformats.org/officeDocument/2006/relationships/image" Target="media/image1367.jpeg"/><Relationship Id="rId1375" Type="http://schemas.openxmlformats.org/officeDocument/2006/relationships/image" Target="media/image1368.png"/><Relationship Id="rId1376" Type="http://schemas.openxmlformats.org/officeDocument/2006/relationships/image" Target="media/image1369.jpe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jpe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jpe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jpeg"/><Relationship Id="rId1387" Type="http://schemas.openxmlformats.org/officeDocument/2006/relationships/image" Target="media/image1380.png"/><Relationship Id="rId1388" Type="http://schemas.openxmlformats.org/officeDocument/2006/relationships/image" Target="media/image1381.jpe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jpe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jpeg"/><Relationship Id="rId1397" Type="http://schemas.openxmlformats.org/officeDocument/2006/relationships/image" Target="media/image1390.png"/><Relationship Id="rId1398" Type="http://schemas.openxmlformats.org/officeDocument/2006/relationships/image" Target="media/image1391.jpe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jpe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jpe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jpeg"/><Relationship Id="rId1411" Type="http://schemas.openxmlformats.org/officeDocument/2006/relationships/image" Target="media/image1404.png"/><Relationship Id="rId1412" Type="http://schemas.openxmlformats.org/officeDocument/2006/relationships/image" Target="media/image1405.jpe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jpeg"/><Relationship Id="rId1417" Type="http://schemas.openxmlformats.org/officeDocument/2006/relationships/image" Target="media/image1410.png"/><Relationship Id="rId1418" Type="http://schemas.openxmlformats.org/officeDocument/2006/relationships/image" Target="media/image1411.jpeg"/><Relationship Id="rId1419" Type="http://schemas.openxmlformats.org/officeDocument/2006/relationships/image" Target="media/image1412.png"/><Relationship Id="rId1420" Type="http://schemas.openxmlformats.org/officeDocument/2006/relationships/image" Target="media/image1413.jpeg"/><Relationship Id="rId1421" Type="http://schemas.openxmlformats.org/officeDocument/2006/relationships/image" Target="media/image1414.png"/><Relationship Id="rId1422" Type="http://schemas.openxmlformats.org/officeDocument/2006/relationships/image" Target="media/image1415.jpe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jpe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jpeg"/><Relationship Id="rId1429" Type="http://schemas.openxmlformats.org/officeDocument/2006/relationships/image" Target="media/image1422.png"/><Relationship Id="rId1430" Type="http://schemas.openxmlformats.org/officeDocument/2006/relationships/image" Target="media/image1423.jpe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jpe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jpe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jpeg"/><Relationship Id="rId1442" Type="http://schemas.openxmlformats.org/officeDocument/2006/relationships/image" Target="media/image1435.png"/><Relationship Id="rId1443" Type="http://schemas.openxmlformats.org/officeDocument/2006/relationships/image" Target="media/image1436.jpeg"/><Relationship Id="rId1444" Type="http://schemas.openxmlformats.org/officeDocument/2006/relationships/image" Target="media/image1437.png"/><Relationship Id="rId1445" Type="http://schemas.openxmlformats.org/officeDocument/2006/relationships/image" Target="media/image1438.jpeg"/><Relationship Id="rId1446" Type="http://schemas.openxmlformats.org/officeDocument/2006/relationships/image" Target="media/image1439.png"/><Relationship Id="rId1447" Type="http://schemas.openxmlformats.org/officeDocument/2006/relationships/image" Target="media/image1440.jpe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jpeg"/><Relationship Id="rId1452" Type="http://schemas.openxmlformats.org/officeDocument/2006/relationships/image" Target="media/image1445.png"/><Relationship Id="rId1453" Type="http://schemas.openxmlformats.org/officeDocument/2006/relationships/image" Target="media/image1446.jpe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jpe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jpe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jpeg"/><Relationship Id="rId1465" Type="http://schemas.openxmlformats.org/officeDocument/2006/relationships/image" Target="media/image1458.png"/><Relationship Id="rId1466" Type="http://schemas.openxmlformats.org/officeDocument/2006/relationships/image" Target="media/image1459.jpe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jpe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jpe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jpe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jpe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jpeg"/><Relationship Id="rId1499" Type="http://schemas.openxmlformats.org/officeDocument/2006/relationships/image" Target="media/image1492.png"/><Relationship Id="rId1500" Type="http://schemas.openxmlformats.org/officeDocument/2006/relationships/image" Target="media/image1493.jpeg"/><Relationship Id="rId1501" Type="http://schemas.openxmlformats.org/officeDocument/2006/relationships/image" Target="media/image1494.png"/><Relationship Id="rId1502" Type="http://schemas.openxmlformats.org/officeDocument/2006/relationships/image" Target="media/image1495.jpe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jpeg"/><Relationship Id="rId1509" Type="http://schemas.openxmlformats.org/officeDocument/2006/relationships/image" Target="media/image1502.jpe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jpe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jpe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jpeg"/><Relationship Id="rId1519" Type="http://schemas.openxmlformats.org/officeDocument/2006/relationships/image" Target="media/image1512.png"/><Relationship Id="rId1520" Type="http://schemas.openxmlformats.org/officeDocument/2006/relationships/image" Target="media/image1513.jpeg"/><Relationship Id="rId1521" Type="http://schemas.openxmlformats.org/officeDocument/2006/relationships/image" Target="media/image1514.png"/><Relationship Id="rId1522" Type="http://schemas.openxmlformats.org/officeDocument/2006/relationships/image" Target="media/image1515.jpeg"/><Relationship Id="rId1523" Type="http://schemas.openxmlformats.org/officeDocument/2006/relationships/image" Target="media/image1516.png"/><Relationship Id="rId1524" Type="http://schemas.openxmlformats.org/officeDocument/2006/relationships/image" Target="media/image1517.jpeg"/><Relationship Id="rId1525" Type="http://schemas.openxmlformats.org/officeDocument/2006/relationships/image" Target="media/image1518.png"/><Relationship Id="rId1526" Type="http://schemas.openxmlformats.org/officeDocument/2006/relationships/image" Target="media/image15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2026-04-17T08:04:33Z</dcterms:created>
  <dcterms:modified xsi:type="dcterms:W3CDTF">2026-04-17T08:04:33Z</dcterms:modified>
</cp:coreProperties>
</file>