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 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Form 10-K </w:t>
      </w:r>
    </w:p>
    <w:p>
      <w:pPr>
        <w:pStyle w:val="TextBody"/>
        <w:bidi w:val="0"/>
        <w:spacing w:lineRule="auto" w:line="288" w:before="0" w:after="0"/>
        <w:jc w:val="center"/>
        <w:rPr/>
      </w:pPr>
      <w:r>
        <w:rPr>
          <w:color w:val="000000"/>
        </w:rPr>
        <w:t xml:space="preserve">☒ </w:t>
      </w:r>
      <w:r>
        <w:rPr>
          <w:rFonts w:ascii="Arial;sans-serif" w:hAnsi="Arial;sans-serif"/>
          <w:b/>
          <w:color w:val="000000"/>
          <w:sz w:val="20"/>
        </w:rPr>
        <w:t>ANNUAL REPORT PURSUANT TO SECTION 13 OR 15(d) OF THE SECURITIES EXCHANGE ACT OF 1934</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 xml:space="preserve">For the fiscal year ended December 28, 2025 </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 xml:space="preserve">Commission file number 1-6682 </w:t>
      </w:r>
    </w:p>
    <w:p>
      <w:pPr>
        <w:pStyle w:val="TextBody"/>
        <w:bidi w:val="0"/>
        <w:spacing w:lineRule="auto" w:line="240" w:before="80" w:after="283"/>
        <w:jc w:val="center"/>
        <w:rPr>
          <w:rFonts w:ascii="Arial;sans-serif" w:hAnsi="Arial;sans-serif"/>
          <w:b/>
          <w:color w:val="000000"/>
          <w:sz w:val="36"/>
        </w:rPr>
      </w:pPr>
      <w:r>
        <w:rPr>
          <w:rFonts w:ascii="Arial;sans-serif" w:hAnsi="Arial;sans-serif"/>
          <w:b/>
          <w:color w:val="000000"/>
          <w:sz w:val="36"/>
        </w:rPr>
        <w:t xml:space="preserve">Hasbro, Inc. </w:t>
      </w:r>
    </w:p>
    <w:p>
      <w:pPr>
        <w:pStyle w:val="TextBody"/>
        <w:bidi w:val="0"/>
        <w:spacing w:lineRule="auto" w:line="288" w:before="20" w:after="283"/>
        <w:jc w:val="center"/>
        <w:rPr>
          <w:rFonts w:ascii="Arial;sans-serif" w:hAnsi="Arial;sans-serif"/>
          <w:b w:val="false"/>
          <w:i/>
          <w:color w:val="000000"/>
          <w:sz w:val="16"/>
        </w:rPr>
      </w:pPr>
      <w:r>
        <w:rPr>
          <w:rFonts w:ascii="Arial;sans-serif" w:hAnsi="Arial;sans-serif"/>
          <w:b w:val="false"/>
          <w:i/>
          <w:color w:val="000000"/>
          <w:sz w:val="16"/>
        </w:rPr>
        <w:t>(Exact Name of Registrant As Specified in its Charter)</w:t>
      </w:r>
    </w:p>
    <w:tbl>
      <w:tblPr>
        <w:tblW w:w="6267" w:type="dxa"/>
        <w:jc w:val="center"/>
        <w:tblInd w:w="0" w:type="dxa"/>
        <w:tblLayout w:type="fixed"/>
        <w:tblCellMar>
          <w:top w:w="28" w:type="dxa"/>
          <w:left w:w="28" w:type="dxa"/>
          <w:bottom w:w="28" w:type="dxa"/>
          <w:right w:w="28" w:type="dxa"/>
        </w:tblCellMar>
      </w:tblPr>
      <w:tblGrid>
        <w:gridCol w:w="559"/>
        <w:gridCol w:w="494"/>
        <w:gridCol w:w="494"/>
        <w:gridCol w:w="587"/>
        <w:gridCol w:w="587"/>
        <w:gridCol w:w="591"/>
        <w:gridCol w:w="862"/>
        <w:gridCol w:w="862"/>
        <w:gridCol w:w="1231"/>
      </w:tblGrid>
      <w:tr>
        <w:trPr/>
        <w:tc>
          <w:tcPr>
            <w:tcW w:w="55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33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Rhode Island</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05-0155090</w:t>
            </w:r>
          </w:p>
        </w:tc>
      </w:tr>
      <w:tr>
        <w:trPr/>
        <w:tc>
          <w:tcPr>
            <w:tcW w:w="33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(State of Incorporation)</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18"/>
              </w:rPr>
              <w:t>(I.R.S. Employer</w:t>
            </w:r>
            <w:r>
              <w:rPr>
                <w:color w:val="000000"/>
              </w:rPr>
              <w:t xml:space="preserve"> </w:t>
            </w:r>
            <w:r>
              <w:rPr>
                <w:rFonts w:ascii="Arial;sans-serif" w:hAnsi="Arial;sans-serif"/>
                <w:b w:val="false"/>
                <w:i/>
                <w:color w:val="000000"/>
                <w:sz w:val="18"/>
              </w:rPr>
              <w:t>Identification No.)</w:t>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1027 Newport Avenue</w:t>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Pawtucket,</w:t>
            </w:r>
          </w:p>
        </w:tc>
        <w:tc>
          <w:tcPr>
            <w:tcW w:w="1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Rhode Island</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02861</w:t>
            </w:r>
          </w:p>
        </w:tc>
      </w:tr>
      <w:tr>
        <w:trPr/>
        <w:tc>
          <w:tcPr>
            <w:tcW w:w="33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(Address of Principal Executive Offices)</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(Zip Code)</w:t>
            </w:r>
          </w:p>
        </w:tc>
      </w:tr>
    </w:tbl>
    <w:p>
      <w:pPr>
        <w:pStyle w:val="TextBody"/>
        <w:bidi w:val="0"/>
        <w:spacing w:lineRule="auto" w:line="288" w:before="40" w:after="283"/>
        <w:jc w:val="center"/>
        <w:rPr/>
      </w:pPr>
      <w:r>
        <w:rPr>
          <w:rFonts w:ascii="Arial;sans-serif" w:hAnsi="Arial;sans-serif"/>
          <w:b/>
          <w:color w:val="000000"/>
          <w:sz w:val="18"/>
        </w:rPr>
        <w:t>Registrant’s telephone number, including area code </w:t>
      </w:r>
      <w:r>
        <w:rPr>
          <w:rFonts w:ascii="Arial;sans-serif" w:hAnsi="Arial;sans-serif"/>
          <w:b/>
          <w:color w:val="000000"/>
          <w:sz w:val="18"/>
          <w:u w:val="single"/>
        </w:rPr>
        <w:t xml:space="preserve">(401) 431-8697 </w:t>
      </w:r>
    </w:p>
    <w:p>
      <w:pPr>
        <w:pStyle w:val="TextBody"/>
        <w:bidi w:val="0"/>
        <w:spacing w:lineRule="auto" w:line="288" w:before="40" w:after="283"/>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6777" w:type="dxa"/>
        <w:jc w:val="center"/>
        <w:tblInd w:w="0" w:type="dxa"/>
        <w:tblLayout w:type="fixed"/>
        <w:tblCellMar>
          <w:top w:w="28" w:type="dxa"/>
          <w:left w:w="28" w:type="dxa"/>
          <w:bottom w:w="28" w:type="dxa"/>
          <w:right w:w="28" w:type="dxa"/>
        </w:tblCellMar>
      </w:tblPr>
      <w:tblGrid>
        <w:gridCol w:w="558"/>
        <w:gridCol w:w="490"/>
        <w:gridCol w:w="496"/>
        <w:gridCol w:w="524"/>
        <w:gridCol w:w="524"/>
        <w:gridCol w:w="526"/>
        <w:gridCol w:w="1071"/>
        <w:gridCol w:w="1071"/>
        <w:gridCol w:w="1517"/>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Trading Symbol(s)</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Name of each exchange on which registered</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HAS</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Global Select Market</w:t>
            </w:r>
          </w:p>
        </w:tc>
      </w:tr>
    </w:tbl>
    <w:p>
      <w:pPr>
        <w:pStyle w:val="TextBody"/>
        <w:bidi w:val="0"/>
        <w:spacing w:lineRule="auto" w:line="288" w:before="20" w:after="283"/>
        <w:jc w:val="center"/>
        <w:rPr>
          <w:rFonts w:ascii="Arial;sans-serif" w:hAnsi="Arial;sans-serif"/>
          <w:b/>
          <w:color w:val="000000"/>
          <w:sz w:val="18"/>
        </w:rPr>
      </w:pPr>
      <w:r>
        <w:rPr>
          <w:rFonts w:ascii="Arial;sans-serif" w:hAnsi="Arial;sans-serif"/>
          <w:b/>
          <w:color w:val="000000"/>
          <w:sz w:val="18"/>
        </w:rPr>
        <w:t>Securities registered pursuant to Section 12(g) of the Act:</w:t>
      </w:r>
    </w:p>
    <w:p>
      <w:pPr>
        <w:pStyle w:val="TextBody"/>
        <w:bidi w:val="0"/>
        <w:spacing w:lineRule="auto" w:line="288" w:before="20" w:after="283"/>
        <w:jc w:val="center"/>
        <w:rPr>
          <w:rFonts w:ascii="Arial;sans-serif" w:hAnsi="Arial;sans-serif"/>
          <w:b/>
          <w:color w:val="000000"/>
          <w:sz w:val="18"/>
        </w:rPr>
      </w:pPr>
      <w:r>
        <w:rPr>
          <w:rFonts w:ascii="Arial;sans-serif" w:hAnsi="Arial;sans-serif"/>
          <w:b/>
          <w:color w:val="000000"/>
          <w:sz w:val="18"/>
        </w:rPr>
        <w:t>None</w:t>
      </w:r>
    </w:p>
    <w:p>
      <w:pPr>
        <w:pStyle w:val="TextBody"/>
        <w:bidi w:val="0"/>
        <w:spacing w:lineRule="auto" w:line="288" w:before="0" w:after="0"/>
        <w:ind w:left="0" w:right="0" w:firstLine="540"/>
        <w:jc w:val="left"/>
        <w:rPr>
          <w:rFonts w:ascii="Arial;sans-serif" w:hAnsi="Arial;sans-serif"/>
          <w:b w:val="false"/>
          <w:color w:val="000000"/>
          <w:sz w:val="18"/>
        </w:rPr>
      </w:pPr>
      <w:r>
        <w:rPr>
          <w:rFonts w:ascii="Arial;sans-serif" w:hAnsi="Arial;sans-serif"/>
          <w:b w:val="false"/>
          <w:color w:val="000000"/>
          <w:sz w:val="18"/>
        </w:rPr>
        <w:t>Indicate by check mark if the registrant is a well-known seasoned issuer, as defined in Rule 405 of the Securities Act.    Yes  ☒    or    No  ☐.</w:t>
      </w:r>
    </w:p>
    <w:p>
      <w:pPr>
        <w:pStyle w:val="TextBody"/>
        <w:bidi w:val="0"/>
        <w:spacing w:lineRule="auto" w:line="288" w:before="60" w:after="283"/>
        <w:ind w:left="0" w:right="0" w:firstLine="540"/>
        <w:jc w:val="left"/>
        <w:rPr>
          <w:rFonts w:ascii="Arial;sans-serif" w:hAnsi="Arial;sans-serif"/>
          <w:b w:val="false"/>
          <w:color w:val="000000"/>
          <w:sz w:val="18"/>
        </w:rPr>
      </w:pPr>
      <w:r>
        <w:rPr>
          <w:rFonts w:ascii="Arial;sans-serif" w:hAnsi="Arial;sans-serif"/>
          <w:b w:val="false"/>
          <w:color w:val="000000"/>
          <w:sz w:val="18"/>
        </w:rPr>
        <w:t>Indicate by check mark if the registrant is not required to file reports pursuant to Section 13 or Section 15(d) of the Act.    Yes  ☐    or    No  ☒.</w:t>
      </w:r>
    </w:p>
    <w:p>
      <w:pPr>
        <w:pStyle w:val="TextBody"/>
        <w:bidi w:val="0"/>
        <w:spacing w:lineRule="auto" w:line="288" w:before="60" w:after="283"/>
        <w:ind w:left="0" w:right="0" w:firstLine="540"/>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or    No  ☐.</w:t>
      </w:r>
    </w:p>
    <w:p>
      <w:pPr>
        <w:pStyle w:val="TextBody"/>
        <w:bidi w:val="0"/>
        <w:spacing w:lineRule="auto" w:line="288" w:before="60" w:after="283"/>
        <w:ind w:left="0" w:right="0" w:firstLine="540"/>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or    No  ☐.</w:t>
      </w:r>
    </w:p>
    <w:p>
      <w:pPr>
        <w:pStyle w:val="TextBody"/>
        <w:bidi w:val="0"/>
        <w:spacing w:lineRule="auto" w:line="288" w:before="60" w:after="283"/>
        <w:ind w:left="0" w:right="0" w:firstLine="54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545" w:type="dxa"/>
        <w:jc w:val="left"/>
        <w:tblInd w:w="0" w:type="dxa"/>
        <w:tblLayout w:type="fixed"/>
        <w:tblCellMar>
          <w:top w:w="28" w:type="dxa"/>
          <w:left w:w="28" w:type="dxa"/>
          <w:bottom w:w="28" w:type="dxa"/>
          <w:right w:w="28" w:type="dxa"/>
        </w:tblCellMar>
      </w:tblPr>
      <w:tblGrid>
        <w:gridCol w:w="864"/>
        <w:gridCol w:w="759"/>
        <w:gridCol w:w="763"/>
        <w:gridCol w:w="109"/>
        <w:gridCol w:w="109"/>
        <w:gridCol w:w="109"/>
        <w:gridCol w:w="495"/>
        <w:gridCol w:w="495"/>
        <w:gridCol w:w="496"/>
        <w:gridCol w:w="109"/>
        <w:gridCol w:w="109"/>
        <w:gridCol w:w="109"/>
        <w:gridCol w:w="629"/>
        <w:gridCol w:w="629"/>
        <w:gridCol w:w="631"/>
        <w:gridCol w:w="109"/>
        <w:gridCol w:w="109"/>
        <w:gridCol w:w="109"/>
        <w:gridCol w:w="810"/>
        <w:gridCol w:w="810"/>
        <w:gridCol w:w="811"/>
        <w:gridCol w:w="109"/>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ind w:left="0" w:right="0" w:firstLine="540"/>
        <w:jc w:val="left"/>
        <w:rPr/>
      </w:pPr>
      <w:r>
        <w:rPr>
          <w:rFonts w:ascii="Arial;sans-serif" w:hAnsi="Arial;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60" w:after="283"/>
        <w:ind w:left="0" w:right="0" w:firstLine="540"/>
        <w:jc w:val="left"/>
        <w:rPr>
          <w:rFonts w:ascii="Arial;sans-serif" w:hAnsi="Arial;sans-serif"/>
          <w:b w:val="false"/>
          <w:color w:val="000000"/>
          <w:sz w:val="18"/>
        </w:rPr>
      </w:pPr>
      <w:r>
        <w:rPr>
          <w:rFonts w:ascii="Arial;sans-serif" w:hAnsi="Arial;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60" w:after="283"/>
        <w:ind w:left="0" w:right="0" w:firstLine="540"/>
        <w:jc w:val="left"/>
        <w:rPr>
          <w:rFonts w:ascii="Arial;sans-serif" w:hAnsi="Arial;sans-serif"/>
          <w:b w:val="false"/>
          <w:color w:val="000000"/>
          <w:sz w:val="18"/>
        </w:rPr>
      </w:pPr>
      <w:r>
        <w:rPr>
          <w:rFonts w:ascii="Arial;sans-serif" w:hAnsi="Arial;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lineRule="auto" w:line="288" w:before="60" w:after="283"/>
        <w:ind w:left="0" w:right="0" w:firstLine="54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Act).    Yes  ☐    or    No  ☒.</w:t>
      </w:r>
    </w:p>
    <w:p>
      <w:pPr>
        <w:pStyle w:val="TextBody"/>
        <w:bidi w:val="0"/>
        <w:spacing w:lineRule="auto" w:line="288" w:before="60" w:after="283"/>
        <w:ind w:left="0" w:right="0" w:firstLine="540"/>
        <w:jc w:val="left"/>
        <w:rPr>
          <w:rFonts w:ascii="Arial;sans-serif" w:hAnsi="Arial;sans-serif"/>
          <w:b w:val="false"/>
          <w:color w:val="000000"/>
          <w:sz w:val="18"/>
        </w:rPr>
      </w:pPr>
      <w:r>
        <w:rPr>
          <w:rFonts w:ascii="Arial;sans-serif" w:hAnsi="Arial;sans-serif"/>
          <w:b w:val="false"/>
          <w:color w:val="000000"/>
          <w:sz w:val="18"/>
        </w:rPr>
        <w:t>The aggregate market value on June 27, 2025 (the last business day of the Company’s most recently completed second quarter) of the voting common stock held by non-affiliates of the registrant, computed by reference to the closing price of the stock on that date, was approximately $10.3 billion. The registrant does not have non-voting common stock outstanding.</w:t>
      </w:r>
    </w:p>
    <w:p>
      <w:pPr>
        <w:pStyle w:val="TextBody"/>
        <w:bidi w:val="0"/>
        <w:spacing w:lineRule="auto" w:line="288" w:before="60" w:after="283"/>
        <w:ind w:left="0" w:right="0" w:firstLine="540"/>
        <w:jc w:val="left"/>
        <w:rPr>
          <w:rFonts w:ascii="Arial;sans-serif" w:hAnsi="Arial;sans-serif"/>
          <w:b w:val="false"/>
          <w:color w:val="000000"/>
          <w:sz w:val="18"/>
        </w:rPr>
      </w:pPr>
      <w:r>
        <w:rPr>
          <w:rFonts w:ascii="Arial;sans-serif" w:hAnsi="Arial;sans-serif"/>
          <w:b w:val="false"/>
          <w:color w:val="000000"/>
          <w:sz w:val="18"/>
        </w:rPr>
        <w:t>The number of shares of common stock outstanding as of February 13, 2026 was 140,685,758.</w:t>
      </w:r>
    </w:p>
    <w:p>
      <w:pPr>
        <w:pStyle w:val="TextBody"/>
        <w:bidi w:val="0"/>
        <w:spacing w:lineRule="auto" w:line="288" w:before="100" w:after="283"/>
        <w:jc w:val="center"/>
        <w:rPr>
          <w:rFonts w:ascii="Arial;sans-serif" w:hAnsi="Arial;sans-serif"/>
          <w:b/>
          <w:color w:val="000000"/>
          <w:sz w:val="18"/>
        </w:rPr>
      </w:pPr>
      <w:r>
        <w:rPr>
          <w:rFonts w:ascii="Arial;sans-serif" w:hAnsi="Arial;sans-serif"/>
          <w:b/>
          <w:color w:val="000000"/>
          <w:sz w:val="18"/>
        </w:rPr>
        <w:t>DOCUMENTS INCORPORATED BY REFERENCE</w:t>
      </w:r>
    </w:p>
    <w:p>
      <w:pPr>
        <w:pStyle w:val="TextBody"/>
        <w:bidi w:val="0"/>
        <w:spacing w:lineRule="auto" w:line="288" w:before="60" w:after="283"/>
        <w:ind w:left="0" w:right="0" w:firstLine="540"/>
        <w:jc w:val="left"/>
        <w:rPr>
          <w:rFonts w:ascii="Arial;sans-serif" w:hAnsi="Arial;sans-serif"/>
          <w:b w:val="false"/>
          <w:color w:val="000000"/>
          <w:sz w:val="18"/>
        </w:rPr>
      </w:pPr>
      <w:r>
        <w:rPr>
          <w:rFonts w:ascii="Arial;sans-serif" w:hAnsi="Arial;sans-serif"/>
          <w:b w:val="false"/>
          <w:color w:val="000000"/>
          <w:sz w:val="18"/>
        </w:rPr>
        <w:t>Portions of our definitive proxy statement for our 2026 Annual Meeting of Shareholders are incorporated by reference into Part III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212529"/>
          <w:sz w:val="20"/>
        </w:rPr>
      </w:pPr>
      <w:r>
        <w:rPr>
          <w:rFonts w:ascii="Arial;sans-serif" w:hAnsi="Arial;sans-serif"/>
          <w:b/>
          <w:color w:val="212529"/>
          <w:sz w:val="20"/>
        </w:rPr>
        <w:t>Hasbro, Inc.</w:t>
      </w:r>
    </w:p>
    <w:p>
      <w:pPr>
        <w:pStyle w:val="TextBody"/>
        <w:bidi w:val="0"/>
        <w:spacing w:lineRule="auto" w:line="288" w:before="0" w:after="0"/>
        <w:jc w:val="center"/>
        <w:rPr>
          <w:rFonts w:ascii="Arial;sans-serif" w:hAnsi="Arial;sans-serif"/>
          <w:b/>
          <w:color w:val="212529"/>
          <w:sz w:val="20"/>
        </w:rPr>
      </w:pPr>
      <w:r>
        <w:rPr>
          <w:rFonts w:ascii="Arial;sans-serif" w:hAnsi="Arial;sans-serif"/>
          <w:b/>
          <w:color w:val="212529"/>
          <w:sz w:val="20"/>
        </w:rPr>
        <w:t>Form 10-K</w:t>
      </w:r>
    </w:p>
    <w:p>
      <w:pPr>
        <w:pStyle w:val="TextBody"/>
        <w:bidi w:val="0"/>
        <w:spacing w:lineRule="auto" w:line="288" w:before="0" w:after="0"/>
        <w:jc w:val="center"/>
        <w:rPr>
          <w:rFonts w:ascii="Arial;sans-serif" w:hAnsi="Arial;sans-serif"/>
          <w:b/>
          <w:color w:val="212529"/>
          <w:sz w:val="20"/>
        </w:rPr>
      </w:pPr>
      <w:r>
        <w:rPr>
          <w:rFonts w:ascii="Arial;sans-serif" w:hAnsi="Arial;sans-serif"/>
          <w:b/>
          <w:color w:val="212529"/>
          <w:sz w:val="20"/>
        </w:rPr>
        <w:t xml:space="preserve">For the Year Ended December 28, 2025 </w:t>
      </w:r>
    </w:p>
    <w:tbl>
      <w:tblPr>
        <w:tblW w:w="10205" w:type="dxa"/>
        <w:jc w:val="left"/>
        <w:tblInd w:w="0" w:type="dxa"/>
        <w:tblLayout w:type="fixed"/>
        <w:tblCellMar>
          <w:top w:w="28" w:type="dxa"/>
          <w:left w:w="28" w:type="dxa"/>
          <w:bottom w:w="28" w:type="dxa"/>
          <w:right w:w="28" w:type="dxa"/>
        </w:tblCellMar>
      </w:tblPr>
      <w:tblGrid>
        <w:gridCol w:w="315"/>
        <w:gridCol w:w="277"/>
        <w:gridCol w:w="279"/>
        <w:gridCol w:w="2974"/>
        <w:gridCol w:w="2931"/>
        <w:gridCol w:w="2961"/>
        <w:gridCol w:w="136"/>
        <w:gridCol w:w="136"/>
        <w:gridCol w:w="196"/>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974"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386c6e1feb425e90d22f2f5c682cf0_13">
              <w:r>
                <w:rPr>
                  <w:rStyle w:val="InternetLink"/>
                  <w:rFonts w:ascii="Arial;sans-serif" w:hAnsi="Arial;sans-serif"/>
                  <w:b/>
                  <w:color w:val="0000FF"/>
                  <w:sz w:val="20"/>
                  <w:u w:val="single"/>
                </w:rPr>
                <w:t>PART I</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16">
              <w:r>
                <w:rPr>
                  <w:rStyle w:val="InternetLink"/>
                  <w:rFonts w:ascii="Arial;sans-serif" w:hAnsi="Arial;sans-serif"/>
                  <w:b w:val="false"/>
                  <w:strike w:val="false"/>
                  <w:dstrike w:val="false"/>
                  <w:color w:val="000000"/>
                  <w:sz w:val="20"/>
                  <w:u w:val="none"/>
                  <w:effect w:val="none"/>
                </w:rPr>
                <w:t>Item 1.</w:t>
              </w:r>
            </w:hyperlink>
          </w:p>
        </w:tc>
        <w:tc>
          <w:tcPr>
            <w:tcW w:w="8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16">
              <w:r>
                <w:rPr>
                  <w:rStyle w:val="InternetLink"/>
                  <w:rFonts w:ascii="Arial;sans-serif" w:hAnsi="Arial;sans-serif"/>
                  <w:b w:val="false"/>
                  <w:color w:val="0000FF"/>
                  <w:sz w:val="20"/>
                  <w:u w:val="single"/>
                </w:rPr>
                <w:t>Business</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6">
              <w:r>
                <w:rPr>
                  <w:rStyle w:val="InternetLink"/>
                  <w:rFonts w:ascii="Arial;sans-serif" w:hAnsi="Arial;sans-serif"/>
                  <w:b w:val="false"/>
                  <w:color w:val="0000FF"/>
                  <w:sz w:val="20"/>
                  <w:u w:val="single"/>
                </w:rPr>
                <w:t>5</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58">
              <w:r>
                <w:rPr>
                  <w:rStyle w:val="InternetLink"/>
                  <w:rFonts w:ascii="Arial;sans-serif" w:hAnsi="Arial;sans-serif"/>
                  <w:b w:val="false"/>
                  <w:strike w:val="false"/>
                  <w:dstrike w:val="false"/>
                  <w:color w:val="000000"/>
                  <w:sz w:val="20"/>
                  <w:u w:val="none"/>
                  <w:effect w:val="none"/>
                </w:rPr>
                <w:t>Item 1A.</w:t>
              </w:r>
            </w:hyperlink>
          </w:p>
        </w:tc>
        <w:tc>
          <w:tcPr>
            <w:tcW w:w="8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58">
              <w:r>
                <w:rPr>
                  <w:rStyle w:val="InternetLink"/>
                  <w:rFonts w:ascii="Arial;sans-serif" w:hAnsi="Arial;sans-serif"/>
                  <w:b w:val="false"/>
                  <w:color w:val="0000FF"/>
                  <w:sz w:val="20"/>
                  <w:u w:val="single"/>
                </w:rPr>
                <w:t>Risk Factors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58">
              <w:r>
                <w:rPr>
                  <w:rStyle w:val="InternetLink"/>
                  <w:rFonts w:ascii="Arial;sans-serif" w:hAnsi="Arial;sans-serif"/>
                  <w:b w:val="false"/>
                  <w:color w:val="0000FF"/>
                  <w:sz w:val="20"/>
                  <w:u w:val="single"/>
                </w:rPr>
                <w:t>18</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61">
              <w:r>
                <w:rPr>
                  <w:rStyle w:val="InternetLink"/>
                  <w:rFonts w:ascii="Arial;sans-serif" w:hAnsi="Arial;sans-serif"/>
                  <w:b w:val="false"/>
                  <w:strike w:val="false"/>
                  <w:dstrike w:val="false"/>
                  <w:color w:val="000000"/>
                  <w:sz w:val="20"/>
                  <w:u w:val="none"/>
                  <w:effect w:val="none"/>
                </w:rPr>
                <w:t>Item 1B.</w:t>
              </w:r>
            </w:hyperlink>
          </w:p>
        </w:tc>
        <w:tc>
          <w:tcPr>
            <w:tcW w:w="8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61">
              <w:r>
                <w:rPr>
                  <w:rStyle w:val="InternetLink"/>
                  <w:rFonts w:ascii="Arial;sans-serif" w:hAnsi="Arial;sans-serif"/>
                  <w:b w:val="false"/>
                  <w:color w:val="0000FF"/>
                  <w:sz w:val="20"/>
                  <w:u w:val="single"/>
                </w:rPr>
                <w:t>Unresolved Staff Comments</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61">
              <w:r>
                <w:rPr>
                  <w:rStyle w:val="InternetLink"/>
                  <w:rFonts w:ascii="Arial;sans-serif" w:hAnsi="Arial;sans-serif"/>
                  <w:b w:val="false"/>
                  <w:color w:val="0000FF"/>
                  <w:sz w:val="20"/>
                  <w:u w:val="single"/>
                </w:rPr>
                <w:t>30</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Item 1C.</w:t>
            </w:r>
          </w:p>
        </w:tc>
        <w:tc>
          <w:tcPr>
            <w:tcW w:w="8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64">
              <w:r>
                <w:rPr>
                  <w:rStyle w:val="InternetLink"/>
                  <w:rFonts w:ascii="Arial;sans-serif" w:hAnsi="Arial;sans-serif"/>
                  <w:b w:val="false"/>
                  <w:color w:val="0000FF"/>
                  <w:sz w:val="20"/>
                  <w:u w:val="single"/>
                </w:rPr>
                <w:t>Cybersecurity</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64">
              <w:r>
                <w:rPr>
                  <w:rStyle w:val="InternetLink"/>
                  <w:rFonts w:ascii="Arial;sans-serif" w:hAnsi="Arial;sans-serif"/>
                  <w:b w:val="false"/>
                  <w:color w:val="0000FF"/>
                  <w:sz w:val="20"/>
                  <w:u w:val="single"/>
                </w:rPr>
                <w:t>30</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67">
              <w:r>
                <w:rPr>
                  <w:rStyle w:val="InternetLink"/>
                  <w:rFonts w:ascii="Arial;sans-serif" w:hAnsi="Arial;sans-serif"/>
                  <w:b w:val="false"/>
                  <w:strike w:val="false"/>
                  <w:dstrike w:val="false"/>
                  <w:color w:val="000000"/>
                  <w:sz w:val="20"/>
                  <w:u w:val="none"/>
                  <w:effect w:val="none"/>
                </w:rPr>
                <w:t>Item 2.</w:t>
              </w:r>
            </w:hyperlink>
          </w:p>
        </w:tc>
        <w:tc>
          <w:tcPr>
            <w:tcW w:w="8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67">
              <w:r>
                <w:rPr>
                  <w:rStyle w:val="InternetLink"/>
                  <w:rFonts w:ascii="Arial;sans-serif" w:hAnsi="Arial;sans-serif"/>
                  <w:b w:val="false"/>
                  <w:color w:val="0000FF"/>
                  <w:sz w:val="20"/>
                  <w:u w:val="single"/>
                </w:rPr>
                <w:t>Properties</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67">
              <w:r>
                <w:rPr>
                  <w:rStyle w:val="InternetLink"/>
                  <w:rFonts w:ascii="Arial;sans-serif" w:hAnsi="Arial;sans-serif"/>
                  <w:b w:val="false"/>
                  <w:color w:val="0000FF"/>
                  <w:sz w:val="20"/>
                  <w:u w:val="single"/>
                </w:rPr>
                <w:t>32</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70">
              <w:r>
                <w:rPr>
                  <w:rStyle w:val="InternetLink"/>
                  <w:rFonts w:ascii="Arial;sans-serif" w:hAnsi="Arial;sans-serif"/>
                  <w:b w:val="false"/>
                  <w:strike w:val="false"/>
                  <w:dstrike w:val="false"/>
                  <w:color w:val="000000"/>
                  <w:sz w:val="20"/>
                  <w:u w:val="none"/>
                  <w:effect w:val="none"/>
                </w:rPr>
                <w:t>Item 3.</w:t>
              </w:r>
            </w:hyperlink>
          </w:p>
        </w:tc>
        <w:tc>
          <w:tcPr>
            <w:tcW w:w="8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70">
              <w:r>
                <w:rPr>
                  <w:rStyle w:val="InternetLink"/>
                  <w:rFonts w:ascii="Arial;sans-serif" w:hAnsi="Arial;sans-serif"/>
                  <w:b w:val="false"/>
                  <w:color w:val="0000FF"/>
                  <w:sz w:val="20"/>
                  <w:u w:val="single"/>
                </w:rPr>
                <w:t>Legal Proceedings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70">
              <w:r>
                <w:rPr>
                  <w:rStyle w:val="InternetLink"/>
                  <w:rFonts w:ascii="Arial;sans-serif" w:hAnsi="Arial;sans-serif"/>
                  <w:b w:val="false"/>
                  <w:color w:val="0000FF"/>
                  <w:sz w:val="20"/>
                  <w:u w:val="single"/>
                </w:rPr>
                <w:t>32</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73">
              <w:r>
                <w:rPr>
                  <w:rStyle w:val="InternetLink"/>
                  <w:rFonts w:ascii="Arial;sans-serif" w:hAnsi="Arial;sans-serif"/>
                  <w:b w:val="false"/>
                  <w:strike w:val="false"/>
                  <w:dstrike w:val="false"/>
                  <w:color w:val="000000"/>
                  <w:sz w:val="20"/>
                  <w:u w:val="none"/>
                  <w:effect w:val="none"/>
                </w:rPr>
                <w:t>Item 4.</w:t>
              </w:r>
            </w:hyperlink>
          </w:p>
        </w:tc>
        <w:tc>
          <w:tcPr>
            <w:tcW w:w="8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73">
              <w:r>
                <w:rPr>
                  <w:rStyle w:val="InternetLink"/>
                  <w:rFonts w:ascii="Arial;sans-serif" w:hAnsi="Arial;sans-serif"/>
                  <w:b w:val="false"/>
                  <w:color w:val="0000FF"/>
                  <w:sz w:val="20"/>
                  <w:u w:val="single"/>
                </w:rPr>
                <w:t>Mine Safety Disclosures</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73">
              <w:r>
                <w:rPr>
                  <w:rStyle w:val="InternetLink"/>
                  <w:rFonts w:ascii="Arial;sans-serif" w:hAnsi="Arial;sans-serif"/>
                  <w:b w:val="false"/>
                  <w:color w:val="0000FF"/>
                  <w:sz w:val="20"/>
                  <w:u w:val="single"/>
                </w:rPr>
                <w:t>32</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386c6e1feb425e90d22f2f5c682cf0_76">
              <w:r>
                <w:rPr>
                  <w:rStyle w:val="InternetLink"/>
                  <w:rFonts w:ascii="Arial;sans-serif" w:hAnsi="Arial;sans-serif"/>
                  <w:b/>
                  <w:color w:val="0000FF"/>
                  <w:sz w:val="20"/>
                  <w:u w:val="single"/>
                </w:rPr>
                <w:t>PART II</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79">
              <w:r>
                <w:rPr>
                  <w:rStyle w:val="InternetLink"/>
                  <w:rFonts w:ascii="Arial;sans-serif" w:hAnsi="Arial;sans-serif"/>
                  <w:b w:val="false"/>
                  <w:strike w:val="false"/>
                  <w:dstrike w:val="false"/>
                  <w:color w:val="000000"/>
                  <w:sz w:val="20"/>
                  <w:u w:val="none"/>
                  <w:effect w:val="none"/>
                </w:rPr>
                <w:t>Item 5.</w:t>
              </w:r>
            </w:hyperlink>
          </w:p>
        </w:tc>
        <w:tc>
          <w:tcPr>
            <w:tcW w:w="8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79">
              <w:r>
                <w:rPr>
                  <w:rStyle w:val="InternetLink"/>
                  <w:rFonts w:ascii="Arial;sans-serif" w:hAnsi="Arial;sans-serif"/>
                  <w:b w:val="false"/>
                  <w:color w:val="0000FF"/>
                  <w:sz w:val="20"/>
                  <w:u w:val="single"/>
                </w:rPr>
                <w:t>Market for Registrant’s Common Equity, Related Stockholder Matters and Issuer Purchases of Equity Securities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79">
              <w:r>
                <w:rPr>
                  <w:rStyle w:val="InternetLink"/>
                  <w:rFonts w:ascii="Arial;sans-serif" w:hAnsi="Arial;sans-serif"/>
                  <w:b w:val="false"/>
                  <w:color w:val="0000FF"/>
                  <w:sz w:val="20"/>
                  <w:u w:val="single"/>
                </w:rPr>
                <w:t>33</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82">
              <w:r>
                <w:rPr>
                  <w:rStyle w:val="InternetLink"/>
                  <w:rFonts w:ascii="Arial;sans-serif" w:hAnsi="Arial;sans-serif"/>
                  <w:b w:val="false"/>
                  <w:strike w:val="false"/>
                  <w:dstrike w:val="false"/>
                  <w:color w:val="000000"/>
                  <w:sz w:val="20"/>
                  <w:u w:val="none"/>
                  <w:effect w:val="none"/>
                </w:rPr>
                <w:t>Item 6.</w:t>
              </w:r>
            </w:hyperlink>
          </w:p>
        </w:tc>
        <w:tc>
          <w:tcPr>
            <w:tcW w:w="8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82">
              <w:r>
                <w:rPr>
                  <w:rStyle w:val="InternetLink"/>
                  <w:rFonts w:ascii="Arial;sans-serif" w:hAnsi="Arial;sans-serif"/>
                  <w:b w:val="false"/>
                  <w:color w:val="0000FF"/>
                  <w:sz w:val="20"/>
                  <w:u w:val="single"/>
                </w:rPr>
                <w:t>[Reserved]</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82">
              <w:r>
                <w:rPr>
                  <w:rStyle w:val="InternetLink"/>
                  <w:rFonts w:ascii="Arial;sans-serif" w:hAnsi="Arial;sans-serif"/>
                  <w:b w:val="false"/>
                  <w:color w:val="0000FF"/>
                  <w:sz w:val="20"/>
                  <w:u w:val="single"/>
                </w:rPr>
                <w:t>33</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85">
              <w:r>
                <w:rPr>
                  <w:rStyle w:val="InternetLink"/>
                  <w:rFonts w:ascii="Arial;sans-serif" w:hAnsi="Arial;sans-serif"/>
                  <w:b w:val="false"/>
                  <w:strike w:val="false"/>
                  <w:dstrike w:val="false"/>
                  <w:color w:val="000000"/>
                  <w:sz w:val="20"/>
                  <w:u w:val="none"/>
                  <w:effect w:val="none"/>
                </w:rPr>
                <w:t>Item 7.</w:t>
              </w:r>
            </w:hyperlink>
          </w:p>
        </w:tc>
        <w:tc>
          <w:tcPr>
            <w:tcW w:w="8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85">
              <w:r>
                <w:rPr>
                  <w:rStyle w:val="InternetLink"/>
                  <w:rFonts w:ascii="Arial;sans-serif" w:hAnsi="Arial;sans-serif"/>
                  <w:b w:val="false"/>
                  <w:color w:val="0000FF"/>
                  <w:sz w:val="20"/>
                  <w:u w:val="single"/>
                </w:rPr>
                <w:t>Management’s Discussion and Analysis of Financial Condition and Results of Operations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85">
              <w:r>
                <w:rPr>
                  <w:rStyle w:val="InternetLink"/>
                  <w:rFonts w:ascii="Arial;sans-serif" w:hAnsi="Arial;sans-serif"/>
                  <w:b w:val="false"/>
                  <w:color w:val="0000FF"/>
                  <w:sz w:val="20"/>
                  <w:u w:val="single"/>
                </w:rPr>
                <w:t>33</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139">
              <w:r>
                <w:rPr>
                  <w:rStyle w:val="InternetLink"/>
                  <w:rFonts w:ascii="Arial;sans-serif" w:hAnsi="Arial;sans-serif"/>
                  <w:b w:val="false"/>
                  <w:strike w:val="false"/>
                  <w:dstrike w:val="false"/>
                  <w:color w:val="000000"/>
                  <w:sz w:val="20"/>
                  <w:u w:val="none"/>
                  <w:effect w:val="none"/>
                </w:rPr>
                <w:t>Item 7A.</w:t>
              </w:r>
            </w:hyperlink>
          </w:p>
        </w:tc>
        <w:tc>
          <w:tcPr>
            <w:tcW w:w="8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139">
              <w:r>
                <w:rPr>
                  <w:rStyle w:val="InternetLink"/>
                  <w:rFonts w:ascii="Arial;sans-serif" w:hAnsi="Arial;sans-serif"/>
                  <w:b w:val="false"/>
                  <w:color w:val="0000FF"/>
                  <w:sz w:val="20"/>
                  <w:u w:val="single"/>
                </w:rPr>
                <w:t>Quantitative and Qualitative Disclosures About Market Risk</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39">
              <w:r>
                <w:rPr>
                  <w:rStyle w:val="InternetLink"/>
                  <w:rFonts w:ascii="Arial;sans-serif" w:hAnsi="Arial;sans-serif"/>
                  <w:b w:val="false"/>
                  <w:color w:val="0000FF"/>
                  <w:sz w:val="20"/>
                  <w:u w:val="single"/>
                </w:rPr>
                <w:t>47</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142">
              <w:r>
                <w:rPr>
                  <w:rStyle w:val="InternetLink"/>
                  <w:rFonts w:ascii="Arial;sans-serif" w:hAnsi="Arial;sans-serif"/>
                  <w:b w:val="false"/>
                  <w:strike w:val="false"/>
                  <w:dstrike w:val="false"/>
                  <w:color w:val="000000"/>
                  <w:sz w:val="20"/>
                  <w:u w:val="none"/>
                  <w:effect w:val="none"/>
                </w:rPr>
                <w:t>Item 8.</w:t>
              </w:r>
            </w:hyperlink>
          </w:p>
        </w:tc>
        <w:tc>
          <w:tcPr>
            <w:tcW w:w="8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142">
              <w:r>
                <w:rPr>
                  <w:rStyle w:val="InternetLink"/>
                  <w:rFonts w:ascii="Arial;sans-serif" w:hAnsi="Arial;sans-serif"/>
                  <w:b w:val="false"/>
                  <w:color w:val="0000FF"/>
                  <w:sz w:val="20"/>
                  <w:u w:val="single"/>
                </w:rPr>
                <w:t>Financial Statements and Supplementary Data</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42">
              <w:r>
                <w:rPr>
                  <w:rStyle w:val="InternetLink"/>
                  <w:rFonts w:ascii="Arial;sans-serif" w:hAnsi="Arial;sans-serif"/>
                  <w:b w:val="false"/>
                  <w:color w:val="0000FF"/>
                  <w:sz w:val="20"/>
                  <w:u w:val="single"/>
                </w:rPr>
                <w:t>48</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35">
              <w:r>
                <w:rPr>
                  <w:rStyle w:val="InternetLink"/>
                  <w:rFonts w:ascii="Arial;sans-serif" w:hAnsi="Arial;sans-serif"/>
                  <w:b w:val="false"/>
                  <w:strike w:val="false"/>
                  <w:dstrike w:val="false"/>
                  <w:color w:val="000000"/>
                  <w:sz w:val="20"/>
                  <w:u w:val="none"/>
                  <w:effect w:val="none"/>
                </w:rPr>
                <w:t>Item 9.</w:t>
              </w:r>
            </w:hyperlink>
          </w:p>
        </w:tc>
        <w:tc>
          <w:tcPr>
            <w:tcW w:w="8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35">
              <w:r>
                <w:rPr>
                  <w:rStyle w:val="InternetLink"/>
                  <w:rFonts w:ascii="Arial;sans-serif" w:hAnsi="Arial;sans-serif"/>
                  <w:b w:val="false"/>
                  <w:color w:val="0000FF"/>
                  <w:sz w:val="20"/>
                  <w:u w:val="single"/>
                </w:rPr>
                <w:t>Changes in and Disagreements with Accountants on Accounting and Financial Disclosure</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35">
              <w:r>
                <w:rPr>
                  <w:rStyle w:val="InternetLink"/>
                  <w:rFonts w:ascii="Arial;sans-serif" w:hAnsi="Arial;sans-serif"/>
                  <w:b w:val="false"/>
                  <w:color w:val="0000FF"/>
                  <w:sz w:val="20"/>
                  <w:u w:val="single"/>
                </w:rPr>
                <w:t>98</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38">
              <w:r>
                <w:rPr>
                  <w:rStyle w:val="InternetLink"/>
                  <w:rFonts w:ascii="Arial;sans-serif" w:hAnsi="Arial;sans-serif"/>
                  <w:b w:val="false"/>
                  <w:strike w:val="false"/>
                  <w:dstrike w:val="false"/>
                  <w:color w:val="000000"/>
                  <w:sz w:val="20"/>
                  <w:u w:val="none"/>
                  <w:effect w:val="none"/>
                </w:rPr>
                <w:t>Item 9A.</w:t>
              </w:r>
            </w:hyperlink>
          </w:p>
        </w:tc>
        <w:tc>
          <w:tcPr>
            <w:tcW w:w="8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38">
              <w:r>
                <w:rPr>
                  <w:rStyle w:val="InternetLink"/>
                  <w:rFonts w:ascii="Arial;sans-serif" w:hAnsi="Arial;sans-serif"/>
                  <w:b w:val="false"/>
                  <w:color w:val="0000FF"/>
                  <w:sz w:val="20"/>
                  <w:u w:val="single"/>
                </w:rPr>
                <w:t>Controls and Procedures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38">
              <w:r>
                <w:rPr>
                  <w:rStyle w:val="InternetLink"/>
                  <w:rFonts w:ascii="Arial;sans-serif" w:hAnsi="Arial;sans-serif"/>
                  <w:b w:val="false"/>
                  <w:color w:val="0000FF"/>
                  <w:sz w:val="20"/>
                  <w:u w:val="single"/>
                </w:rPr>
                <w:t>98</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41">
              <w:r>
                <w:rPr>
                  <w:rStyle w:val="InternetLink"/>
                  <w:rFonts w:ascii="Arial;sans-serif" w:hAnsi="Arial;sans-serif"/>
                  <w:b w:val="false"/>
                  <w:strike w:val="false"/>
                  <w:dstrike w:val="false"/>
                  <w:color w:val="000000"/>
                  <w:sz w:val="20"/>
                  <w:u w:val="none"/>
                  <w:effect w:val="none"/>
                </w:rPr>
                <w:t>Item 9B.</w:t>
              </w:r>
            </w:hyperlink>
          </w:p>
        </w:tc>
        <w:tc>
          <w:tcPr>
            <w:tcW w:w="8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41">
              <w:r>
                <w:rPr>
                  <w:rStyle w:val="InternetLink"/>
                  <w:rFonts w:ascii="Arial;sans-serif" w:hAnsi="Arial;sans-serif"/>
                  <w:b w:val="false"/>
                  <w:color w:val="0000FF"/>
                  <w:sz w:val="20"/>
                  <w:u w:val="single"/>
                </w:rPr>
                <w:t>Other Information</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41">
              <w:r>
                <w:rPr>
                  <w:rStyle w:val="InternetLink"/>
                  <w:rFonts w:ascii="Arial;sans-serif" w:hAnsi="Arial;sans-serif"/>
                  <w:b w:val="false"/>
                  <w:color w:val="0000FF"/>
                  <w:sz w:val="20"/>
                  <w:u w:val="single"/>
                </w:rPr>
                <w:t>100</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41">
              <w:r>
                <w:rPr>
                  <w:rStyle w:val="InternetLink"/>
                  <w:rFonts w:ascii="Arial;sans-serif" w:hAnsi="Arial;sans-serif"/>
                  <w:b w:val="false"/>
                  <w:strike w:val="false"/>
                  <w:dstrike w:val="false"/>
                  <w:color w:val="000000"/>
                  <w:sz w:val="20"/>
                  <w:u w:val="none"/>
                  <w:effect w:val="none"/>
                </w:rPr>
                <w:t>Item 9</w:t>
              </w:r>
            </w:hyperlink>
            <w:r>
              <w:rPr>
                <w:rFonts w:ascii="Arial;sans-serif" w:hAnsi="Arial;sans-serif"/>
                <w:b w:val="false"/>
                <w:color w:val="000000"/>
                <w:sz w:val="20"/>
              </w:rPr>
              <w:t>C.</w:t>
            </w:r>
          </w:p>
        </w:tc>
        <w:tc>
          <w:tcPr>
            <w:tcW w:w="8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44">
              <w:r>
                <w:rPr>
                  <w:rStyle w:val="InternetLink"/>
                  <w:rFonts w:ascii="Arial;sans-serif" w:hAnsi="Arial;sans-serif"/>
                  <w:b w:val="false"/>
                  <w:color w:val="0000FF"/>
                  <w:sz w:val="20"/>
                  <w:u w:val="single"/>
                </w:rPr>
                <w:t>Disclosure Regarding Foreign Jurisdictions that Prevent Inspections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44">
              <w:r>
                <w:rPr>
                  <w:rStyle w:val="InternetLink"/>
                  <w:rFonts w:ascii="Arial;sans-serif" w:hAnsi="Arial;sans-serif"/>
                  <w:b w:val="false"/>
                  <w:color w:val="0000FF"/>
                  <w:sz w:val="20"/>
                  <w:u w:val="single"/>
                </w:rPr>
                <w:t>100</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386c6e1feb425e90d22f2f5c682cf0_247">
              <w:r>
                <w:rPr>
                  <w:rStyle w:val="InternetLink"/>
                  <w:rFonts w:ascii="Arial;sans-serif" w:hAnsi="Arial;sans-serif"/>
                  <w:b/>
                  <w:color w:val="0000FF"/>
                  <w:sz w:val="20"/>
                  <w:u w:val="single"/>
                </w:rPr>
                <w:t>PART III</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50">
              <w:r>
                <w:rPr>
                  <w:rStyle w:val="InternetLink"/>
                  <w:rFonts w:ascii="Arial;sans-serif" w:hAnsi="Arial;sans-serif"/>
                  <w:b w:val="false"/>
                  <w:strike w:val="false"/>
                  <w:dstrike w:val="false"/>
                  <w:color w:val="000000"/>
                  <w:sz w:val="20"/>
                  <w:u w:val="none"/>
                  <w:effect w:val="none"/>
                </w:rPr>
                <w:t>Item 10.</w:t>
              </w:r>
            </w:hyperlink>
          </w:p>
        </w:tc>
        <w:tc>
          <w:tcPr>
            <w:tcW w:w="8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50">
              <w:r>
                <w:rPr>
                  <w:rStyle w:val="InternetLink"/>
                  <w:rFonts w:ascii="Arial;sans-serif" w:hAnsi="Arial;sans-serif"/>
                  <w:b w:val="false"/>
                  <w:color w:val="0000FF"/>
                  <w:sz w:val="20"/>
                  <w:u w:val="single"/>
                </w:rPr>
                <w:t>Directors, Executive Officers and Corporate Governance</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50">
              <w:r>
                <w:rPr>
                  <w:rStyle w:val="InternetLink"/>
                  <w:rFonts w:ascii="Arial;sans-serif" w:hAnsi="Arial;sans-serif"/>
                  <w:b w:val="false"/>
                  <w:color w:val="0000FF"/>
                  <w:sz w:val="20"/>
                  <w:u w:val="single"/>
                </w:rPr>
                <w:t>101</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53">
              <w:r>
                <w:rPr>
                  <w:rStyle w:val="InternetLink"/>
                  <w:rFonts w:ascii="Arial;sans-serif" w:hAnsi="Arial;sans-serif"/>
                  <w:b w:val="false"/>
                  <w:strike w:val="false"/>
                  <w:dstrike w:val="false"/>
                  <w:color w:val="000000"/>
                  <w:sz w:val="20"/>
                  <w:u w:val="none"/>
                  <w:effect w:val="none"/>
                </w:rPr>
                <w:t>Item 11.</w:t>
              </w:r>
            </w:hyperlink>
          </w:p>
        </w:tc>
        <w:tc>
          <w:tcPr>
            <w:tcW w:w="8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53">
              <w:r>
                <w:rPr>
                  <w:rStyle w:val="InternetLink"/>
                  <w:rFonts w:ascii="Arial;sans-serif" w:hAnsi="Arial;sans-serif"/>
                  <w:b w:val="false"/>
                  <w:color w:val="0000FF"/>
                  <w:sz w:val="20"/>
                  <w:u w:val="single"/>
                </w:rPr>
                <w:t>Executive Compensation</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53">
              <w:r>
                <w:rPr>
                  <w:rStyle w:val="InternetLink"/>
                  <w:rFonts w:ascii="Arial;sans-serif" w:hAnsi="Arial;sans-serif"/>
                  <w:b w:val="false"/>
                  <w:color w:val="0000FF"/>
                  <w:sz w:val="20"/>
                  <w:u w:val="single"/>
                </w:rPr>
                <w:t>101</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56">
              <w:r>
                <w:rPr>
                  <w:rStyle w:val="InternetLink"/>
                  <w:rFonts w:ascii="Arial;sans-serif" w:hAnsi="Arial;sans-serif"/>
                  <w:b w:val="false"/>
                  <w:strike w:val="false"/>
                  <w:dstrike w:val="false"/>
                  <w:color w:val="000000"/>
                  <w:sz w:val="20"/>
                  <w:u w:val="none"/>
                  <w:effect w:val="none"/>
                </w:rPr>
                <w:t>Item 12.</w:t>
              </w:r>
            </w:hyperlink>
          </w:p>
        </w:tc>
        <w:tc>
          <w:tcPr>
            <w:tcW w:w="8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56">
              <w:r>
                <w:rPr>
                  <w:rStyle w:val="InternetLink"/>
                  <w:rFonts w:ascii="Arial;sans-serif" w:hAnsi="Arial;sans-serif"/>
                  <w:b w:val="false"/>
                  <w:color w:val="0000FF"/>
                  <w:sz w:val="20"/>
                  <w:u w:val="single"/>
                </w:rPr>
                <w:t>Security Ownership of Certain Beneficial Owners and Management and Related Stockholder Matters</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56">
              <w:r>
                <w:rPr>
                  <w:rStyle w:val="InternetLink"/>
                  <w:rFonts w:ascii="Arial;sans-serif" w:hAnsi="Arial;sans-serif"/>
                  <w:b w:val="false"/>
                  <w:color w:val="0000FF"/>
                  <w:sz w:val="20"/>
                  <w:u w:val="single"/>
                </w:rPr>
                <w:t>101</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59">
              <w:r>
                <w:rPr>
                  <w:rStyle w:val="InternetLink"/>
                  <w:rFonts w:ascii="Arial;sans-serif" w:hAnsi="Arial;sans-serif"/>
                  <w:b w:val="false"/>
                  <w:strike w:val="false"/>
                  <w:dstrike w:val="false"/>
                  <w:color w:val="000000"/>
                  <w:sz w:val="20"/>
                  <w:u w:val="none"/>
                  <w:effect w:val="none"/>
                </w:rPr>
                <w:t>Item 13.</w:t>
              </w:r>
            </w:hyperlink>
          </w:p>
        </w:tc>
        <w:tc>
          <w:tcPr>
            <w:tcW w:w="8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59">
              <w:r>
                <w:rPr>
                  <w:rStyle w:val="InternetLink"/>
                  <w:rFonts w:ascii="Arial;sans-serif" w:hAnsi="Arial;sans-serif"/>
                  <w:b w:val="false"/>
                  <w:color w:val="0000FF"/>
                  <w:sz w:val="20"/>
                  <w:u w:val="single"/>
                </w:rPr>
                <w:t>Certain Relationships and Related Transactions, and Director Independence</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59">
              <w:r>
                <w:rPr>
                  <w:rStyle w:val="InternetLink"/>
                  <w:rFonts w:ascii="Arial;sans-serif" w:hAnsi="Arial;sans-serif"/>
                  <w:b w:val="false"/>
                  <w:color w:val="0000FF"/>
                  <w:sz w:val="20"/>
                  <w:u w:val="single"/>
                </w:rPr>
                <w:t>101</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62">
              <w:r>
                <w:rPr>
                  <w:rStyle w:val="InternetLink"/>
                  <w:rFonts w:ascii="Arial;sans-serif" w:hAnsi="Arial;sans-serif"/>
                  <w:b w:val="false"/>
                  <w:strike w:val="false"/>
                  <w:dstrike w:val="false"/>
                  <w:color w:val="000000"/>
                  <w:sz w:val="20"/>
                  <w:u w:val="none"/>
                  <w:effect w:val="none"/>
                </w:rPr>
                <w:t>Item 14.</w:t>
              </w:r>
            </w:hyperlink>
          </w:p>
        </w:tc>
        <w:tc>
          <w:tcPr>
            <w:tcW w:w="8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62">
              <w:r>
                <w:rPr>
                  <w:rStyle w:val="InternetLink"/>
                  <w:rFonts w:ascii="Arial;sans-serif" w:hAnsi="Arial;sans-serif"/>
                  <w:b w:val="false"/>
                  <w:color w:val="0000FF"/>
                  <w:sz w:val="20"/>
                  <w:u w:val="single"/>
                </w:rPr>
                <w:t>Principal Accountant Fees and Services</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62">
              <w:r>
                <w:rPr>
                  <w:rStyle w:val="InternetLink"/>
                  <w:rFonts w:ascii="Arial;sans-serif" w:hAnsi="Arial;sans-serif"/>
                  <w:b w:val="false"/>
                  <w:color w:val="0000FF"/>
                  <w:sz w:val="20"/>
                  <w:u w:val="single"/>
                </w:rPr>
                <w:t>101</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386c6e1feb425e90d22f2f5c682cf0_265">
              <w:r>
                <w:rPr>
                  <w:rStyle w:val="InternetLink"/>
                  <w:rFonts w:ascii="Arial;sans-serif" w:hAnsi="Arial;sans-serif"/>
                  <w:b/>
                  <w:color w:val="0000FF"/>
                  <w:sz w:val="20"/>
                  <w:u w:val="single"/>
                </w:rPr>
                <w:t>PART IV</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68">
              <w:r>
                <w:rPr>
                  <w:rStyle w:val="InternetLink"/>
                  <w:rFonts w:ascii="Arial;sans-serif" w:hAnsi="Arial;sans-serif"/>
                  <w:b w:val="false"/>
                  <w:strike w:val="false"/>
                  <w:dstrike w:val="false"/>
                  <w:color w:val="000000"/>
                  <w:sz w:val="20"/>
                  <w:u w:val="none"/>
                  <w:effect w:val="none"/>
                </w:rPr>
                <w:t>Item 15.</w:t>
              </w:r>
            </w:hyperlink>
          </w:p>
        </w:tc>
        <w:tc>
          <w:tcPr>
            <w:tcW w:w="8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68">
              <w:r>
                <w:rPr>
                  <w:rStyle w:val="InternetLink"/>
                  <w:rFonts w:ascii="Arial;sans-serif" w:hAnsi="Arial;sans-serif"/>
                  <w:b w:val="false"/>
                  <w:color w:val="0000FF"/>
                  <w:sz w:val="20"/>
                  <w:u w:val="single"/>
                </w:rPr>
                <w:t>Exhibits and Financial Statement Schedules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68">
              <w:r>
                <w:rPr>
                  <w:rStyle w:val="InternetLink"/>
                  <w:rFonts w:ascii="Arial;sans-serif" w:hAnsi="Arial;sans-serif"/>
                  <w:b w:val="false"/>
                  <w:color w:val="0000FF"/>
                  <w:sz w:val="20"/>
                  <w:u w:val="single"/>
                </w:rPr>
                <w:t>102</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74">
              <w:r>
                <w:rPr>
                  <w:rStyle w:val="InternetLink"/>
                  <w:rFonts w:ascii="Arial;sans-serif" w:hAnsi="Arial;sans-serif"/>
                  <w:b w:val="false"/>
                  <w:strike w:val="false"/>
                  <w:dstrike w:val="false"/>
                  <w:color w:val="000000"/>
                  <w:sz w:val="20"/>
                  <w:u w:val="none"/>
                  <w:effect w:val="none"/>
                </w:rPr>
                <w:t>Item 16.</w:t>
              </w:r>
            </w:hyperlink>
          </w:p>
        </w:tc>
        <w:tc>
          <w:tcPr>
            <w:tcW w:w="8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74">
              <w:r>
                <w:rPr>
                  <w:rStyle w:val="InternetLink"/>
                  <w:rFonts w:ascii="Arial;sans-serif" w:hAnsi="Arial;sans-serif"/>
                  <w:b w:val="false"/>
                  <w:color w:val="0000FF"/>
                  <w:sz w:val="20"/>
                  <w:u w:val="single"/>
                </w:rPr>
                <w:t>Form 10-K Summary</w:t>
              </w:r>
            </w:hyperlink>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74">
              <w:r>
                <w:rPr>
                  <w:rStyle w:val="InternetLink"/>
                  <w:rFonts w:ascii="Arial;sans-serif" w:hAnsi="Arial;sans-serif"/>
                  <w:b w:val="false"/>
                  <w:color w:val="0000FF"/>
                  <w:sz w:val="20"/>
                  <w:u w:val="single"/>
                </w:rPr>
                <w:t>104</w:t>
              </w:r>
            </w:hyperlink>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77">
              <w:r>
                <w:rPr>
                  <w:rStyle w:val="InternetLink"/>
                  <w:rFonts w:ascii="Arial;sans-serif" w:hAnsi="Arial;sans-serif"/>
                  <w:b/>
                  <w:color w:val="0000FF"/>
                  <w:sz w:val="20"/>
                  <w:u w:val="single"/>
                </w:rPr>
                <w:t>Signatures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77">
              <w:r>
                <w:rPr>
                  <w:rStyle w:val="InternetLink"/>
                  <w:rFonts w:ascii="Arial;sans-serif" w:hAnsi="Arial;sans-serif"/>
                  <w:b w:val="false"/>
                  <w:color w:val="0000FF"/>
                  <w:sz w:val="20"/>
                  <w:u w:val="single"/>
                </w:rPr>
                <w:t>105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Special Note Regarding Forward-Looking Statements</w:t>
      </w:r>
    </w:p>
    <w:p>
      <w:pPr>
        <w:pStyle w:val="TextBody"/>
        <w:bidi w:val="0"/>
        <w:spacing w:lineRule="auto" w:line="288" w:before="120" w:after="283"/>
        <w:jc w:val="left"/>
        <w:rPr/>
      </w:pPr>
      <w:r>
        <w:rPr>
          <w:rFonts w:ascii="Arial;sans-serif" w:hAnsi="Arial;sans-serif"/>
          <w:b w:val="false"/>
          <w:color w:val="000000"/>
          <w:sz w:val="20"/>
        </w:rPr>
        <w:t xml:space="preserve">From time to time, including in this Annual Report on Form 10-K (“Form 10-K”) and in our annual report to shareholders, we publish “forward-looking statements” within the meaning of the Private Securities Litigation Reform Act of 1995. These “forward-looking statements” may relate to matters such as: our business and marketing strategies; anticipated financial performance or business prospects in future periods; relationships with business partners, licensees, licensors, customers, suppliers and employees; purchasing patterns of our customers and consumers; expected technological and product developments; the potential impact of the use of artificial intelligence in our and our competitors' products and operations; the expected timing for new product introductions; expectations concerning the future acceptance of products by customers; the development and timing of planned digital gaming products, consumer products and entertainment releases; marketing and promotional efforts; research and development activities; potential impact of current, potential, reciprocal and retaliatory tariffs; management of supply and inventory; expectations related to our manufacturing and potential efficiencies in our design efforts; impact of public health conditions; adequacy of our properties; expected benefits and cost-savings resulting from the Company's transformation efforts; expected benefits and efficiencies that may be attained or created from use of artificial intelligence in our operations; expected benefits and cost-savings from certain restructuring actions; the timing and impact of moving the Company's Rhode Island operations to Boston, Massachusetts; capital expenditures; working capital; liquidity; timing of and amount of repayment of indebtedness; capital allocation strategy, including plans for dividends, share and debt repurchases; and other financial, tax, accounting and similar matters. Forward-looking statements are inherently subject to risks and uncertainties. The Private Securities Litigation Reform Act of 1995 provides a safe harbor for forward-looking statements. These statements may be identified by the use of forward-looking words or phrases such as “anticipate,” “believe,” “could,” “expect,” “intend,” “looking forward,” “may,” “planned,” “potential,” “should,” “will” and “would” or any variations of words with similar meanings. We note that a variety of factors could cause our actual results and experience to differ materially from the anticipated results or other expectations expressed or anticipated in our forward-looking statements. The factors listed in the risk factors below and in Part I, Item 1A.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of this Form 10-K are illustrative and other risks and uncertainties may arise as are or may be detailed from time to time in our public announcements and our filings with the Securities and Exchange Commission ("SEC"), such as on Forms 8-K, 10-Q and 10-K. We undertake no obligation to make any revisions to the forward-looking statements contained in this Form 10-K or in our annual report to shareholders to reflect events or circumstances occurring after the date of the filing of this report.</w:t>
      </w:r>
    </w:p>
    <w:p>
      <w:pPr>
        <w:pStyle w:val="TextBody"/>
        <w:bidi w:val="0"/>
        <w:spacing w:lineRule="auto" w:line="288" w:before="120" w:after="283"/>
        <w:ind w:left="0" w:right="0" w:hanging="900"/>
        <w:jc w:val="center"/>
        <w:rPr>
          <w:rFonts w:ascii="Arial;sans-serif" w:hAnsi="Arial;sans-serif"/>
          <w:b/>
          <w:color w:val="000000"/>
          <w:sz w:val="20"/>
        </w:rPr>
      </w:pPr>
      <w:r>
        <w:rPr>
          <w:rFonts w:ascii="Arial;sans-serif" w:hAnsi="Arial;sans-serif"/>
          <w:b/>
          <w:color w:val="000000"/>
          <w:sz w:val="20"/>
        </w:rPr>
        <w:t>RISK FACTORS SUMMARY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subject to a variety of risks and uncertainties, which could have a material adverse effect on our business, financial condition, results of operations and cash flows. These include strategic, operational, global economic, financial, governmental, regulatory and legal risks related to our business. Risks that we deem material are described under “Risk Factors” in Item 1A of this Form 10-K. These risks include, but are not limited to, the following:</w:t>
      </w:r>
    </w:p>
    <w:p>
      <w:pPr>
        <w:pStyle w:val="TextBody"/>
        <w:bidi w:val="0"/>
        <w:spacing w:lineRule="auto" w:line="288" w:before="120" w:after="283"/>
        <w:jc w:val="both"/>
        <w:rPr>
          <w:rFonts w:ascii="Arial;sans-serif" w:hAnsi="Arial;sans-serif"/>
          <w:b w:val="false"/>
          <w:color w:val="000000"/>
          <w:sz w:val="20"/>
          <w:u w:val="single"/>
        </w:rPr>
      </w:pPr>
      <w:r>
        <w:rPr>
          <w:rFonts w:ascii="Arial;sans-serif" w:hAnsi="Arial;sans-serif"/>
          <w:b w:val="false"/>
          <w:color w:val="000000"/>
          <w:sz w:val="20"/>
          <w:u w:val="single"/>
        </w:rPr>
        <w:t>Strategic Risks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We may not successfully implement and execute our business strategy, including delivering on our digital gaming strategy, returning our toy business to growth and increased profitability, and continuing to grow our licensing business.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Our business may suffer if we are unable to successfully develop, publish and commercialize digital games.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Our licenses from third parties may not be profitable or generate significant revenues or royalties for us if licensed material does not achieve sufficient market appeal.</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Our business may suffer if licensees of our brands fail to honor their obligations to us or engage in actions that put us at risk.</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Consumer interests change quickly, making it difficult to develop innovative and successful products. We may not successfully develop products that generate sufficient consumer interest. Consumers may prefer the products and games offered by our competitors to those we offer, harming our business and results.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We may not achieve all of our anticipated cost-savings, which may impact our ability to operate efficiently and profitably.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industries in which we compete are highly competitive, with low barriers to entry. Artificial intelligence is likely to result in increased competition in the markets in which we compete.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Acquisitions, licenses, dispositions and other investments we complete may not provide us with the benefits we expect, or the realization of such benefits may be significantly delayed.</w:t>
      </w:r>
    </w:p>
    <w:p>
      <w:pPr>
        <w:pStyle w:val="TextBody"/>
        <w:bidi w:val="0"/>
        <w:spacing w:lineRule="auto" w:line="288" w:before="120" w:after="283"/>
        <w:jc w:val="both"/>
        <w:rPr>
          <w:rFonts w:ascii="Arial;sans-serif" w:hAnsi="Arial;sans-serif"/>
          <w:b w:val="false"/>
          <w:color w:val="000000"/>
          <w:sz w:val="20"/>
          <w:u w:val="single"/>
        </w:rPr>
      </w:pPr>
      <w:r>
        <w:rPr>
          <w:rFonts w:ascii="Arial;sans-serif" w:hAnsi="Arial;sans-serif"/>
          <w:b w:val="false"/>
          <w:color w:val="000000"/>
          <w:sz w:val="20"/>
          <w:u w:val="single"/>
        </w:rPr>
        <w:t>Operational Risks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Our business may be harmed by the imposition or threat of tariffs, including reciprocal or retaliatory tariffs, in markets in which we operate which could increase our product costs and other costs of doing business, reduce or delay purchases, impact consumer spending, or lower our revenues and earnings.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We may be unable to develop, introduce and ship products on a timely and cost-effective basis, or we may be unable to successfully navigate through global supply chain challenges.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We may be unable to successfully adapt to the increasing importance of direct-to-consumer sales.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Our customer base remains highly concentrated, making us susceptible to the success of their businesses.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Our substantial business, sales and manufacturing operations outside the U.S. subjects us to risks of international operations, including the risk and impact of current, potential, retaliatory or reciprocal tariffs on our products.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Our reliance on third-party manufacturers, particularly in China, presents risks to our business.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Our digital games and entertainment offerings may be dependent on third-party studios, content producers and distribution channels.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Outsourcing of certain key operations or business functions to one or more third-parties creates risks relating to dependence on third parties.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If we lose key management or other employees or are unable to attract and retain talented people with the skill sets we need for our diverse and evolving business, our business may be harmed.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Our business may be harmed if we are unable to protect our critical intellectual property rights.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As we incorporate AI tools into aspects of our business, including product and game development, we may face increased costs, operational complexity, IP and data governance challenges, and evolving regulatory requirements, any of which could adversely affect timelines, quality, or expected returns on investment.</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Failure to successfully operate our information technology systems, or if our electronic data is compromised, our business may be harmed.</w:t>
      </w:r>
    </w:p>
    <w:p>
      <w:pPr>
        <w:pStyle w:val="TextBody"/>
        <w:bidi w:val="0"/>
        <w:spacing w:lineRule="auto" w:line="288" w:before="120" w:after="283"/>
        <w:jc w:val="both"/>
        <w:rPr>
          <w:rFonts w:ascii="Arial;sans-serif" w:hAnsi="Arial;sans-serif"/>
          <w:b w:val="false"/>
          <w:color w:val="000000"/>
          <w:sz w:val="20"/>
          <w:u w:val="single"/>
        </w:rPr>
      </w:pPr>
      <w:r>
        <w:rPr>
          <w:rFonts w:ascii="Arial;sans-serif" w:hAnsi="Arial;sans-serif"/>
          <w:b w:val="false"/>
          <w:color w:val="000000"/>
          <w:sz w:val="20"/>
          <w:u w:val="single"/>
        </w:rPr>
        <w:t>Global and Economic Risks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Changes in U.S., global or regional political or economic conditions can harm our business, such as inflation, tariffs, rising interest rates and unemployment rates, as well as the markets in which we and our employees, consumers, customers, suppliers and manufacturers operate. Such changes can also adversely impact discretionary consumer spending.</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Public health crises have had and may continue to have an adverse effect on our business, including harming our ability to source and ship products in a timely and cost-effective manner.</w:t>
      </w:r>
    </w:p>
    <w:p>
      <w:pPr>
        <w:pStyle w:val="TextBody"/>
        <w:bidi w:val="0"/>
        <w:spacing w:lineRule="auto" w:line="288" w:before="120" w:after="283"/>
        <w:jc w:val="both"/>
        <w:rPr>
          <w:rFonts w:ascii="Arial;sans-serif" w:hAnsi="Arial;sans-serif"/>
          <w:b w:val="false"/>
          <w:color w:val="000000"/>
          <w:sz w:val="20"/>
          <w:u w:val="single"/>
        </w:rPr>
      </w:pPr>
      <w:r>
        <w:rPr>
          <w:rFonts w:ascii="Arial;sans-serif" w:hAnsi="Arial;sans-serif"/>
          <w:b w:val="false"/>
          <w:color w:val="000000"/>
          <w:sz w:val="20"/>
          <w:u w:val="single"/>
        </w:rPr>
        <w:t>Financial Risks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Seasonality in our business may cause our quarterly and annual operating results to fluctuate.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Impairment charges related to goodwill and intangible assets and other long-term assets could harm our results.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Our financial performance can be impacted by changes in foreign currency rates due to our global business.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Our indebtedness may limit our availability of cash, cause us to divert cash to fund debt service payments or make it more difficult to take certain other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We may be unable to obtain or service our external borrowings, or restrictions imposed by such borrowings may be burdensome.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Our effective tax rate may vary due to changes in or differing tax law and rules in the territories we operate.</w: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Governmental, Regulatory and Legal Risks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If we were to violate laws or regulations applicable to our business, our business could be harmed.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We could be the subject of product liability suits, product recalls or claims relating to media content, any of which could harm our business.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From time to time, we may be involved in other litigation and similar matters which may entail significant expense or otherwise adversely impact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Additional risks and uncertainties not presently known to us or that we currently deem immaterial also may impair our business,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PART I</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Except as expressly indicated or unless the context otherwise requires, as used herein, “Hasbro”, the “Company”, “we”, or “us”, means Hasbro, Inc., a Rhode Island corporation organized on January 8, 1926,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left"/>
        <w:rPr/>
      </w:pPr>
      <w:r>
        <w:rPr>
          <w:rFonts w:ascii="Arial;sans-serif" w:hAnsi="Arial;sans-serif"/>
          <w:b/>
          <w:color w:val="000000"/>
          <w:sz w:val="20"/>
        </w:rPr>
        <w:t>Item 1.    </w:t>
      </w:r>
      <w:r>
        <w:rPr>
          <w:rFonts w:ascii="Arial;sans-serif" w:hAnsi="Arial;sans-serif"/>
          <w:b/>
          <w:i/>
          <w:color w:val="000000"/>
          <w:sz w:val="20"/>
          <w:u w:val="single"/>
        </w:rPr>
        <w:t>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Overview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Hasbro, Inc. (“Hasbro”) is a leading game, intellectual property ("IP"), and toy company whose mission is to create joy and community through the magic of play. With over 100 years of expertise, we deliver play experiences to kids, families, and fans around the world, through physical and digital games, video games, toys, licensed consumer products, location-based entertainment, film, TV and more.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Through our franchise-first approach, we unlock value from both new and legacy IP, including MAGIC: THE GATHERING, MONOPOLY, HASBRO GAMES, PLAY-DOH, TRANSFORMERS, DUNGEONS &amp; DRAGONS, NERF, and PEPPA PIG, as well as premier partner brands. Powered by our portfolio of iconic brands and a diversified network of partners and subsidiary studios, we bring fans together wherever they are, from tabletop to screen.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more than a decade, Hasbro has been consistently recognized for its corporate citizenship, including being named one of the 100 Best Corporate Citizens by 3BL Media, a 2025 JUST Capital Industry Leader, one of the 50 Most Community-Minded Companies in the U.S. by the Civic 50, and a Brand that Matters by Fast Company.</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Recent Developments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Fiscal year 2025 was a year of strong results, driven by our continued execution on our Playing to Win strategy and cost-savings initiatives.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2025 Business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finished 2025 with strong momentum, led by another record performance in our Wizards of the Coast and Digital Gaming segment, continued growth in licensing, and operating profit improvement across the Company.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MAGIC: THE GATHERING had a record year, supported by the success of its Universes Beyond sets such as </w:t>
      </w:r>
      <w:r>
        <w:rPr>
          <w:rFonts w:ascii="Arial;sans-serif" w:hAnsi="Arial;sans-serif"/>
          <w:b w:val="false"/>
          <w:i/>
          <w:color w:val="000000"/>
          <w:sz w:val="20"/>
        </w:rPr>
        <w:t xml:space="preserve">Avatar: The Last Airbender </w:t>
      </w:r>
      <w:r>
        <w:rPr>
          <w:rFonts w:ascii="Arial;sans-serif" w:hAnsi="Arial;sans-serif"/>
          <w:b w:val="false"/>
          <w:color w:val="000000"/>
          <w:sz w:val="20"/>
        </w:rPr>
        <w:t xml:space="preserve">and </w:t>
      </w:r>
      <w:r>
        <w:rPr>
          <w:rFonts w:ascii="Arial;sans-serif" w:hAnsi="Arial;sans-serif"/>
          <w:b w:val="false"/>
          <w:i/>
          <w:color w:val="000000"/>
          <w:sz w:val="20"/>
        </w:rPr>
        <w:t>Final Fantasy</w:t>
      </w:r>
      <w:r>
        <w:rPr>
          <w:rFonts w:ascii="Arial;sans-serif" w:hAnsi="Arial;sans-serif"/>
          <w:b w:val="false"/>
          <w:color w:val="000000"/>
          <w:sz w:val="20"/>
        </w:rPr>
        <w:t xml:space="preserve">, which was the highest selling set of all-time based on net revenues. </w:t>
      </w:r>
      <w:r>
        <w:rPr>
          <w:rFonts w:ascii="Arial;sans-serif" w:hAnsi="Arial;sans-serif"/>
          <w:b w:val="false"/>
          <w:i/>
          <w:color w:val="000000"/>
          <w:sz w:val="20"/>
        </w:rPr>
        <w:t>Edge of Eternities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Marvel's Spider-Man</w:t>
      </w:r>
      <w:r>
        <w:rPr>
          <w:color w:val="000000"/>
        </w:rPr>
        <w:t xml:space="preserve"> </w:t>
      </w:r>
      <w:r>
        <w:rPr>
          <w:rFonts w:ascii="Arial;sans-serif" w:hAnsi="Arial;sans-serif"/>
          <w:b w:val="false"/>
          <w:color w:val="000000"/>
          <w:sz w:val="20"/>
        </w:rPr>
        <w:t xml:space="preserve">also contributed to performance as well as high demand for our backlist sets and Secret Lair offerings.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Digital licensing was once again led by Monopoly Go!, a mobile game from our partners at Scopely, Inc., and remains a meaningful contributor to licensing revenues.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In our Consumer Products segment, we saw solid performance from BEYBLADE, TRANSFORMERS and Hasbro Gaming, as well as success from recent innovation, such as the announcement of Baby Evie joining PEPPA PIG. In addition, we saw strong success from partner licensed brands, such as MARVEL.</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Licensing in our Consumer Products segment continues to drive strong operating profit.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Operational Excellence Program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2025, we continued to execute on our Operational Excellence program, an ongoing enterprise-wide cost-savings initiative that includes targeted cost-savings, supply chain transformation and certain other restructuring actions designed to drive growth and enhance shareholder value. Through 2025, we have delivered almost $800 million of gross cost savings and are well on our path to our previous $1.0 billion commitment.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Our Mission and Strategy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mission is to create joy and community through the magic of play, a universal need that lies at the heart of our brands.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Games, IP, and toys each play an important role in driving our play-focused mission. Toys are often the first handshake we have with consumers, providing an opportunity for consumers at all ages to enjoy our brands. Games offer consumers additional channels to experience our brands, both in traditional format and through digital games. Licensing our intellectual property and strategic partnerships provide further opportunities to extend the reach of our brands across digital games, consumer products categories, entertainment, location-based experiences, and more. We believe our diversified portfolio positions us for continuous and extended reach with consumers and long-term growth. </w:t>
      </w:r>
    </w:p>
    <w:p>
      <w:pPr>
        <w:pStyle w:val="TextBody"/>
        <w:bidi w:val="0"/>
        <w:spacing w:lineRule="auto" w:line="288" w:before="120" w:after="283"/>
        <w:jc w:val="left"/>
        <w:rPr/>
      </w:pPr>
      <w:r>
        <w:rPr>
          <w:rFonts w:ascii="Arial;sans-serif" w:hAnsi="Arial;sans-serif"/>
          <w:b/>
          <w:color w:val="000000"/>
          <w:sz w:val="20"/>
        </w:rPr>
        <w:t>We are Playing to Win.</w:t>
      </w:r>
      <w:r>
        <w:rPr>
          <w:color w:val="000000"/>
        </w:rPr>
        <w:t xml:space="preserve"> </w:t>
      </w:r>
      <w:r>
        <w:rPr>
          <w:rFonts w:ascii="Arial;sans-serif" w:hAnsi="Arial;sans-serif"/>
          <w:b w:val="false"/>
          <w:color w:val="000000"/>
          <w:sz w:val="20"/>
        </w:rPr>
        <w:t>In 2025, we launched our refreshed strategy, "Playing to Win," to refocus the Company on inspiring a lifetime of play across more categories, more partners, and more ways to engage. Through play fueled brand engagement and partner scaled co-investment, including video games, artificial intelligence ("AI") enabled entertainment, and licensing, we plan to expand our consumer reach as a games, IP, and toy company. We seek to be one of the most profitable and diverse toy and game companies globally, powered by gamified, entertainment-driven, multi-purchase, multi-generational franchises. To significantly extend our consumer reach and drive for revenue and profit growth, we are focusing on five key strategic building blocks: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Anytime is Playtime</w:t>
      </w:r>
      <w:r>
        <w:rPr>
          <w:rFonts w:ascii="Arial;sans-serif" w:hAnsi="Arial;sans-serif"/>
          <w:b w:val="false"/>
          <w:color w:val="000000"/>
          <w:sz w:val="20"/>
        </w:rPr>
        <w:t>: Focus on winning play occasions and distribution point by making our brands accessible, relevant, and engaging wherever, whenever, and however consumers choose to play.</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Aging Up</w:t>
      </w:r>
      <w:r>
        <w:rPr>
          <w:rFonts w:ascii="Arial;sans-serif" w:hAnsi="Arial;sans-serif"/>
          <w:b w:val="false"/>
          <w:color w:val="000000"/>
          <w:sz w:val="20"/>
        </w:rPr>
        <w:t>: Expand our consumer base and drive play and collectible experiences for fans of all ages, recognizing that consumers aged 13 and above are gaining purchase share.</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Everyone Plays:</w:t>
      </w:r>
      <w:r>
        <w:rPr>
          <w:color w:val="000000"/>
        </w:rPr>
        <w:t xml:space="preserve"> </w:t>
      </w:r>
      <w:r>
        <w:rPr>
          <w:rFonts w:ascii="Arial;sans-serif" w:hAnsi="Arial;sans-serif"/>
          <w:b w:val="false"/>
          <w:color w:val="000000"/>
          <w:sz w:val="20"/>
        </w:rPr>
        <w:t>Engage across the play spectrum to where we under-index and capture new consumers across demographics and markets.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Digital and Direct:</w:t>
      </w:r>
      <w:r>
        <w:rPr>
          <w:color w:val="000000"/>
        </w:rPr>
        <w:t xml:space="preserve"> </w:t>
      </w:r>
      <w:r>
        <w:rPr>
          <w:rFonts w:ascii="Arial;sans-serif" w:hAnsi="Arial;sans-serif"/>
          <w:b w:val="false"/>
          <w:color w:val="000000"/>
          <w:sz w:val="20"/>
        </w:rPr>
        <w:t>Embrace new ways to engage with our consumers through video games, digital technology and direct-to-consumer interactions.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Partner Scale:</w:t>
      </w:r>
      <w:r>
        <w:rPr>
          <w:color w:val="000000"/>
        </w:rPr>
        <w:t xml:space="preserve"> </w:t>
      </w:r>
      <w:r>
        <w:rPr>
          <w:rFonts w:ascii="Arial;sans-serif" w:hAnsi="Arial;sans-serif"/>
          <w:b w:val="false"/>
          <w:color w:val="000000"/>
          <w:sz w:val="20"/>
        </w:rPr>
        <w:t>Capitalize on our partners’ investments and scale to enhance our brands through strategic relationships and licensing arrangements.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part of our Playing to Win strategy, we have realigned our brand portfolios to correspond our refreshed strategy:</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Grow Brands</w:t>
      </w:r>
      <w:r>
        <w:rPr>
          <w:rFonts w:ascii="Arial;sans-serif" w:hAnsi="Arial;sans-serif"/>
          <w:b w:val="false"/>
          <w:color w:val="000000"/>
          <w:sz w:val="20"/>
        </w:rPr>
        <w:t>: Brands representing the highest margin, highest growth opportunities in categories where we see significant share and/or underlying market growth.</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Optimize Brands</w:t>
      </w:r>
      <w:r>
        <w:rPr>
          <w:rFonts w:ascii="Arial;sans-serif" w:hAnsi="Arial;sans-serif"/>
          <w:b w:val="false"/>
          <w:color w:val="000000"/>
          <w:sz w:val="20"/>
        </w:rPr>
        <w:t>: Brands representing opportunities to maintain or grow share while improving operating profit returns.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Reinvent Brands</w:t>
      </w:r>
      <w:r>
        <w:rPr>
          <w:rFonts w:ascii="Arial;sans-serif" w:hAnsi="Arial;sans-serif"/>
          <w:b w:val="false"/>
          <w:color w:val="000000"/>
          <w:sz w:val="20"/>
        </w:rPr>
        <w:t>: Brands representing opportunities to reinvent or restructure to drive innovation and improved operating profit returns.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Brands periodically are reclassified, based on changes in growth, profitability or other characteristics, and when those changes occur, the respective portfolio historical revenue is included within the new classification.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pPr>
      <w:r>
        <w:rPr>
          <w:rFonts w:ascii="Arial;sans-serif" w:hAnsi="Arial;sans-serif"/>
          <w:b/>
          <w:color w:val="000000"/>
          <w:sz w:val="20"/>
        </w:rPr>
        <w:t xml:space="preserve">Our Business: Games, IP, and Toys. </w:t>
      </w:r>
      <w:r>
        <w:rPr>
          <w:rFonts w:ascii="Arial;sans-serif" w:hAnsi="Arial;sans-serif"/>
          <w:b w:val="false"/>
          <w:color w:val="000000"/>
          <w:sz w:val="20"/>
        </w:rPr>
        <w:t>We operate in three lines of business: games, IP, and toys, each playing a role in driving our play-focused mission.</w:t>
      </w:r>
    </w:p>
    <w:tbl>
      <w:tblPr>
        <w:tblW w:w="10205" w:type="dxa"/>
        <w:jc w:val="left"/>
        <w:tblInd w:w="0" w:type="dxa"/>
        <w:tblLayout w:type="fixed"/>
        <w:tblCellMar>
          <w:top w:w="28" w:type="dxa"/>
          <w:left w:w="28" w:type="dxa"/>
          <w:bottom w:w="28" w:type="dxa"/>
          <w:right w:w="28" w:type="dxa"/>
        </w:tblCellMar>
      </w:tblPr>
      <w:tblGrid>
        <w:gridCol w:w="1205"/>
        <w:gridCol w:w="1063"/>
        <w:gridCol w:w="1072"/>
        <w:gridCol w:w="1218"/>
        <w:gridCol w:w="1218"/>
        <w:gridCol w:w="1221"/>
        <w:gridCol w:w="935"/>
        <w:gridCol w:w="935"/>
        <w:gridCol w:w="1338"/>
      </w:tblGrid>
      <w:tr>
        <w:trPr/>
        <w:tc>
          <w:tcPr>
            <w:tcW w:w="120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334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Games</w:t>
            </w:r>
          </w:p>
        </w:tc>
        <w:tc>
          <w:tcPr>
            <w:tcW w:w="365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IP – Licensing &amp; Entertainment</w:t>
            </w:r>
          </w:p>
        </w:tc>
        <w:tc>
          <w:tcPr>
            <w:tcW w:w="3208"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Toys</w:t>
            </w:r>
          </w:p>
        </w:tc>
      </w:tr>
      <w:tr>
        <w:trPr/>
        <w:tc>
          <w:tcPr>
            <w:tcW w:w="33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Our high profit, high growth investment center. As consumers embrace digital, our game portfolio offers new channels to express our brands.</w:t>
            </w:r>
          </w:p>
        </w:tc>
        <w:tc>
          <w:tcPr>
            <w:tcW w:w="365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Our capital-light, partner scale opportunity. Licensing drives our brands across consumer product categories, screens and experiences.</w:t>
            </w:r>
          </w:p>
        </w:tc>
        <w:tc>
          <w:tcPr>
            <w:tcW w:w="320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Our first handshake with consumers; a cash generative business in a stable category driven by brands, innovation and licenses.</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a Company, we possess three competitive advantages: 1) a broad and deep brand portfolio rooted in play; 2) one of the biggest and most diverse licensing businesses in the world and 3) a profitable games business anchored by MAGIC: THE GATHERING, DUNGEONS &amp; DRAGONS, MONOPOLY, and Hasbro gaming classics.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competitive advantages reinforce one another. Our toy and game brands fuel our licensing business. Our licensing business delivers substantial investment from third-parties which strengthen our brands and our bottom line. Our games business adds further strength to our balance sheet giving us the investment dollars to upgrade core capabilities like design, supply chain, and marketing and gives us new ways to expand our brands’ reach, particularly in digital.</w:t>
      </w:r>
    </w:p>
    <w:p>
      <w:pPr>
        <w:pStyle w:val="TextBody"/>
        <w:bidi w:val="0"/>
        <w:spacing w:lineRule="auto" w:line="288" w:before="120" w:after="283"/>
        <w:jc w:val="left"/>
        <w:rPr/>
      </w:pPr>
      <w:r>
        <w:rPr>
          <w:rFonts w:ascii="Arial;sans-serif" w:hAnsi="Arial;sans-serif"/>
          <w:b/>
          <w:color w:val="000000"/>
          <w:sz w:val="20"/>
        </w:rPr>
        <w:t xml:space="preserve">Operational Excellence: Transforming Hasbro. </w:t>
      </w:r>
      <w:r>
        <w:rPr>
          <w:rFonts w:ascii="Arial;sans-serif" w:hAnsi="Arial;sans-serif"/>
          <w:b w:val="false"/>
          <w:color w:val="000000"/>
          <w:sz w:val="20"/>
        </w:rPr>
        <w:t>We are midway through a transformation. Over the past several years our initiatives have focused on:</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Reinvigorating licensing by expanding into new partnerships across toys, gaming and experiences and by strengthening existing partnerships with key partners, including the extension of our agreement with The Walt Disney Company.</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Accelerating digital initiatives and digitally-orientated partnerships.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Right-sizing our organizational structure.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Reducing complexity across the business, including significantly reducing SKU count, reducing owned inventory levels and reducing the cost structure.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Divestiture of the non-core film and TV business of eOne (as defined below) which returned “play” to the center of our mission and investment priorities, ultimately reducing content spend by over 90%.</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continuing to transform the business by upgrading our systems and talent with an emphasis on:</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Rapid adoption of AI, including launching new enabled services and digital solutions to innovate, improve operational efficiency, and go to market digitally.</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Modernizing how we design and develop products and work with manufacturers to improve the time to market, improve agility and reduce costs.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Process and systems modernization across IT, accounting, finance and HR.</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Supply chain excellence to continue improving predictability, costs and services across the network.</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Establishing an inspired workforce with a performance culture built on solid fundamentals, strong values and bar-raising feedback.</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Build a real "test and learn" engine to enable ideas to move from concept to market with speed, evidence and consumer co-creation.</w:t>
      </w:r>
    </w:p>
    <w:p>
      <w:pPr>
        <w:pStyle w:val="TextBody"/>
        <w:bidi w:val="0"/>
        <w:spacing w:lineRule="auto" w:line="288" w:before="120" w:after="283"/>
        <w:jc w:val="left"/>
        <w:rPr/>
      </w:pPr>
      <w:r>
        <w:rPr>
          <w:rFonts w:ascii="Arial;sans-serif" w:hAnsi="Arial;sans-serif"/>
          <w:b/>
          <w:i/>
          <w:color w:val="000000"/>
          <w:sz w:val="20"/>
        </w:rPr>
        <w:t xml:space="preserve">Our Brand Portfolio. </w:t>
      </w:r>
      <w:r>
        <w:rPr>
          <w:rFonts w:ascii="Arial;sans-serif" w:hAnsi="Arial;sans-serif"/>
          <w:b w:val="false"/>
          <w:color w:val="000000"/>
          <w:sz w:val="20"/>
        </w:rPr>
        <w:t>Below is a summary of the brands and business models where we compete.</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u w:val="single"/>
        </w:rPr>
        <w:t>Toys and Games</w:t>
      </w:r>
      <w:r>
        <w:rPr>
          <w:rFonts w:ascii="Arial;sans-serif" w:hAnsi="Arial;sans-serif"/>
          <w:b w:val="false"/>
          <w:color w:val="000000"/>
          <w:sz w:val="20"/>
        </w:rPr>
        <w:t>. We market and sell toys and games based on our owned and controlled brands globally at retail stores, through ecommerce platforms and through our fan-based direct-to-consumer platforms Hasbro PULSE and SECRET LAIR. Our key brands include: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MAGIC: THE GATHERING</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MONOPOLY</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HASBRO GAMES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PLAY-DOH</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TRANSFORMERS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DUNGEONS &amp; DRAGONS ("D&amp;D")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NERF</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PEPPA PIG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Additionally, through license agreements with third parties, we develop and sell products based on popular third-party brands through these channels. Key brands include: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MARVEL, including SPIDER-MAN and THE AVENGERS</w:t>
      </w:r>
      <w:r>
        <w:rPr>
          <w:rFonts w:ascii="Arial;sans-serif" w:hAnsi="Arial;sans-serif"/>
          <w:b w:val="false"/>
          <w:color w:val="000000"/>
          <w:sz w:val="13"/>
        </w:rPr>
        <w:t>(1)</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LUCASFILMS' STAR WARS</w:t>
      </w:r>
      <w:r>
        <w:rPr>
          <w:rFonts w:ascii="Arial;sans-serif" w:hAnsi="Arial;sans-serif"/>
          <w:b w:val="false"/>
          <w:color w:val="000000"/>
          <w:sz w:val="13"/>
        </w:rPr>
        <w:t>(1)</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BEYBLADE</w:t>
      </w:r>
    </w:p>
    <w:p>
      <w:pPr>
        <w:pStyle w:val="TextBody"/>
        <w:bidi w:val="0"/>
        <w:spacing w:lineRule="auto" w:line="288" w:before="60" w:after="283"/>
        <w:ind w:left="0" w:right="0" w:hanging="360"/>
        <w:jc w:val="left"/>
        <w:rPr/>
      </w:pPr>
      <w:r>
        <w:rPr>
          <w:color w:val="000000"/>
        </w:rPr>
        <w:t>•</w:t>
      </w:r>
      <w:r>
        <w:rPr>
          <w:rFonts w:ascii="Arial;sans-serif" w:hAnsi="Arial;sans-serif"/>
          <w:b w:val="false"/>
          <w:i/>
          <w:color w:val="000000"/>
          <w:sz w:val="20"/>
        </w:rPr>
        <w:t>Final Fantasy, Avatar: The Last Airbender</w:t>
      </w:r>
      <w:r>
        <w:rPr>
          <w:rFonts w:ascii="Arial;sans-serif" w:hAnsi="Arial;sans-serif"/>
          <w:b w:val="false"/>
          <w:color w:val="000000"/>
          <w:sz w:val="20"/>
        </w:rPr>
        <w:t xml:space="preserve">, and </w:t>
      </w:r>
      <w:r>
        <w:rPr>
          <w:rFonts w:ascii="Arial;sans-serif" w:hAnsi="Arial;sans-serif"/>
          <w:b w:val="false"/>
          <w:i/>
          <w:color w:val="000000"/>
          <w:sz w:val="20"/>
        </w:rPr>
        <w:t>Fallout,</w:t>
      </w:r>
      <w:r>
        <w:rPr>
          <w:color w:val="000000"/>
        </w:rPr>
        <w:t xml:space="preserve"> </w:t>
      </w:r>
      <w:r>
        <w:rPr>
          <w:rFonts w:ascii="Arial;sans-serif" w:hAnsi="Arial;sans-serif"/>
          <w:b w:val="false"/>
          <w:color w:val="000000"/>
          <w:sz w:val="20"/>
        </w:rPr>
        <w:t>which collaborate with our MAGIC collectibles through SECRET LAIR projects</w:t>
      </w:r>
    </w:p>
    <w:p>
      <w:pPr>
        <w:pStyle w:val="TextBody"/>
        <w:bidi w:val="0"/>
        <w:spacing w:lineRule="auto" w:line="288" w:before="60" w:after="283"/>
        <w:ind w:left="0" w:right="0" w:firstLine="1080"/>
        <w:jc w:val="left"/>
        <w:rPr/>
      </w:pPr>
      <w:r>
        <w:rPr>
          <w:rFonts w:ascii="Arial;sans-serif" w:hAnsi="Arial;sans-serif"/>
          <w:b w:val="false"/>
          <w:color w:val="000000"/>
          <w:sz w:val="10"/>
        </w:rPr>
        <w:t xml:space="preserve">(1) </w:t>
      </w:r>
      <w:r>
        <w:rPr>
          <w:rFonts w:ascii="Arial;sans-serif" w:hAnsi="Arial;sans-serif"/>
          <w:b w:val="false"/>
          <w:color w:val="000000"/>
          <w:sz w:val="16"/>
        </w:rPr>
        <w:t>Owned by The Walt Disney Company (“Disney”).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products include a wide range of games, trading cards and collectibles, action figures, arts and crafts and creative play products, dolls, play sets, preschool toys, plush products, vehicles and toy-related specialty products, sports action products and accessories and many other consumer products which represent an array of internationally recognizable brands that capture the imagination of our consumers worldwide.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gaming business continues to transform game play with new and innovative games and play experiences. To successfully execute our gaming strategy, we focus on brands that capitalize on existing trends while evolving our approach using consumer insights and data analytics, technology advancements and offering game-play experiences addressed to consumer demand for face-to-face, trading card and digital game experiences played as board, off-the-board, digital, electronic, trading card and role-playing games.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subsidiary, Wizards of the Coast (“Wizards”), is a critical part of our gaming business, driving innovation and growth through its popular role-playing and fantasy card-collecting games. These games include:</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20"/>
        </w:rPr>
        <w:t xml:space="preserve">MAGIC: THE GATHERING, one of the original collectible card games, is a strategic trading card game with compelling characters in multiple universes that continue to expand through new card sets, including Universes Beyond sets with well-known third-party brands such as </w:t>
      </w:r>
      <w:r>
        <w:rPr>
          <w:rFonts w:ascii="Arial;sans-serif" w:hAnsi="Arial;sans-serif"/>
          <w:b w:val="false"/>
          <w:i/>
          <w:color w:val="000000"/>
          <w:sz w:val="20"/>
        </w:rPr>
        <w:t>Final Fantasy, Avatar: The Last Airbender</w:t>
      </w:r>
      <w:r>
        <w:rPr>
          <w:rFonts w:ascii="Arial;sans-serif" w:hAnsi="Arial;sans-serif"/>
          <w:b w:val="false"/>
          <w:color w:val="000000"/>
          <w:sz w:val="20"/>
        </w:rPr>
        <w:t>, and</w:t>
      </w:r>
      <w:r>
        <w:rPr>
          <w:color w:val="000000"/>
        </w:rPr>
        <w:t xml:space="preserve"> </w:t>
      </w:r>
      <w:r>
        <w:rPr>
          <w:rFonts w:ascii="Arial;sans-serif" w:hAnsi="Arial;sans-serif"/>
          <w:b w:val="false"/>
          <w:i/>
          <w:color w:val="000000"/>
          <w:sz w:val="20"/>
        </w:rPr>
        <w:t>Marvel's Spider-Man</w:t>
      </w:r>
      <w:r>
        <w:rPr>
          <w:rFonts w:ascii="Arial;sans-serif" w:hAnsi="Arial;sans-serif"/>
          <w:b w:val="false"/>
          <w:color w:val="000000"/>
          <w:sz w:val="20"/>
        </w:rPr>
        <w:t>, released in 2025. Over the past several years, the MAGIC product line has been able to expand its user base with sets developed for existing and new play groups, including competitive players, casual, social players, collectors, digital players, and fans of "adjacent" universes.</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20"/>
        </w:rPr>
        <w:t>DUNGEONS &amp; DRAGONS, one of the world’s most popular tabletop role-playing games, is a cooperative, storytelling game where players take on the roles of different characters within a story. There are dice and basic rules involved, along with maps and miniatures or tokens, but the tools that come into play most often are the imaginations of the players.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other iconic game brands include long-time favorites such as MONOPOLY, JENGA, CONNECT 4, THE GAME OF LIFE, SCRABBLE, CLUE and TRIVIAL PURSUIT, as well as many other well-known game brands and newer games that are geared toward a mature consumer.</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u w:val="single"/>
        </w:rPr>
        <w:t>Digital Gaming</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Key to our success is the continued investment in and growth and development of our digital gaming business, including development of AAA and AA games, games as a service and licensed games. Spanning action role-playing games for web-based play, PC and gaming consoles, and Hasbro branded mobile application-based games, our digital gaming business helps to unlock the full value of our brands to achieve our mission of storytelling and bringing our brands to life. Recent examples include: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popular MONOPOLY GO! free-to-play mobile game, released in 2023 by Scopely, Inc., based on the classic board game, MONOPOLY;</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2023 release of Baldur's Gate 3, the DUNGEONS &amp; DRAGONS-based role-playing video game from our partners at Larian Studios which won several awards, including Game of the Year at the 10th annual Game Awards;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internal development of a variety of digital games, including EXODUS, a sci-fi role-playing game, and WARLOCK: DUNGEONS &amp; DRAGONS, an original third person single-player action-adventure game, both of which currently in development for PC, PlayStation 5 and Xbox, and are expected to be released in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developed and launched digital version of the MAGIC: THE GATHERING card game</w:t>
      </w:r>
      <w:r>
        <w:rPr>
          <w:rFonts w:ascii="Arial;sans-serif" w:hAnsi="Arial;sans-serif"/>
          <w:b w:val="false"/>
          <w:i/>
          <w:color w:val="000000"/>
          <w:sz w:val="20"/>
        </w:rPr>
        <w:t xml:space="preserve">, Magic: The Gathering Arena </w:t>
      </w:r>
      <w:r>
        <w:rPr>
          <w:rFonts w:ascii="Arial;sans-serif" w:hAnsi="Arial;sans-serif"/>
          <w:b w:val="false"/>
          <w:color w:val="000000"/>
          <w:sz w:val="20"/>
        </w:rPr>
        <w:t xml:space="preserve">and its related mobile application, both of which complement the Company's direct-to-customer relationships with our new and long-time MAGIC: THE GATHERING fan-base.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Developing and publishing our own games requires a substantial amount of time and investment, and there are risks that the games we develop will not be successful. We believe, however, that our brands and characters together with our studios and partners provide us a competitive edge and this has the potential to be a high growth area for us.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u w:val="single"/>
        </w:rPr>
        <w:t>Licensing IP</w:t>
      </w:r>
      <w:r>
        <w:rPr>
          <w:rFonts w:ascii="Arial;sans-serif" w:hAnsi="Arial;sans-serif"/>
          <w:b w:val="false"/>
          <w:color w:val="000000"/>
          <w:sz w:val="20"/>
        </w:rPr>
        <w:t xml:space="preserve">. Hasbro is one of the world’s largest and most diverse licensors, and a growing part of our Playing to Win strategy is to extend the reach of our brands through the out-licensing of our intellectual properties to third parties for consumer products, digital games and entertainment. </w:t>
      </w:r>
    </w:p>
    <w:p>
      <w:pPr>
        <w:pStyle w:val="TextBody"/>
        <w:bidi w:val="0"/>
        <w:spacing w:lineRule="auto" w:line="288" w:before="60" w:after="283"/>
        <w:ind w:left="0" w:right="0" w:hanging="360"/>
        <w:jc w:val="left"/>
        <w:rPr/>
      </w:pPr>
      <w:r>
        <w:rPr>
          <w:color w:val="000000"/>
        </w:rPr>
        <w:t>•</w:t>
      </w:r>
      <w:r>
        <w:rPr>
          <w:rFonts w:ascii="Arial;sans-serif" w:hAnsi="Arial;sans-serif"/>
          <w:b w:val="false"/>
          <w:i/>
          <w:color w:val="000000"/>
          <w:sz w:val="20"/>
          <w:u w:val="single"/>
        </w:rPr>
        <w:t>Consumer Products Licensing</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We license our intellectual property for a variety of consumer promotional events and products, including apparel, publishing, home goods and electronics, or in certain situations, toy products where the out-licensing of brands is more effective and profitable than developing and marketing the products ourselves. A recent example of this includes a return of MONOPOLY at McDonald's for the first time in a decade, which featured a new digital-first format, and a resurgence from MY LITTLE PONY through licensing across merchandising categories, music, and trading card products.</w:t>
      </w:r>
    </w:p>
    <w:p>
      <w:pPr>
        <w:pStyle w:val="TextBody"/>
        <w:bidi w:val="0"/>
        <w:spacing w:lineRule="auto" w:line="288" w:before="60" w:after="283"/>
        <w:ind w:left="0" w:right="0" w:hanging="360"/>
        <w:jc w:val="left"/>
        <w:rPr/>
      </w:pPr>
      <w:r>
        <w:rPr>
          <w:color w:val="000000"/>
        </w:rPr>
        <w:t>•</w:t>
      </w:r>
      <w:r>
        <w:rPr>
          <w:rFonts w:ascii="Arial;sans-serif" w:hAnsi="Arial;sans-serif"/>
          <w:b w:val="false"/>
          <w:i/>
          <w:color w:val="000000"/>
          <w:sz w:val="20"/>
          <w:u w:val="single"/>
        </w:rPr>
        <w:t>Digital Games Licensing</w:t>
      </w:r>
      <w:r>
        <w:rPr>
          <w:rFonts w:ascii="Arial;sans-serif" w:hAnsi="Arial;sans-serif"/>
          <w:b w:val="false"/>
          <w:i/>
          <w:color w:val="000000"/>
          <w:sz w:val="20"/>
        </w:rPr>
        <w:t xml:space="preserve">: </w:t>
      </w:r>
      <w:r>
        <w:rPr>
          <w:rFonts w:ascii="Arial;sans-serif" w:hAnsi="Arial;sans-serif"/>
          <w:b w:val="false"/>
          <w:color w:val="000000"/>
          <w:sz w:val="20"/>
        </w:rPr>
        <w:t xml:space="preserve">We out-license certain of our brands to other third-party digital game developers who transform Hasbro brand-based characters and other intellectual properties into digital gaming experiences such as MONOPOLY GO! and Baldur's Gate 3. In addition, a new slate of multi-year licensing partnerships was announced in 2025 that expand Hasbro's presence on the casino floor. These partnerships provide access to new entertainment experiences that reimagine our brands in bold, exciting ways for a growing base of adult fans and gamers. </w:t>
      </w:r>
    </w:p>
    <w:p>
      <w:pPr>
        <w:pStyle w:val="TextBody"/>
        <w:bidi w:val="0"/>
        <w:spacing w:lineRule="auto" w:line="288" w:before="60" w:after="283"/>
        <w:ind w:left="0" w:right="0" w:hanging="360"/>
        <w:jc w:val="left"/>
        <w:rPr/>
      </w:pPr>
      <w:r>
        <w:rPr>
          <w:color w:val="000000"/>
        </w:rPr>
        <w:t>•</w:t>
      </w:r>
      <w:r>
        <w:rPr>
          <w:rFonts w:ascii="Arial;sans-serif" w:hAnsi="Arial;sans-serif"/>
          <w:b w:val="false"/>
          <w:i/>
          <w:color w:val="000000"/>
          <w:sz w:val="20"/>
          <w:u w:val="single"/>
        </w:rPr>
        <w:t>Location-Based Entertainment</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Location-based entertainment focuses on licensing our brands across multiple verticals, including, but not limited to, theme parks, water parks, hotels and resorts, family entertainment centers, retail, dining and entertainment, shows, exhibits and exhibitions such as TRANSFORMERS at multiple Universal Studios theme parks, seven Peppa Pig Theme Parks and several Peppa Pig World of Play experiences with Merlin Entertainment, and Hasbro City, a Hasbro-themed family entertainment center located in Paseo Interlomas, Mexico featuring thrilling theme park rides and experiences, live shows, food and beverage options and the region's first Hasbro-themed retail location. These experiences bring our brands to life and further immerse our consumers in our storytelling in a capital efficient manner as the third-parties operating these experiences are making the investment in these initiatives. </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u w:val="single"/>
        </w:rPr>
        <w:t>Entertainment</w:t>
      </w:r>
      <w:r>
        <w:rPr>
          <w:rFonts w:ascii="Arial;sans-serif" w:hAnsi="Arial;sans-serif"/>
          <w:b w:val="false"/>
          <w:color w:val="000000"/>
          <w:sz w:val="20"/>
        </w:rPr>
        <w:t>. Reinforcing storylines associated with our owned and controlled brands through entertainment mediums, including television, film, digital content and other programming is our primary entertainment strategy. With our cross-platform capabilities, our entertainment business leverages film and television production and sales, digital content and children's programming to create compelling entertainment and drive creativity and overall awareness across brands with merchandising and licensing tie-ins. Principal brands include PEPPA PIG and MY LITTLE PONY whose content entertains children worldwide and generates revenues through licensing and merchandising programs across multiple retail categories. New in 2025 was the arrival of baby Evie, who joined Peppa and George as the newest member of the PEPPA PIG family during a cinematic event that featured the reveal of ten new episodes and six new songs.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u w:val="single"/>
        </w:rPr>
        <w:t>Hasbro Direct</w:t>
      </w:r>
      <w:r>
        <w:rPr>
          <w:rFonts w:ascii="Arial;sans-serif" w:hAnsi="Arial;sans-serif"/>
          <w:b w:val="false"/>
          <w:color w:val="000000"/>
          <w:sz w:val="20"/>
        </w:rPr>
        <w:t>. Our Hasbro Direct business adopts a "Fans Come First" approach, intended to create direct connections with our consumers. It includes the following platforms:</w:t>
      </w:r>
    </w:p>
    <w:p>
      <w:pPr>
        <w:pStyle w:val="TextBody"/>
        <w:bidi w:val="0"/>
        <w:spacing w:lineRule="auto" w:line="288" w:before="60" w:after="283"/>
        <w:ind w:left="0" w:right="0" w:hanging="360"/>
        <w:jc w:val="left"/>
        <w:rPr/>
      </w:pPr>
      <w:r>
        <w:rPr>
          <w:color w:val="000000"/>
        </w:rPr>
        <w:t>•</w:t>
      </w:r>
      <w:r>
        <w:rPr>
          <w:rFonts w:ascii="Arial;sans-serif" w:hAnsi="Arial;sans-serif"/>
          <w:b w:val="false"/>
          <w:i/>
          <w:color w:val="000000"/>
          <w:sz w:val="20"/>
        </w:rPr>
        <w:t xml:space="preserve">Magic: The Gathering Arena </w:t>
      </w:r>
      <w:r>
        <w:rPr>
          <w:color w:val="000000"/>
        </w:rPr>
        <w:t xml:space="preserve">– </w:t>
      </w:r>
      <w:r>
        <w:rPr>
          <w:rFonts w:ascii="Arial;sans-serif" w:hAnsi="Arial;sans-serif"/>
          <w:b w:val="false"/>
          <w:color w:val="000000"/>
          <w:sz w:val="20"/>
        </w:rPr>
        <w:t>the free-to-play online adaptation of the MAGIC: THE GATHERING card game where players can explore the fantasy worlds, play a variety of game formats to collect cards and test skills against friends and other players around the world, or participate in in-game tournaments. This game continues to be enhanced and has helped expand the user base of MAGIC players.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SECRET LAIR – our internet-based storefront where MAGIC: THE GATHERING fans can purchase exclusive and limited versions of cards.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D&amp;D Beyond – the premier digital content platform for DUNGEONS &amp; DRAGONS where fans can access online versions of official rule books, character sheets and catalogs, adventures, and other digital tools such as character builders and official D&amp;D content available for purchase.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Hasbro PULSE – Hasbro's ultimate fan ecommerce destination and sales platform, where fans get exclusive access to behind-the-scenes content, limited run and special edition collectibles and action figures, and other crowd-funded projects that bring dream products into premium reality.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With these platforms, we are expanding and enhancing our capabilities beyond traditional ecommerce to serve our consumers and activate brands. Connecting with fans directly makes our products more accessible in more markets and enables us to sell brands and showcase selected items, creating more brand awareness while gaining a deeper understanding of our fans and what they want and expect from Hasbro.</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u w:val="single"/>
        </w:rPr>
        <w:t>Other Elements of our Strategy</w:t>
      </w:r>
      <w:r>
        <w:rPr>
          <w:rFonts w:ascii="Arial;sans-serif" w:hAnsi="Arial;sans-serif"/>
          <w:b w:val="false"/>
          <w:color w:val="000000"/>
          <w:sz w:val="20"/>
        </w:rPr>
        <w:t>. Other aspects of our strategy that help drive our consumer reach and storytelling experiences include digital content. We understand the importance of digital content to drive fan engagement, including in gaming and across other media, and of integrating such content with our products. Digital media encompasses digital gaming applications and the creation of digital environments for traditional products through the use of complementary digital applications, social media and websites which extend storylines and enhance play.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Product Development and Royalties</w: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Development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success is dependent on continuous innovation in our play offerings and requires ongoing development of new brands and products alongside the redesign of existing products to drive consumer interest and market acceptance. Our products are developed by a global development function, which is responsible for the development, design and engineering of new products and their packaging along with the innovation, improvement or modification of ongoing products. Much of this work is performed by our internal staff of designers, artists, model makers and engineers. The pace of change in innovation and complexity of our product offerings is expected to continue to evolve as we adopt artificial intelligence in the development of new brands and products.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to the design and development work performed by our own staff, we work with a number of independent toy and game designers and compete for their designs and ideas with other toy and game manufacturers. Rights to such designs and ideas, when acquired or licensed by us, are usually exclusive for particular categories and the agreements generally require us to pay the designer a royalty on our net sales of the item. These designer licensing agreements may also provide for advance royalties and minimum guarantees.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Finally, our continued investment in digital gaming is considered a key growth engine to expand our reach in the world of play. As of December 28, 2025, we have four internally owned and operated gaming studios working on a mixture of titles that will both introduce fans to new worlds and franchises, as well as further connect and immerse fans with existing IP. We have also entered into key partnerships with external studios, in an effort to leverage their expertise to bring our brands to life in new, unique ways.</w: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Royalties and Participations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produce an array of products under licenses based on our partners’ trademarks and copyrights for the names or likenesses of characters from movies, television shows and other entertainment media. We compete with other toy and game manufacturers for these licensed rights. Licensing fees for these rights are generally paid as a royalty on our net sales of the item. Licenses for the use of characters may be exclusive for specific products or product lines in specified territories, or may be non-exclusive, in which case our product offerings may be competing with the product offerings of other licensees. In many instances, advance royalties and minimum guarantees are required by these license agreements. Our royalty expense in any given year may vary depending upon product mix and the timing of movie releases and other entertainment media.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increasingly promoting our brands through the out-licensing of our intellectual properties to third parties for a wide range of digital games, consumer products and location-based experiences. Under these agreements, licensees generally pay us a sales-based royalty, usage-based royalty, or a combination of both for use of our brands and, in some cases, the license arrangements are subject to minimum guaranteed amounts or fixed fees, over the term of the license.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entertainment offerings also require us to pay royalties and participations to those involved in the creation of our content, such as producers, writers, directors and 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Marketing and Sales, Customer Concentration and Advertising</w:t>
      </w:r>
    </w:p>
    <w:p>
      <w:pPr>
        <w:pStyle w:val="TextBody"/>
        <w:bidi w:val="0"/>
        <w:spacing w:lineRule="auto" w:line="288" w:before="120" w:after="283"/>
        <w:jc w:val="left"/>
        <w:rPr/>
      </w:pPr>
      <w:r>
        <w:rPr>
          <w:rFonts w:ascii="Arial;sans-serif" w:hAnsi="Arial;sans-serif"/>
          <w:b w:val="false"/>
          <w:color w:val="000000"/>
          <w:sz w:val="20"/>
          <w:u w:val="single"/>
        </w:rPr>
        <w:t>Marketing and Sales</w:t>
      </w:r>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global marketing function establishes brand direction and messaging and assists the selling entities in establishing local marketing programs. Our global marketing group works with the global development function to deliver unified, brand-specific consumer experiences. In addition to the global marketing function, our local selling entities employ sales and marketing functions responsible for local market activities and execution.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products are sold globally to a broad spectrum of customers, including mass-market retailers, distributors, wholesalers, discount stores, specialty hobby stores, drug stores, mail order houses, catalog stores, department stores and other traditional retailers, large and small, as well as ecommerce retailers and direct-to-customer through our fan-focused Hasbro Direct business. Our own sales forces account for the majority of sales of our products with remaining sales generated by independent distributors who, for the most part, sell our products in areas of the world where we do not otherwise maintain a direct presence. The majority of our product sales are to large chain stores, distributors, e-retailers and wholesalers.</w: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Customer Concentration</w:t>
      </w:r>
    </w:p>
    <w:p>
      <w:pPr>
        <w:pStyle w:val="TextBody"/>
        <w:bidi w:val="0"/>
        <w:spacing w:lineRule="auto" w:line="288" w:before="120" w:after="283"/>
        <w:jc w:val="left"/>
        <w:rPr/>
      </w:pPr>
      <w:r>
        <w:rPr>
          <w:rFonts w:ascii="Arial;sans-serif" w:hAnsi="Arial;sans-serif"/>
          <w:b w:val="false"/>
          <w:color w:val="000000"/>
          <w:sz w:val="20"/>
        </w:rPr>
        <w:t xml:space="preserve">In 2025, net revenues from our top five customers accounted for approximately 35% of our consolidated global net revenues. Our largest customers, Amazon.com, Inc. and Wal-Mart, Inc. together represented 20% of consolidated global net revenues, with each accounting for 11% and 9%, respectively. Refer to Part I, Item 1A.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of this Form 10-K for a further discussion of risks relating to customer concentration.</w: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Advertising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advertise many of our products and brands through digital marketing, social media and television. Products are strategically cross-promoted by spotlighting specific products alongside related offerings in a manner that promotes the sale of not only the selected item, but also those complementary products.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Part of our strategy includes focusing on reinforcing storylines associated with our brands through several mediums, including digital and tabletop gaming, consumer products, television, film and live action experiences. Our brands obtain marketing and advertising support through entertainment appearing on major networks globally and theatrical releases, as well as on various other digital platforms, including the use of influencers and social media.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Many of our new products are introduced to major customers within one to two years prior to their year of retail introduction. Our advertising expenditures are impacted by our product mix in any given year. For example, brands based on major motion picture releases generally require less advertising as a result of the promotional activities around the motion picture release, whereas leading into a major digital gaming launch, our Wizards of the Coast business will have substantial increases to advertising, marketing and promotional expenses to acquire players and promote gaming releases.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Supply Chain and Manufacturing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committed to transforming our supply chain into an industry-leading organization that delivers competitive advantages from design to shelf through superior service, responsiveness, and operational excellence. Our multi-year plan is focused on strengthening capabilities and maintaining a robust productivity pipeline to fuel Hasbro’s growth.</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Key areas of focus include optimizing our manufacturing and logistics network, advancing integrated planning, and embedding design to value, and design for manufacture principles. Through these strategic pillars, our supply chain continues to create value and reduce costs across transportation, warehousing, and ex-factory expenses, while sustaining progress to continue to lower inventory levels and improving operating cash flow.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part of the transformation, we continue to pursue a resilient sourcing strategy by diversifying our manufacturing footprint. The majority of our products are manufactured by third-party manufacturers located in China, Vietnam, India, Japan, Belgium, the United States, Mexico, and Indonesia. Most manufacturing utilizes basic raw materials such as plastic, paper and cardboard, though certain products also incorporate electronic components. Product costs are generally based on annual pricing agreements with manufacturing partners throughout the year, reflect estimated market conditions, and typically remain fixed unless significant market changes occur.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logistics network is designed to ensure product availability across diverse retail, digital, and direct-to-consumer channels, while maintaining operational flexibility and cost efficiency. It includes owned and leased distribution centers as well as third party logistics providers worldwide. We manage inbound and outbound transportation, order fulfillment, and network optimization to ensure delivery to retail partners and consumers.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Continued enhancements in supply planning and forecasting are designed to improve responsiveness from manufacturing through delivery while reducing working capital requirements. Initiatives in inventory optimization, process simplification, and end-to-end system integration contribute to greater efficiency and profitability.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parallel, our design to value and design for manufacture initiatives focus respectively on maximizing customer value and optimizing design for efficient production. Together, these drive cost efficiency and a continuous productivity pipeline aligned with long-term growth priorities.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remain vigilant in monitoring regulatory requirements and potential supply chain disruptions, including trade restrictions, tariff impacts, labor constraints, environmental impacts, and geopolitical developments. Working closely with our partners, we uphold high standards of product quality, safety, and ethical manufacturing, and ensure compliance with applicable trade and labor regulations.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Competition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a worldwide leader in the development, design, sale and marketing of games and toys, operating in a highly competitive business environment. We believe our diversified portfolio together with the strength of our extensive intellectual property portfolio provides us with a competitive advantage and allows us to adapt to changes in the competitive landscape, consumer trends and economic conditions.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play industry is highly competitive. We view our primary competition as coming from game and toy companies, digital gaming companies and digital gaming developers. We compete with several large companies in our product categories, as well as with many smaller United States and international game and toy designers, manufacturers and marketers. In certain instances, we also compete with large retailers, who offer such products under their own private labels, often at lower prices. Competition is based primarily on meeting consumer preferences and on the quality and play value of our products and experiences. To a lesser extent, competition is also based on product pricing. We expect that as artificial intelligence becomes more prevalent, we will see increased competition from those using such technology to develop games, toys and content.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also contend with the expanding variety of digital gaming and digital entertainment offerings available for children, while product life cycles of traditional toys and games have shortened. As a result, our products not only compete with those offerings produced by other toy and game manufacturers and companies offering branded family play and entertainment, we also compete, particularly in meeting the demands of older children and adults, with entertainment offerings of many technology companies, such as makers of tablets, mobile devices, video games and other digital gaming products and screens, and social media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Seasonality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Wizards and entertainment businesses are subject to variations in sales based on the timing of release of card sets, games, and content releases. Release dates are determined by several factors, including the timing of holiday periods, geographical release dates and competition in the market.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For our Consumer Products segment, our customer order patterns may vary from year to year largely due to fluctuations in the degree of consumer acceptance of product lines, supply and product availability, marketing strategies and inventory policies of retailers, TV and film content releases, including the dates of theatrical releases of major motion pictures for which we offer products, and changes in overall economic conditions. As a result, a disproportionate volume of our net revenues from our consumer products business has historically been earned during the third and fourth quarters leading up to the retail industry’s holiday selling season, including Christmas.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2025 and 2024, the second half of the year accounted for approximately 60% and 58% of full year revenues, respectively, with the third and fourth quarters accounting for approximately 30% and 30%, respectively, of full year net revenues in 2025 and 31% and 27%, respectively, of full year revenues in each of the third and fourth quarters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Environmental, Social and Governance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discusses our governance and focus areas of our Environmental, Social and Governance (ESG) efforts.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Governance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ESG governance starts with our Board of Directors ("Board"), with specific oversight by our Nominating, Governance and Social Responsibility Committee of the Board ("Governance Committee"). ESG topics, such as climate and sustainability, human rights and ethical sourcing are regular agenda items at Governance Committee meetings. The Governance Committee analyzes these issues and makes recommendations to the full Board. In addition, the Audit Committee of our Board oversees SEC and public disclosures in specific matters, such as conflict minerals, and enterprise risk. The full Board receives regular updates regarding our ESG progress.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to Board-level governance, our CEO and the Executive Leadership Team ("ELT") regularly review our ESG performance, progress and opportunities. Our ELT and members of our global corporate sustainability team meet several times a year to ensure management oversight of the Company’s ESG strategy, impact and performance. This group sets the direction for our global ESG strategy and ensures the integration of ESG throughout the organization and supply chain.</w:t>
      </w:r>
    </w:p>
    <w:p>
      <w:pPr>
        <w:pStyle w:val="TextBody"/>
        <w:bidi w:val="0"/>
        <w:spacing w:lineRule="auto" w:line="288" w:before="120" w:after="120"/>
        <w:jc w:val="left"/>
        <w:rPr/>
      </w:pPr>
      <w:r>
        <w:rPr>
          <w:rFonts w:ascii="Arial;sans-serif" w:hAnsi="Arial;sans-serif"/>
          <w:b w:val="false"/>
          <w:i/>
          <w:color w:val="000000"/>
          <w:sz w:val="20"/>
          <w:u w:val="single"/>
        </w:rPr>
        <w:t xml:space="preserve">Focus Area: </w:t>
      </w:r>
      <w:r>
        <w:rPr>
          <w:rFonts w:ascii="Arial;sans-serif" w:hAnsi="Arial;sans-serif"/>
          <w:b/>
          <w:i/>
          <w:color w:val="000000"/>
          <w:sz w:val="20"/>
          <w:u w:val="single"/>
        </w:rPr>
        <w:t>Climate and Sustainability</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We recognize the impact our business can have on the environment and are working to reduce our footprint. We view sustainability challenges as opportunities to innovate and to continuously improve our product design and operational efficiencies.</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We continue to work to integrate climate risk identification and mitigation into our overall enterprise risk management process and business. As part of this effort, we published a Climate and Nature Transition Plan and an IFRS S2 disclosure, where we describe how climate change could impact our business and the key actions we are taking that are designed to strengthen our resiliency. These disclosures contribute to our ongoing preparation work for the European Union's Corporate Sustainability Reporting Directive ("CSRD").</w:t>
      </w:r>
    </w:p>
    <w:p>
      <w:pPr>
        <w:pStyle w:val="TextBody"/>
        <w:bidi w:val="0"/>
        <w:spacing w:lineRule="auto" w:line="288" w:before="120" w:after="283"/>
        <w:jc w:val="left"/>
        <w:rPr/>
      </w:pPr>
      <w:r>
        <w:rPr>
          <w:rFonts w:ascii="Arial;sans-serif" w:hAnsi="Arial;sans-serif"/>
          <w:b w:val="false"/>
          <w:i/>
          <w:color w:val="000000"/>
          <w:sz w:val="20"/>
          <w:u w:val="single"/>
        </w:rPr>
        <w:t xml:space="preserve">Focus Area: </w:t>
      </w:r>
      <w:r>
        <w:rPr>
          <w:rFonts w:ascii="Arial;sans-serif" w:hAnsi="Arial;sans-serif"/>
          <w:b/>
          <w:i/>
          <w:color w:val="000000"/>
          <w:sz w:val="20"/>
          <w:u w:val="single"/>
        </w:rPr>
        <w:t>Human Rights and Ethical Sourcing</w:t>
      </w:r>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Human Rights and Ethical Sourcing program launched over 30 years ago and is dedicated to ensuring that facilities involved in the production of our toys, games and licensed consumer products comply with Hasbro’s Global Business Ethics Principles. The program is designed to ensure fair and safe working conditions; fairness, dignity and respect for workers; and robust supplier engagement to ensure strong safety, health and environmental performance. While working on these issues with partners, suppliers, third-party factories and licensees is complex, we remain vigilant in our commitment to ensure workers in our supply chain are treated in accordance with our high ethical standards and applicable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Human Capital Management</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Overview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key human capital management objectives for our direct workforce are to attract, develop, motivate and retain a talented workforce to enable us to offer great play experiences to our fans and consumers. The experience and dedication of our employees are at the heart of our success, energizing everything we do, from developing innovative products to creating immersive game, consumer products and entertainment experiences. Our teams are inspired by our purpose of creating joy and community for all people around the world. Our culture sets us up to deliver excellence, build impactful brands and expand our leadership in play, entertainment and beyond. As our organization continues to evolve, we remain steadfast in our ambition to provide a community where everyone can show up authentically as themselves and deliver their best work. The following discusses our governance of human capital management and our key focus areas.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Governance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governance of human capital management falls within the governance structure for ESG overall. The Governance Committee of the Board oversees the Company’s human capital policies and practices. The Compensation and Talent Committee of the Board oversees our compensation programs as well as talent management, including with respect to recruitment, leadership, career development, succession planning, employee engagement, Company culture and retention.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Chief People Officer, who reports to the CEO and is a member of our ELT, is responsible for developing and executing key aspects of our human capital strategy, including the attraction, acquisition, development and engagement of talent to deliver on the Company’s strategy, the design of competitive compensation and employee benefit programs. Our ESG Committee is responsible for developing and executing our global ESG strategy, including our human rights and ethical sourcing programs for the workers across our supply and value chain. </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Employees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2025, we employed approximately 4,520 people worldwide, with approximately 58% of our employees in North America (51% in the United States; 7% in Canada), 19% in Europe, 18% in Asia Pacific, and 5% in Latin America (includes Mexico). Approximately 2% of our employees globally are covered by unions or collective bargaining agreements.</w:t>
      </w:r>
    </w:p>
    <w:p>
      <w:pPr>
        <w:pStyle w:val="TextBody"/>
        <w:bidi w:val="0"/>
        <w:spacing w:lineRule="auto" w:line="288" w:before="120" w:after="283"/>
        <w:jc w:val="left"/>
        <w:rPr/>
      </w:pPr>
      <w:r>
        <w:rPr>
          <w:rFonts w:ascii="Arial;sans-serif" w:hAnsi="Arial;sans-serif"/>
          <w:b w:val="false"/>
          <w:i/>
          <w:color w:val="000000"/>
          <w:sz w:val="20"/>
          <w:u w:val="single"/>
        </w:rPr>
        <w:t xml:space="preserve">Focus Area: </w:t>
      </w:r>
      <w:r>
        <w:rPr>
          <w:rFonts w:ascii="Arial;sans-serif" w:hAnsi="Arial;sans-serif"/>
          <w:b/>
          <w:i/>
          <w:color w:val="000000"/>
          <w:sz w:val="20"/>
          <w:u w:val="single"/>
        </w:rPr>
        <w:t>Inclusion and Belonging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believe that the more inclusive we are as a company, the more effective our employees will be and the stronger our business will perform. We work diligently to foster an inclusive culture that reflects the consumers and communities we serve globally. </w:t>
      </w:r>
    </w:p>
    <w:p>
      <w:pPr>
        <w:pStyle w:val="TextBody"/>
        <w:bidi w:val="0"/>
        <w:spacing w:lineRule="auto" w:line="288" w:before="120" w:after="283"/>
        <w:jc w:val="left"/>
        <w:rPr/>
      </w:pPr>
      <w:r>
        <w:rPr>
          <w:rFonts w:ascii="Arial;sans-serif" w:hAnsi="Arial;sans-serif"/>
          <w:b w:val="false"/>
          <w:i/>
          <w:color w:val="000000"/>
          <w:sz w:val="20"/>
          <w:u w:val="single"/>
        </w:rPr>
        <w:t xml:space="preserve">Focus Area: </w:t>
      </w:r>
      <w:r>
        <w:rPr>
          <w:rFonts w:ascii="Arial;sans-serif" w:hAnsi="Arial;sans-serif"/>
          <w:b/>
          <w:i/>
          <w:color w:val="000000"/>
          <w:sz w:val="20"/>
          <w:u w:val="single"/>
        </w:rPr>
        <w:t>Compensation &amp; Well-being of Employees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Employee attraction, development, motivation and retention has long been a key Hasbro priority. We recognize and reward our employees with a total rewards package that includes competitive compensation and comprehensive benefits.</w:t>
      </w:r>
    </w:p>
    <w:p>
      <w:pPr>
        <w:pStyle w:val="TextBody"/>
        <w:bidi w:val="0"/>
        <w:spacing w:lineRule="auto" w:line="288" w:before="120" w:after="283"/>
        <w:jc w:val="left"/>
        <w:rPr/>
      </w:pPr>
      <w:r>
        <w:rPr>
          <w:rFonts w:ascii="Arial;sans-serif" w:hAnsi="Arial;sans-serif"/>
          <w:b w:val="false"/>
          <w:color w:val="000000"/>
          <w:sz w:val="20"/>
        </w:rPr>
        <w:t>Our compensation program includes base pay, equity compensation (for certain levels), annual incentives, and a robust recognition program. Competitive compensation is the cornerstone of our total rewards program. We regularly review salary ratios for men and women in similar roles to help maintain internal equity and market competitiveness across the globe. We review both industry and local market data at least annually to identify trends and market gaps to maintain the competitiveness of our compensation program.</w:t>
      </w:r>
      <w:r>
        <w:rPr>
          <w:color w:val="000000"/>
        </w:rPr>
        <w:t xml:space="preserve"> </w:t>
      </w:r>
      <w:r>
        <w:rPr>
          <w:rFonts w:ascii="Arial;sans-serif" w:hAnsi="Arial;sans-serif"/>
          <w:b w:val="false"/>
          <w:color w:val="000000"/>
          <w:sz w:val="20"/>
        </w:rPr>
        <w:t>When designing our compensation and employee benefit programs, we consider the big picture of how these programs contribute to the overall employee experience.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comprehensive benefit program includes robust core benefits, voluntary benefits, product discounts and a well-being program that help people integrate work and life commitments. We evaluate the benefit program annually to ensure our offer continues to meet the needs of our employees, remains competitive in the marketplace and continues to reflect the company values.</w:t>
      </w:r>
    </w:p>
    <w:p>
      <w:pPr>
        <w:pStyle w:val="TextBody"/>
        <w:bidi w:val="0"/>
        <w:spacing w:lineRule="auto" w:line="288" w:before="120" w:after="283"/>
        <w:jc w:val="left"/>
        <w:rPr/>
      </w:pPr>
      <w:r>
        <w:rPr>
          <w:rFonts w:ascii="Arial;sans-serif" w:hAnsi="Arial;sans-serif"/>
          <w:b w:val="false"/>
          <w:i/>
          <w:color w:val="000000"/>
          <w:sz w:val="20"/>
          <w:u w:val="single"/>
        </w:rPr>
        <w:t xml:space="preserve">Focus Area: </w:t>
      </w:r>
      <w:r>
        <w:rPr>
          <w:rFonts w:ascii="Arial;sans-serif" w:hAnsi="Arial;sans-serif"/>
          <w:b/>
          <w:i/>
          <w:color w:val="000000"/>
          <w:sz w:val="20"/>
          <w:u w:val="single"/>
        </w:rPr>
        <w:t>Talent Development and Performance Management</w:t>
      </w:r>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committed to the continued development of our people. Strategic talent assessments and succession planning occur on a planned cadence biannually – globally and across all business areas. The CEO and Chief People Officer convene meetings with senior company leadership and the Board to review the full talent pipeline with a focus on our top company talent. We provide opportunities for our employees to grow their careers through annual goal setting, development plans and quarterly conversations. We invest in developing our employees by providing blended learning opportunities and in-house trainings and by offering third-party programs, including specialized trainings and broader academic pursuits.</w:t>
      </w:r>
    </w:p>
    <w:p>
      <w:pPr>
        <w:pStyle w:val="TextBody"/>
        <w:bidi w:val="0"/>
        <w:spacing w:lineRule="auto" w:line="288" w:before="120" w:after="283"/>
        <w:jc w:val="left"/>
        <w:rPr/>
      </w:pPr>
      <w:r>
        <w:rPr>
          <w:rFonts w:ascii="Arial;sans-serif" w:hAnsi="Arial;sans-serif"/>
          <w:b w:val="false"/>
          <w:i/>
          <w:color w:val="000000"/>
          <w:sz w:val="20"/>
          <w:u w:val="single"/>
        </w:rPr>
        <w:t xml:space="preserve">Focus Area: </w:t>
      </w:r>
      <w:r>
        <w:rPr>
          <w:rFonts w:ascii="Arial;sans-serif" w:hAnsi="Arial;sans-serif"/>
          <w:b/>
          <w:i/>
          <w:color w:val="000000"/>
          <w:sz w:val="20"/>
          <w:u w:val="single"/>
        </w:rPr>
        <w:t>Philanthropy and Social Impact</w:t>
      </w:r>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Giving back to our local and global communities is core to our heritage and our culture. We support our team members in giving back through our volunteer program which grants employees four hours paid time off per month to volunteer. In addition, throughout the year, our Philanthropy and Social Impact team organizes team-building and skills-based volunteer projects, which provide our employees with the opportunity to make a meaningful difference in their communities around the world.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Trademarks, Copyrights and Patents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seek to protect our products, for the most part, and in as many countries as practical, through registered trademarks, copyrights and patents to the extent that such protection is available, cost effective, and meaningful. The loss of such rights concerning any particular product is unlikely to result in significant harm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Government Regulation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toy and game products sold in the United States are subject to the provisions of The Consumer Product Safety Act, as amended by the Consumer Product Safety Improvement Act of 2008 (as amended, the “CPSIA”), The Federal Hazardous Substances Act (the “FHSA”), The Flammable Fabrics Act (the “FFA”), and the regulations promulgated thereunder. In addition, a few of our products, are also subject to regulation by the Food and Drug Administration.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CPSIA empowers the Consumer Product Safety Commission (the “CPSC”) to take action against hazards presented by consumer products, including the formulation and implementation of regulations and uniform safety standards. The CPSC has the authority to seek to declare a product “a banned hazardous substance” under the CPSIA and to ban it from commerce. The CPSC can file an action to seize and condemn an “imminently hazardous consumer product” under the CPSIA and may also order equitable remedies such as recall, replacement, repair or refund for the product. The FHSA provides for the repurchase by the manufacturer of articles that are banned.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Consumer product safety laws also exist in some states and cities within the United States and in many international markets including Canada, Australia, Asia and Europe. We utilize independent third-party laboratories that employ testing and other procedures intended to maintain compliance with the CPSIA, the FHSA, the FFA, other applicable domestic and international product standards, and our own standards. Any material product recall or other safety issue impacting our products could have an adverse effect on our results of operations or financial condition, depending on the product and scope of the recall, could damage our reputation and could negatively affect sales of our other products as well.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Children’s Television Act of 1990 and the rules and regulations of the United States Federal Communications Commission, the rules and regulations of the Federal Trade Commission, as well as the laws of certain other countries, also place limitations on television commercials during children’s programming and on advertising in other forms to children, and on the collection of information from children, such as restrictions on collecting information from children under the age of thirteen subject to the provisions of the Children’s Online Privacy Protection Act ("COPPA"). Legislative changes to COPPA are currently under consideration by the U.S. Congress. Digital games that are accessible to children or families may be subject to additional laws and regulations governing online safety, age-appropriate design, parental controls, advertising practices and user interaction.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to laws restricting the collection of information from children, our business is subject to other regulations, such as the General Data Protection Regulation in the European Union, which restricts the collection, use, and retention of personal information, as well as data protection laws in the United States and other countries. Failure to comply with any of those restrictions can subject us to severe liabilities. We continue to monitor the developments of regulation in the area of artificial intelligence as applicable to our business as this area continues to evolve and remains uncertain.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digital games are subject to consumer protection and unfair or deceptive practices laws, including regulations governing digital content, in-game purchases and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Further, we maintain programs to comply with various United States federal, state, local and international requirements relating to the environment, health, safety and other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Our Executive Officers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persons are our executive officers. Such executive officers are elected annually. The positions and offices listed below are the principal positions and offices held by such persons within the Company. The persons listed below generally also serve as officers and directors of certain of our various subsidiaries at our request.</w:t>
      </w:r>
    </w:p>
    <w:tbl>
      <w:tblPr>
        <w:tblW w:w="8640" w:type="dxa"/>
        <w:jc w:val="left"/>
        <w:tblInd w:w="0" w:type="dxa"/>
        <w:tblLayout w:type="fixed"/>
        <w:tblCellMar>
          <w:top w:w="28" w:type="dxa"/>
          <w:left w:w="28" w:type="dxa"/>
          <w:bottom w:w="28" w:type="dxa"/>
          <w:right w:w="28" w:type="dxa"/>
        </w:tblCellMar>
      </w:tblPr>
      <w:tblGrid>
        <w:gridCol w:w="597"/>
        <w:gridCol w:w="522"/>
        <w:gridCol w:w="530"/>
        <w:gridCol w:w="155"/>
        <w:gridCol w:w="155"/>
        <w:gridCol w:w="156"/>
        <w:gridCol w:w="1797"/>
        <w:gridCol w:w="1797"/>
        <w:gridCol w:w="1805"/>
        <w:gridCol w:w="329"/>
        <w:gridCol w:w="329"/>
        <w:gridCol w:w="468"/>
      </w:tblGrid>
      <w:tr>
        <w:trPr/>
        <w:tc>
          <w:tcPr>
            <w:tcW w:w="59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Name</w:t>
            </w:r>
          </w:p>
        </w:tc>
        <w:tc>
          <w:tcPr>
            <w:tcW w:w="466"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Age</w:t>
            </w:r>
          </w:p>
        </w:tc>
        <w:tc>
          <w:tcPr>
            <w:tcW w:w="5399"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Position and Office Held</w:t>
            </w:r>
          </w:p>
        </w:tc>
        <w:tc>
          <w:tcPr>
            <w:tcW w:w="1126"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Period</w:t>
              <w:br/>
              <w:t>Serving in</w:t>
              <w:br/>
              <w:t>Current</w:t>
              <w:br/>
              <w:t>Position</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Chris Cocks</w:t>
            </w:r>
            <w:r>
              <w:rPr>
                <w:rFonts w:ascii="Arial;sans-serif" w:hAnsi="Arial;sans-serif"/>
                <w:b w:val="false"/>
                <w:color w:val="000000"/>
                <w:sz w:val="13"/>
              </w:rPr>
              <w:t>(1)</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52</w:t>
            </w:r>
          </w:p>
        </w:tc>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Since 2022</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Gina Goetter</w:t>
            </w:r>
            <w:r>
              <w:rPr>
                <w:rFonts w:ascii="Arial;sans-serif" w:hAnsi="Arial;sans-serif"/>
                <w:b w:val="false"/>
                <w:color w:val="000000"/>
                <w:sz w:val="13"/>
              </w:rPr>
              <w:t>(2)</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49</w:t>
            </w:r>
          </w:p>
        </w:tc>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 and Chief Operating Officer</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Since 2023</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Jason Bunge</w:t>
            </w:r>
            <w:r>
              <w:rPr>
                <w:rFonts w:ascii="Arial;sans-serif" w:hAnsi="Arial;sans-serif"/>
                <w:b w:val="false"/>
                <w:color w:val="000000"/>
                <w:sz w:val="13"/>
              </w:rPr>
              <w:t>(3)</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51</w:t>
            </w:r>
          </w:p>
        </w:tc>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Marketing Officer</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Since 2023</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Holly Barbacovi</w:t>
            </w:r>
            <w:r>
              <w:rPr>
                <w:rFonts w:ascii="Arial;sans-serif" w:hAnsi="Arial;sans-serif"/>
                <w:b w:val="false"/>
                <w:color w:val="000000"/>
                <w:sz w:val="13"/>
              </w:rPr>
              <w:t>(4)</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49</w:t>
            </w:r>
          </w:p>
        </w:tc>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People Officer</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Since 2024</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Tim Kilpin</w:t>
            </w:r>
            <w:r>
              <w:rPr>
                <w:rFonts w:ascii="Arial;sans-serif" w:hAnsi="Arial;sans-serif"/>
                <w:b w:val="false"/>
                <w:color w:val="000000"/>
                <w:sz w:val="13"/>
              </w:rPr>
              <w:t>(5)</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65</w:t>
            </w:r>
          </w:p>
        </w:tc>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President, Toys, Board Games, Licensing and Entertainment</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Since 2023</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John Hight</w:t>
            </w:r>
            <w:r>
              <w:rPr>
                <w:rFonts w:ascii="Arial;sans-serif" w:hAnsi="Arial;sans-serif"/>
                <w:b w:val="false"/>
                <w:color w:val="000000"/>
                <w:sz w:val="13"/>
              </w:rPr>
              <w:t>(6)</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65</w:t>
            </w:r>
          </w:p>
        </w:tc>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Wizards of the Coast and Digital Gaming</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Since 2024</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Tarrant Sibley</w:t>
            </w:r>
            <w:r>
              <w:rPr>
                <w:rFonts w:ascii="Arial;sans-serif" w:hAnsi="Arial;sans-serif"/>
                <w:b w:val="false"/>
                <w:color w:val="000000"/>
                <w:sz w:val="13"/>
              </w:rPr>
              <w:t>(7)</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Legal Officer and Corporate Secretary</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Since 2019</w:t>
            </w:r>
          </w:p>
        </w:tc>
      </w:tr>
    </w:tbl>
    <w:tbl>
      <w:tblPr>
        <w:tblW w:w="10205" w:type="dxa"/>
        <w:jc w:val="left"/>
        <w:tblInd w:w="0" w:type="dxa"/>
        <w:tblLayout w:type="fixed"/>
        <w:tblCellMar>
          <w:top w:w="28" w:type="dxa"/>
          <w:left w:w="28" w:type="dxa"/>
          <w:bottom w:w="28" w:type="dxa"/>
          <w:right w:w="28" w:type="dxa"/>
        </w:tblCellMar>
      </w:tblPr>
      <w:tblGrid>
        <w:gridCol w:w="2053"/>
        <w:gridCol w:w="1498"/>
        <w:gridCol w:w="1498"/>
        <w:gridCol w:w="1498"/>
        <w:gridCol w:w="1498"/>
        <w:gridCol w:w="2160"/>
      </w:tblGrid>
      <w:tr>
        <w:trPr/>
        <w:tc>
          <w:tcPr>
            <w:tcW w:w="205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ind w:left="0" w:right="0" w:hanging="270"/>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 Prior thereto, President and Chief Operating Officer of Wizards of the Coast and Digital Gaming from 2021, and President of Wizards of the Coast from 2016 to 2021.</w:t>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Arial;sans-serif" w:hAnsi="Arial;sans-serif"/>
                <w:b w:val="false"/>
                <w:color w:val="000000"/>
                <w:sz w:val="20"/>
              </w:rPr>
            </w:pPr>
            <w:r>
              <w:rPr>
                <w:rFonts w:ascii="Arial;sans-serif" w:hAnsi="Arial;sans-serif"/>
                <w:b w:val="false"/>
                <w:color w:val="000000"/>
                <w:sz w:val="20"/>
              </w:rPr>
              <w:t>(2) Prior thereto, Ms. Goetter served as Chief Financial Officer at Harley-Davidson, Inc. from 2020 to 2023. Prior to her time at Harley-Davidson Inc., Ms. Goetter served in senior leadership roles at Tyson Foods, Inc. from 2019 to 2020 and General Mills, Inc. from 1998 to 2019.</w:t>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70"/>
              <w:jc w:val="left"/>
              <w:rPr>
                <w:rFonts w:ascii="Arial;sans-serif" w:hAnsi="Arial;sans-serif"/>
                <w:b w:val="false"/>
                <w:color w:val="000000"/>
                <w:sz w:val="20"/>
              </w:rPr>
            </w:pPr>
            <w:r>
              <w:rPr>
                <w:rFonts w:ascii="Arial;sans-serif" w:hAnsi="Arial;sans-serif"/>
                <w:b w:val="false"/>
                <w:color w:val="000000"/>
                <w:sz w:val="20"/>
              </w:rPr>
              <w:t>(3) Prior thereto, Mr. Bunge served as Chief Marketing Officer at Riot Games, where he oversaw global game marketing, product publishing, and channel strategy. Prior to his time at Riot Games, Mr. Bunge served as Senior Vice President of Brand Management and Marketing at Electronic Arts (EA).</w:t>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70"/>
              <w:jc w:val="left"/>
              <w:rPr>
                <w:rFonts w:ascii="Arial;sans-serif" w:hAnsi="Arial;sans-serif"/>
                <w:b w:val="false"/>
                <w:color w:val="000000"/>
                <w:sz w:val="20"/>
              </w:rPr>
            </w:pPr>
            <w:r>
              <w:rPr>
                <w:rFonts w:ascii="Arial;sans-serif" w:hAnsi="Arial;sans-serif"/>
                <w:b w:val="false"/>
                <w:color w:val="000000"/>
                <w:sz w:val="20"/>
              </w:rPr>
              <w:t>(4) Prior to joining Hasbro in 2024, Ms. Barbacovi served as Chief People Officer at Bungie from 2021 to 2024. Prior to that she served head of human resources for Amazon Games from 2020 to 2021 and as Vice President of Human Resources at Wizards of the Coast from 2016 to 2020, and in different HR and Operations roles during a 16-year career at Microsoft.</w:t>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70"/>
              <w:jc w:val="left"/>
              <w:rPr>
                <w:rFonts w:ascii="Arial;sans-serif" w:hAnsi="Arial;sans-serif"/>
                <w:b w:val="false"/>
                <w:color w:val="000000"/>
                <w:sz w:val="20"/>
              </w:rPr>
            </w:pPr>
            <w:r>
              <w:rPr>
                <w:rFonts w:ascii="Arial;sans-serif" w:hAnsi="Arial;sans-serif"/>
                <w:b w:val="false"/>
                <w:color w:val="000000"/>
                <w:sz w:val="20"/>
              </w:rPr>
              <w:t>(5) Prior to joining Hasbro in 2023, Mr. Kilpin served as Executive Chairman and Chief Executive Officer of PlayMonster Group, LLC from 2020 to 2023. Prior thereto, Mr. Kilpin held senior leadership positions within the toy and entertainment industry at companies that include Activision Blizzard, Inc., Mattel, Inc. and The Walt Disney Company.</w:t>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(6) Prior to joining Hasbro in 2024, during a twelve-year tenure, Mr. Hight served as Senior Vice President and General Manager of the Warcraft franchise at Blizzard Entertainment, overseeing all development and commercial activities for World of Warcraft, Hearthstone and Warcraft Rumble. Prior to that, Mr. Hight oversaw development of God of War 3 and the PlayStation Network for Sony’s Santa Monica Studio. He also taught courses in game development for the Interactive Media Division of the USC School of Cinematics.</w:t>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88" w:before="60" w:after="283"/>
              <w:ind w:left="0" w:right="0" w:hanging="270"/>
              <w:jc w:val="left"/>
              <w:rPr>
                <w:rFonts w:ascii="Arial;sans-serif" w:hAnsi="Arial;sans-serif"/>
                <w:b w:val="false"/>
                <w:color w:val="000000"/>
                <w:sz w:val="20"/>
              </w:rPr>
            </w:pPr>
            <w:r>
              <w:rPr>
                <w:rFonts w:ascii="Arial;sans-serif" w:hAnsi="Arial;sans-serif"/>
                <w:b w:val="false"/>
                <w:color w:val="000000"/>
                <w:sz w:val="20"/>
              </w:rPr>
              <w:t>(7) Prior thereto, Senior Vice President, Chief Legal Officer and Secretary from 2018 to 2019 and Senior Vice President and Deputy General Counsel from 2010 to 2018.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Availability of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internet address is http://www.hasbro.com. We make our annual report on Form 10-K, quarterly reports on Form 10-Q, current reports on Form 8-K, and amendments to those reports filed or furnished pursuant to Section 13(a) or 15(d) of the Securities Exchange Act of 1934, available free of charge on or through the investor section of our website as soon as reasonably practicable after we electronically file such material with, or furnish it to, the SEC.</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Investors and others should note that we announce material financial information to our investors using our investor relations website at https://hasbro.gcs-web.com, under “Corporate — Investors”, SEC filings, press releases, public conference calls and webcasts. We use these channels as well as social media to communicate with our shareholders and the public about our Company, our products and other matters. It is possible that the information we post on social media could be deemed to be material information. Therefore, we encourage investors, the media, and others interested in our Company to review the information we post on the social media channels listed on our investor relations website. Hasbro has used, and intends to continue to use, our investor relations website, as a means of disclosing material non-public information and for complying with its disclosure obligations under Regulation Fair Disclosure. Further corporate governance information, including our articles of incorporation, bylaws, governance guidelines, committee charters, and code of business conduct and ethics, is also available on our investor relations website https://hasbro.gcs-web.com, under “Corporate — Investors — Corporate Governance.” The contents of our website are not intended to be incorporated by reference into this Form 10-K or in any other report or document we file with the SEC, and any references to our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200" w:after="283"/>
        <w:jc w:val="left"/>
        <w:rPr/>
      </w:pPr>
      <w:r>
        <w:rPr>
          <w:rFonts w:ascii="Arial;sans-serif" w:hAnsi="Arial;sans-serif"/>
          <w:b/>
          <w:color w:val="000000"/>
          <w:sz w:val="20"/>
        </w:rPr>
        <w:t>Item 1A.    </w:t>
      </w:r>
      <w:r>
        <w:rPr>
          <w:rFonts w:ascii="Arial;sans-serif" w:hAnsi="Arial;sans-serif"/>
          <w:b/>
          <w:i/>
          <w:color w:val="000000"/>
          <w:sz w:val="20"/>
          <w:u w:val="single"/>
        </w:rPr>
        <w:t>Risk Factors</w:t>
      </w:r>
      <w:r>
        <w:rPr>
          <w:rFonts w:ascii="Arial;sans-serif" w:hAnsi="Arial;sans-serif"/>
          <w:b/>
          <w:i/>
          <w:color w:val="000000"/>
          <w:sz w:val="20"/>
        </w:rPr>
        <w:t>.</w:t>
      </w:r>
    </w:p>
    <w:p>
      <w:pPr>
        <w:pStyle w:val="TextBody"/>
        <w:bidi w:val="0"/>
        <w:spacing w:lineRule="auto" w:line="288" w:before="120" w:after="283"/>
        <w:jc w:val="left"/>
        <w:rPr>
          <w:rFonts w:ascii="Arial;sans-serif" w:hAnsi="Arial;sans-serif"/>
          <w:b w:val="false"/>
          <w:i/>
          <w:color w:val="212529"/>
          <w:sz w:val="20"/>
        </w:rPr>
      </w:pPr>
      <w:r>
        <w:rPr>
          <w:rFonts w:ascii="Arial;sans-serif" w:hAnsi="Arial;sans-serif"/>
          <w:b w:val="false"/>
          <w:i/>
          <w:color w:val="212529"/>
          <w:sz w:val="20"/>
        </w:rPr>
        <w:t>In evaluating our business, the material risks described below, as well as other information contained in this Annual Report on Form 10-K and in our other filings with the Securities and Exchange Commission should be considered carefully. Additional risks not presently known to us or that we currently deem immaterial may also adversely affect our business. The occurrence of any of these events or circumstances could individually or in the aggregate have a material adverse effect on our business, financial condition, cash flow or results of operations. This report contains forward-looking statements. Please refer to the cautionary statements made under the heading "Special Note Regarding Forward-Looking Statements" for more information on the qualifications and limitations on forward-looking statements.</w:t>
      </w:r>
    </w:p>
    <w:p>
      <w:pPr>
        <w:pStyle w:val="TextBody"/>
        <w:bidi w:val="0"/>
        <w:spacing w:lineRule="auto" w:line="288" w:before="120" w:after="283"/>
        <w:jc w:val="left"/>
        <w:rPr/>
      </w:pPr>
      <w:r>
        <w:rPr>
          <w:rFonts w:ascii="Arial;sans-serif" w:hAnsi="Arial;sans-serif"/>
          <w:b/>
          <w:i/>
          <w:color w:val="000000"/>
          <w:sz w:val="20"/>
          <w:u w:val="single"/>
        </w:rPr>
        <w:t>Strategic Risks Related to Our Business</w:t>
      </w:r>
      <w:r>
        <w:rPr>
          <w:color w:val="000000"/>
        </w:rPr>
        <w:t xml:space="preserve"> </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Our business will suffer if we are not successful in executing our business strategy.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Playing to Win business strategy evolves around our mission to create joy and community through the magic of play and inspiring a lifetime of play. We are focused on extending the reach of our products globally to improve our position in the marketplace, increase revenue and increase operating profit.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Failure to execute this strategic plan may harm our business. Our ability to successfully implement and execute these plans and initiatives is dependent on many factors, including, among other things: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our ability to successfully innovate, design, develop, price, commercialize and grow a focused group of brands to global consumers;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continuing to grow MAGIC: THE GATHERING and driving growth in DUNGEONS &amp; DRAGONS as traditional trading card and role-playing games, as well as further expanding into digital offerings;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successfully growing and delivering on our digital gaming business;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successfully launching new digital studios and new digital games that gain customer acceptance;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continuing to grow our licensing business;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returning our toy business to growth and increased profitability by optimizing the business, including through right-sizing our cost structure, creating efficiencies in our operations, and designing cost-effective products.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Because our strategy emphasizes growing a focused set of franchises and expanding our higher-margin games and digital businesses, including MAGIC: THE GATHERING and DUNGEONS &amp; DRAGONS, adverse trends affecting consumer demand for, or engagement with, any of these key brands could disproportionately impact our 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the simultaneous pursuit of multiple strategic initiatives, including digital gaming development, licensing expansion, AI adoption, systems modernization and cost-saving initiatives, may strain management attention, organizational capacity and capital resources, and any failure to appropriately prioritize or allocate resources among these initiatives could adversely affect our business and result of operations.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Our business will suffer if we are unable to develop, publish and commercialize digital games.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key component to the success of our strategy is to continue to develop, publish and commercialize digital games, including AAA/AA games, games as a service and licensed games based on our existing IP, as well as new and licensed IP. We have invested substantially in our digital gaming business. If we are unable to successfully launch and commercialize existing and new games, our business may be harmed. The digital gaming industry is highly competitive, including for talent, and costs associated with designing, developing and producing digital games and technologically advanced or sophisticated products tend to be higher than for many of our other more traditional products, with no assurance of success. As a result, we face increased risk of not achieving sales sufficient to recover our costs and we may lose money on the development and sale of these products. There is no guarantee that a given game will be successful and it is possible we may cease development on a game after significant investment. As a result, we face the risk of significant write-offs in the event a digital game’s development is discontinued prior to commercialization or is not as commercially successful as we planned.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Designing, developing and producing digital gaming and other technologically advanced or innovative products often relies on third parties and requires different competencies and follows different timelines than traditional toys and games. Delays in the design, development or production of our digital gaming products or introduction of competitive digital game products in close proximity to our introduction could have a significant impact on our success. Further, the pace of change in product offerings and consumer tastes in electronics and digital gaming areas is potentially even greater than for our other products and this pace of change is expected to accelerate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artificial intelligence is further incorporated into the development of games. If a digital game fails to gain consumer acceptance early in its life cycle, there are limited opportunities to gain such acceptance through secondary launches or distribution through alternative platforms. This pace of change or lack of consumer acceptance means that the window in which a digital gaming product can achieve and maintain consumer interest may be even shorter than traditional toys and games.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We may not realize the full benefit of our licenses from third parties if the licensed material has less market appeal than expected, if revenue from the licensed products is not sufficient to earn out the minimum guaranteed royalties or if licenses are not renewed.</w:t>
      </w:r>
    </w:p>
    <w:p>
      <w:pPr>
        <w:pStyle w:val="TextBody"/>
        <w:bidi w:val="0"/>
        <w:spacing w:lineRule="auto" w:line="288" w:before="120" w:after="283"/>
        <w:jc w:val="left"/>
        <w:rPr/>
      </w:pPr>
      <w:r>
        <w:rPr>
          <w:rFonts w:ascii="Arial;sans-serif" w:hAnsi="Arial;sans-serif"/>
          <w:b w:val="false"/>
          <w:color w:val="000000"/>
          <w:sz w:val="20"/>
        </w:rPr>
        <w:t xml:space="preserve">A significant part of our strategy for our consumer products business and our Wizards and digital gaming business is to license premium and well-recognized intellectual property for the development of products. For example, we have licenses with The Walt Disney Company for the </w:t>
      </w:r>
      <w:r>
        <w:rPr>
          <w:rFonts w:ascii="Arial;sans-serif" w:hAnsi="Arial;sans-serif"/>
          <w:b w:val="false"/>
          <w:i/>
          <w:color w:val="000000"/>
          <w:sz w:val="20"/>
        </w:rPr>
        <w:t>Marvel</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Star Wars</w:t>
      </w:r>
      <w:r>
        <w:rPr>
          <w:color w:val="000000"/>
        </w:rPr>
        <w:t xml:space="preserve"> </w:t>
      </w:r>
      <w:r>
        <w:rPr>
          <w:rFonts w:ascii="Arial;sans-serif" w:hAnsi="Arial;sans-serif"/>
          <w:b w:val="false"/>
          <w:color w:val="000000"/>
          <w:sz w:val="20"/>
        </w:rPr>
        <w:t xml:space="preserve">properties for toys and games, and for our Universes Beyond MAGIC: THE GATHERING sets we have licenses for key brands such as </w:t>
      </w:r>
      <w:r>
        <w:rPr>
          <w:rFonts w:ascii="Arial;sans-serif" w:hAnsi="Arial;sans-serif"/>
          <w:b w:val="false"/>
          <w:i/>
          <w:color w:val="000000"/>
          <w:sz w:val="20"/>
        </w:rPr>
        <w:t>Final Fantasy</w:t>
      </w:r>
      <w:r>
        <w:rPr>
          <w:rFonts w:ascii="Arial;sans-serif" w:hAnsi="Arial;sans-serif"/>
          <w:b w:val="false"/>
          <w:color w:val="000000"/>
          <w:sz w:val="20"/>
        </w:rPr>
        <w:t xml:space="preserve">, </w:t>
      </w:r>
      <w:r>
        <w:rPr>
          <w:rFonts w:ascii="Arial;sans-serif" w:hAnsi="Arial;sans-serif"/>
          <w:b w:val="false"/>
          <w:i/>
          <w:color w:val="000000"/>
          <w:sz w:val="20"/>
        </w:rPr>
        <w:t>Spider-Man</w:t>
      </w:r>
      <w:r>
        <w:rPr>
          <w:rFonts w:ascii="Arial;sans-serif" w:hAnsi="Arial;sans-serif"/>
          <w:b w:val="false"/>
          <w:color w:val="000000"/>
          <w:sz w:val="20"/>
        </w:rPr>
        <w:t xml:space="preserve">, </w:t>
      </w:r>
      <w:r>
        <w:rPr>
          <w:rFonts w:ascii="Arial;sans-serif" w:hAnsi="Arial;sans-serif"/>
          <w:b w:val="false"/>
          <w:i/>
          <w:color w:val="000000"/>
          <w:sz w:val="20"/>
        </w:rPr>
        <w:t>Avatar</w:t>
      </w:r>
      <w:r>
        <w:rPr>
          <w:rFonts w:ascii="Arial;sans-serif" w:hAnsi="Arial;sans-serif"/>
          <w:b w:val="false"/>
          <w:color w:val="000000"/>
          <w:sz w:val="20"/>
        </w:rPr>
        <w:t xml:space="preserve">, and </w:t>
      </w:r>
      <w:r>
        <w:rPr>
          <w:rFonts w:ascii="Arial;sans-serif" w:hAnsi="Arial;sans-serif"/>
          <w:b w:val="false"/>
          <w:i/>
          <w:color w:val="000000"/>
          <w:sz w:val="20"/>
        </w:rPr>
        <w:t>Lord Of The Rings</w:t>
      </w:r>
      <w:r>
        <w:rPr>
          <w:rFonts w:ascii="Arial;sans-serif" w:hAnsi="Arial;sans-serif"/>
          <w:b w:val="false"/>
          <w:color w:val="000000"/>
          <w:sz w:val="20"/>
        </w:rPr>
        <w:t>. In some cases, we may only obtain a license for certain aspects of an intellectual property or for certain territories, which means that some of our competitors may also use the same intellectual property for other categories or in different territories. Sales may be adversely affected if the licensed products do not resonate with new or existing consumers or if consumers reduce purchases due to the perception a brand is diluted given numerous options available.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If we produce a line of products based on a movie or television series or digital game, the timing of release or overall success of the movie, series or digital game has a critical impact on the level of consumer interest in the associated products we offer. In addition, competition in our industry for access to premium brand properties is intense and can lessen our ability to secure, maintain, and renew popular licenses on beneficial terms. If we are unable to realize the full benefit of an important license, or if an important license is not renewed or is otherwise terminated, our business results may be harmed.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license agreements we enter to obtain these rights usually require us to pay minimum royalty guarantees that may be substantial, and in some cases may be greater than what we are ultimately able to recoup from actual sales, which could result in write-offs and could harm our results of operations. Acquiring or renewing licenses may require the payment of minimum guaranteed royalties that we consider to be too high to be profitable, which may result in losing licenses that we currently hold when they become available for renewal, or not pursuing certain new licenses. Additionally, as a licensee of premium-based properties, we cannot guarantee that a particular property or brand will translate into successful products, and underperformance of any such products may result in reduced revenues and operating profit for us.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Third party licensees and partners of our brands may fail to honor their obligations to us or their actions may put us at risk.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Licensing certain of our brands and intellectual property to third parties is also a significant part of our business strategy. Under these and other partner arrangements, we lose some control over how the brand or intellectual property is used, potentially leading to misuse or misrepresentation. The actions of third-party licensees and partners may put our business and reputation at risk if they do not maintain the quality of our products or otherwise do not operate in accordance with our standards. These third parties may fail to pay royalties or other agreed upon fees, which could lead to financial losses. It is also possible that these third parties could infringe on others intellectual property rights, which could result in legal issues for us. Further, disruptions in the financial markets, economic downturns, poor business decisions, or reputational harm may adversely affect these third-party licensees and may impact their ability to honor their obligations to us or we may cease our arrangements with them. Alternative arrangements may not be available to us on commercially reasonable terms or we may experience business interruptions upon a transition to an alternative partner.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our strategy increasingly relies on third-party partners to invest in and scale experiences based on our intellectual property, reductions in partner investment, shifts in partner priorities or changes in economic conditions could limit the growth, reach or profitability of these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Consumer interests change quickly and acceptance of our product offerings are influenced by technological and outside factors, making it difficult to design and develop innovative products and other offerings which are and will continue to be popular with children, families, fans and audiences.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ability to successfully create innovative products that inspire a lifetime of play is affected by the interests of children, families, fans and audiences which evolve quickly and can change dramatically from year to year and by geography. To be successful, we must correctly anticipate the types of products, play patterns and entertainment which will capture consumers’ interests and imagination, and quickly develop and introduce innovative and value driven products and engaging entertainment which can compete successfully for consumers’ limited time, attention and spending. It is very difficult to predict consumer acceptance with certainty due to, among other things, the increasing utilization of technology at younger and younger ages, social media and digital media, the breadth of products and entertainment available to consumers, and outside factors such as influencers, critical reviews and promotions. Evolving consumer tastes and shifting interests, coupled with an ever-changing and expanding pipeline of products, technology and entertainment which compete for consumer interest and acceptance, create an environment in which some products, technology and entertainment offerings can fail to achieve consumer acceptance or can be popular during a certain period of time but then be rapidly replaced. As a result, our products and entertainment offerings can have short consumer life cycles with no guarantee of success. In addition, frequent product releases, cross-brand collaborations or expanded licensing initiatives may contribute to franchise fatigue or oversaturation, which could reduce long-term consumer engagement and diminish the value of our brands. Failure to correctly anticipate consumer interests, will harm our revenues and earnings.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Technological developments, such as developments in artificial intelligence and shifts to streaming platforms for entertainment content, continue to evolve, and these developments may affect aspects of our existing business model, including revenue streams for the use of our intellectual property and how we create our products and games. As we incorporate AI tools into aspects of our business, including product and game development, we may face increased costs, operational complexity, IP and data governance challenges, and evolving regulatory requirements, any of which could adversely affect timelines, quality, or expected returns on investment. We may lose opportunities to capitalize on changing market dynamics, technological innovations or consumer tastes if we do not adapt to such changes in a timely manner. If we fail to accurately assess and effectively respond to changes in technology and consumer behavior in the markets in which we operate, our business may be harmed. The use of artificial intelligence in product and game development may also raise intellectual property, data sourcing, ethical or regulatory issues, and disputes or restrictions in these areas could increase costs, delay development or limit the use of certain technologies.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 xml:space="preserve">Failure to achieve our anticipated cost-savings may impact our ability to operate efficiently and profitably.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are no assurances that we will achieve cost savings in the amounts we anticipate or within the anticipated timeframes or at all. In addition, any cost savings that we realize may be offset, in whole or in part, by reductions in net sales or through increases in other expenses. Failure to realize the expected cost savings from these cost savings programs could have an adverse effect on our business, financial condition, and results of operations.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If we are unable to compete effectively with existing or new competitors, our revenues, market share and profitability could decline.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play industry is highly competitive, and if we fail to compete successfully, our business may be harmed. Our primary competition comes from toy and game companies, digital gaming companies and digital gaming developers. We compete with several large companies in our product categories, as well as with many smaller United States and international game and toy designers, manufacturers and marketers. In certain instances, we compete with large retailers, who offer such products under their own private labels, often at lower prices. Competition is based primarily on meeting consumer preferences and on the quality and play value of our products and experiences, and, in some cases, the timing of release of other products and games that attract a similar consumer. To a lesser extent, competition is also based on product pricing. We expect that as the use of artificial intelligence becomes more prevalent, we will continue to see increased competition from those using such technology to develop games, toys and content.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to existing competitors, the barriers to entry for new participants in the play industry are low. The use of digital media and the heightened connection between digital media and consumer interest, has further increased the ability for new participants to enter our markets, and has broadened the array of companies we compete with. For example, with the use of influencers and media outlets such as Tik Tok, new participants with a popular product idea can gain access to consumers and become a significant source of competition for our products in a very short period of time. These existing and new competitors may respond more rapidly than us to changes in consumer preferences or may design products that are more desirable than ours. Our competitors’ products may achieve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greater market acceptance than our products and potentially reduce demand for our products, lower our revenues and lower our profitability.</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We may not realize the anticipated benefits of acquisitions, dispositions or investments in joint ventures, or those benefits may be delayed or reduced in their realization.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cannot be certain that the products and offerings of companies we may acquire, or acquire an interest in, will achieve or maintain popularity with consumers in the future or that any such acquired companies or investments will allow us to more effectively market our products, develop our competencies or grow our business. In some cases, we expect that the integration of the companies that we may acquire will create production, marketing and other operating, revenue or cost synergies which will produce greater revenue growth and profitability and, where applicable, cost savings, operating efficiencies and other advantages. However, we cannot be certain that these synergies, efficiencies and cost savings will be realized. Even if achieved, these benefits may be delayed, reduced or short-lived in their realization. In other cases, we may acquire or invest in companies that we believe have strong and creative management, in which case we may plan to operate them more autonomously rather than fully integrating them into our operations. We cannot be certain that the key talented individuals at these companies would continue to work for us after the acquisition or that they would develop popular and profitable products, entertainment or services in the future. Acquisitions of businesses and brands could also be adversely affected by changes in our business strategy or external factors, such as any decision to sell, license or otherwise dispose of certain assets. We cannot guarantee that any acquisition, disposition, license or investment we may make will be successful or beneficial, and acquisitions, dispositions, licenses and investments can consume significant amounts of management attention and other resources, which may negatively impact other aspects of our business.</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Operational Risks Related to our Business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Our business may be harmed by the imposition or threat of tariffs, including reciprocal or retaliatory tariffs, in markets in which we operate which could increase our product costs and other costs of doing business, reduce or delay purchases, impact consumer spending, or lower our revenues and earnings.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current global tariff environment remains uncertain. For products manufactured outside the U.S., tariffs increase the cost of our products. Tariffs may impact our sales and reduce our profitability. Tariffs may also impact consumer spending if products become more expensive or consumers have less discretionary income or consumer spending power. The current tariff environment, particularly the imposition or threat of tariffs on products manufactured in China for import into the U.S. as well the potential for retaliatory and reciprocal tariffs in other countries in which we do business, has in the past negatively impacted our business and may in the future negatively impact our business, sales and profitability. The threat and imposition of tariffs have resulted in the past, and may in the future result, in the elimination of some direct import orders, where customers take ownership of products near the source of supply and import the product themselves into the U.S., in favor of shifting to domestic orders, which requires us to ship the products to the U.S., and import and warehouse the products prior to delivery to the customer. This shift to domestic orders raises the cost to us, can result in delays in the time of a sale, and may result in the potential loss of some orders entirely due to the lack of timely supply or other delays. We cannot assure you that we will be able to successfully implement actions to lessen the impact of tariffs imposed on our products, including any changes to our supply chain, logistics capabilities, sales policies or pricing of our products.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An inability to develop, introduce and ship planned products, product lines and new brands in a timely and cost-effective manner could result in excess inventory, a shortage of products or otherwise damage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developing products, product lines and new brands we have anticipated dates for the associated product and brand introductions. When we state that we will introduce, or anticipate introducing, a particular product, product line or brand at a certain time in the future those expectations are based on completing the associated development, implementation, and marketing work in accordance with our currently anticipated development schedule. If we do not have in place appropriate systems and technology, or do not obtain sufficient data, analytics and insights, we may not be able to adequately predict demand for our products. If we fail to accurately forecast demand, we may experience excess inventory levels or a shortage of product to deliver to our customers. Inventory levels in excess of demand have in the past resulted in, and may in the future result in inventory write-downs or write-offs, and the sale of excess inventory at discounted prices or through less preferred distribution channels, which could harm our profit margins. If we do not operate our supply chain in an effective manner, we will not be able to manufacture, source and ship new or continuing products in a timely manner and on a cost-effective basis to meet constantly changing consumer demands. This risk is heightened by our customers’ compressed shipping schedules and the seasonality of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implementing new original design processes for some of our products in an effort to reduce costs and potentially enter into new or underserved markets. At the same time, we are also increasing sophistication of many of the brands and products we are designing and developing in terms of combining digital and traditional technologies, and providing greater innovation and product differentiation. Unforeseen delays or difficulties in the development process, significant increases in the planned cost of development, or changes in anticipated consumer demand for our products and new brands may cause the introduction date for products to be later than anticipated, may reduce or eliminate the profitability of such products, result in excess inventory, or, in some situations, may cause a product or new brand introduction to be discontinued or not introduced in certain markets.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If we are unable to navigate through global supply chain challenges, our business may be harmed.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periodically faced global supply chain challenges with the production and delivery of some products being delayed due to logistics, including labor, trucking and container shortages, strikes, port congestion and other shipping disruptions. We experienced increases in material costs and shortages for some of our products, due in part to higher wages being paid due to labor shortages in China and Vietnam, as well as periodic and unpredictable manufacturing shut-downs or slow-downs due to COVID-19, political instability in certain port regions and tariffs. We can provide no assurance that we will be able to take actions, such as increase prices, to offset the entirety of additional costs we have incurred, and may incur in the future to mitigate the supply chain disruption. Further, if we are unable to negotiate favorable carrier agreements, deliver products on time or otherwise satisfy demand for our products, our business may be harmed.</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 xml:space="preserve">If we are unable to expand our direct-to-consumer relationships, our business may be harmed.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Part of our strategy is to increase our reach with our consumers through direct-to consumer relationships created through ecommerce, social media, digital games and services. If we are unable to effectively connect with consumers through these channels, our business may be harmed. Similarly, if our technology and systems used to support direct-to-consumer order processing are not effective, our ability to deliver products on time on a cost-effective basis may be adversely affected. Failure to continue to adapt our systems and supply chain and successfully fulfill ecommerce sales could harm our business. </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The concentration of our customer base means that economic difficulties or changes in the purchasing or promotional policies or patterns of our major customers could have a significant impact on us.</w:t>
      </w:r>
    </w:p>
    <w:p>
      <w:pPr>
        <w:pStyle w:val="TextBody"/>
        <w:bidi w:val="0"/>
        <w:spacing w:lineRule="auto" w:line="288" w:before="120" w:after="283"/>
        <w:jc w:val="left"/>
        <w:rPr/>
      </w:pPr>
      <w:r>
        <w:rPr>
          <w:rFonts w:ascii="Arial;sans-serif" w:hAnsi="Arial;sans-serif"/>
          <w:b w:val="false"/>
          <w:color w:val="000000"/>
          <w:sz w:val="20"/>
        </w:rPr>
        <w:t>We depend upon a relatively small customer base to sell the majority of our products. During 2025, Amazon.com, Inc. and Wal-Mart, Inc. accounted for approximately 11% and 9%, respectively, of our consolidated net revenues. Similarly, sales of certain products of our Wizards business depend in part on the success of specialty hobby stores.</w:t>
      </w:r>
      <w:r>
        <w:rPr>
          <w:color w:val="000000"/>
        </w:rPr>
        <w:t xml:space="preserve"> </w:t>
      </w:r>
      <w:r>
        <w:rPr>
          <w:rFonts w:ascii="Arial;sans-serif" w:hAnsi="Arial;sans-serif"/>
          <w:b w:val="false"/>
          <w:color w:val="000000"/>
          <w:sz w:val="20"/>
        </w:rPr>
        <w:t xml:space="preserve">Due to our customer concentration and customer base, if one or more of our major customers or specialty hobby stores were to experience difficulties in fulfilling their obligations to us, cease doing business with us, significantly reduce the amount of their purchases from us, favor competitors or new entrants, increase their direct competition with us by expanding their private-label business, change their purchasing patterns, impose unexpected fees on us, alter the manner in which they promote our products or the resources they devote to promoting and selling our products, or return substantial amounts of our products, our business may be harmed.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customers generally do not enter into binding long-term purchase commitments with us and make all purchases by delivering purchase orders. Any customer could reduce its overall purchase of our products and reduce the number and variety of our products that it carries and the shelf space allotted for our products. In addition, increased concentration among our customers could negatively impact our ability to negotiate higher sales prices for our products and could result in lower margins than would otherwise be obtained if there were less consolidation among our customers. Furthermore, as we experienced with the bankruptcy of certain of our retailers in the past, the failure or lack of success of a significant retail customer could negatively impact our revenues and profitability.</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Our substantial business, sales and manufacturing operations outside the U.S. subject us to risks associated with international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operate in numerous countries outside the U.S. Additionally, we utilize third-party manufacturers primarily located in the Far East, including China, Vietnam and India, to produce most of our products. These international operations, including operations in emerging markets, have unique consumer preferences and business climates, present additional challenges and are subject to risks that may significantly harm our sales, increase our costs or otherwise damage our business, including:</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imposition of tariffs as described in these risk factors, trade sanctions, quotas, border adjustment taxes or other protectionist measures;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Political instability, civil unrest and economic instability;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Currency conversion risks and currency fluctuations;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Potential challenges to our transfer pricing determinations and other aspects of our cross-border transactions, which can materially increase our taxes and other costs of doing business;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Greater difficulty enforcing intellectual property rights and weaker laws protecting such rights;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Complications in complying with different laws in varying jurisdictions and in dealing with changes in governmental policies and the evolution of laws and regulations and related enforcement, as such laws and policies relate to our products and approval of entertainment;</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Difficulties understanding the retail climate, consumer trends, local customs and competitive conditions in foreign markets which may be different from the U.S.;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Natural disasters and the greater difficulty and cost in recovering therefrom;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Difficulties in moving materials and products from one country to another, including port congestion, strikes, labor shortages and other events causing transportation delays and interruptions;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Increased investment and operational complexity to make our products compatible with systems in various countries and compliant with local laws;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Changes in international labor costs and other costs of doing business internationally.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Because of the importance of international sales, sourcing and manufacturing to our business, our financial condition and results of operations could be significantly harmed if any of the risks described above were to occur or if we are otherwise unsuccessful in managing our increasing global business and operating in an environment with these risks.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Our reliance on third-party manufacturers presents risks to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Most of our toy and game products are manufactured by third-party manufacturers, a substantial but decreasing number of which are in China, and a significant amount of our product sourcing also coming from manufacturers in the U.S., Vietnam, India and Japan. Should changes be necessary, our external sources of manufacturing can be shifted over a significant period of time to alternative sources of supply. Working with vendors who have not historically manufactured products for us means these new vendors must successfully develop the capability to manufacture our products to the quality and safety standards we require and within the tight timeframe required by our customers. Newer and less experienced vendors are more susceptible to product quality, logistics and other issues, due in part to their less mature infrastructure or unfamiliarity with our product standards. In addition, our increased use of original design manufacturers ("ODMs") to support cost efficiency and speed to market may reduce our direct control over product design, quality, sourcing and manufacturing processes, and any failure by ODM partners to meet our design specifications, quality standards, delivery requirements or compliance obligations could adversely affect our products, brand reputation, margins and 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If we were prevented or delayed in obtaining products or components for a material portion of our product lines due to economic, political, civil, labor or other factors beyond our control, including work stoppages, slowdowns or strikes, natural disasters, adverse health conditions or pandemics, our ability to manufacture would be adversely affected and our operations may be substantially disrupted, potentially for a significant period of time. This delay could significantly reduce our revenues and profitability and harm our business while alternative sources of supply are secured.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Given that our toy and game manufacturing is conducted by third-party manufacturers, health conditions and other factors affecting social and economic activity where our manufacturers are located may affect the movement of people and products into and from those locations to our major markets, including North America and Europe. The suspension of the operations of a third-party manufacturer by government inspectors in China or another market in which we source products could result in delays to us in obtaining product and may harm sales. Further, increases in the costs of labor and other costs of doing business in markets where we manufacture, could also have a significant negative impact on our operations, revenues and earnings. Prolonged disputes or slowdowns at west coast or other ports can negatively impact both the time and cost of transporting goods into the U.S. Natural disasters or health pandemics impacting our manufacturers had and can have a significant negative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require our third-party manufacturers to comply with our Global Business Ethics Principles, which are designed to prevent products manufactured for us from being produced under inhumane or exploitive conditions. Notwithstanding these requirements and our monitoring and testing of compliance with them, there is always a risk that one or more of our third-party manufacturers will not comply with our requirements and that we will not immediately discover such non-compliance. Any failure of our third-party manufacturers to comply with labor, consumer, product safety or other applicable requirements in manufacturing products for us could result in damage to our reputation, harm sales of our products and potentially create liability for us.</w:t>
      </w:r>
    </w:p>
    <w:p>
      <w:pPr>
        <w:pStyle w:val="TextBody"/>
        <w:bidi w:val="0"/>
        <w:spacing w:lineRule="auto" w:line="288" w:before="120" w:after="283"/>
        <w:jc w:val="both"/>
        <w:rPr>
          <w:rFonts w:ascii="Arial;sans-serif" w:hAnsi="Arial;sans-serif"/>
          <w:b/>
          <w:i/>
          <w:color w:val="006EBF"/>
          <w:sz w:val="20"/>
        </w:rPr>
      </w:pPr>
      <w:r>
        <w:rPr>
          <w:rFonts w:ascii="Arial;sans-serif" w:hAnsi="Arial;sans-serif"/>
          <w:b/>
          <w:i/>
          <w:color w:val="006EBF"/>
          <w:sz w:val="20"/>
        </w:rPr>
        <w:t>Our dependence on third-party relationships with studios, content producers and distribution channels to develop and distribute digital games and entertainment content is critical to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rely on third party relationships with studios, content producers and distribution channels to develop and distribute certain digital games and entertainment content. Our financial performance may be adversely affected by our relationships with these studios, content producers and distribution channels. Some of our digital gaming developers and content producers are affiliates of major studios that develop their own games or content. Some have their own distribution capability in the markets in which we operate, and some may decide, or be required by their respective parent companies, to use their intra</w:t>
        <w:noBreakHyphen/>
        <w:t>company distribution or content production capabilities rather than contracting with us. Our business may be harmed if the studios, content producers and distribution channels with which we work stop or reduce the amount of work they do with us or otherwise demand less favorable terms to us.</w:t>
      </w:r>
    </w:p>
    <w:p>
      <w:pPr>
        <w:pStyle w:val="TextBody"/>
        <w:bidi w:val="0"/>
        <w:spacing w:lineRule="auto" w:line="288" w:before="120" w:after="283"/>
        <w:jc w:val="left"/>
        <w:rPr/>
      </w:pPr>
      <w:r>
        <w:rPr>
          <w:rFonts w:ascii="Arial;sans-serif" w:hAnsi="Arial;sans-serif"/>
          <w:b/>
          <w:i/>
          <w:color w:val="006EBF"/>
          <w:sz w:val="20"/>
        </w:rPr>
        <w:t>If our vendors or third-party outsourcing partners fail to perform, our business may be harmed.</w:t>
      </w:r>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have relied and expect to further rely on third-party vendor and outsourcing relationships for certain corporate, administrative and other functional areas of the business. Working with third-parties subjects us to risk, including the reduction in full control over certain activities. Any failure to perform timely or accurately or other shortcoming of one of these vendors or outsourcers, could harm our business or could damage our reputation. Transitioning some of these services to a third-party outsourcing vendor is challenging and time-consuming. Problems with transitioning these services and systems to, or operating failures with, these vendors and outsourcers may cause delays to product sales and reduce the efficiency of our operations. We may not achieve the cost-savings we expect, and we may suffer knowledge loss and require significant capital investments to remediate the problem. We cannot guarantee that our outsourcing efforts will be successful. </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Our success is dependent on the efforts and dedication of our officers and other employees.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officers and employees are at the heart of all our efforts. It is their skill, innovation and hard work that drive our success. We compete with many other potential employers in recruiting, hiring and retaining our management team and our many other skilled officers and employees around the world. Experienced personnel and top creative talent in the markets in which we operate are in high demand and competition for their talent is intense. Further, the continuing debate and practice of remote and hybrid work creates further challenges in retaining employees as some employees desire more flexibility in their employment and the ability to work remotely or hybrid opens up more employment opportunities.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relocation of our primary headquarters for our toys, board games, licensing and entertainment operations from Rhode Island to Boston, Massachusetts requires substantial investment and could disrupt operations. We may lose experienced personnel unwilling to relocate, and we may face challenges recruiting in Boston's competitive labor market. If we are unable to successfully manage this transition, including facility build-out, systems migration, and cultural integration, our operations and financial performance could suffer.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Certain aspects of our business, including digital game development and franchise-driven brands such as MAGIC: THE GATHERING and DUNGEONS &amp; DRAGONS, depend on a limited number of highly skilled creative and technical personnel, and the loss of such individuals could disrupt development pipelines or adversely affect product quality and performance.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impact of the planned move, recent reductions in workforce or failing to retain key employees can be high due to increased risk of loss of important information, key knowledge and relationships, loss of creative talent, lost productivity, hiring and training costs, all of which could result in lower efficiency, profitability or otherwise harm the business. We cannot guarantee that we will recruit, hire or retain the key personnel we need to succeed.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Our business may be harmed if we are unable to protect our critical intellectual property rights.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intellectual property, including our trademarks and tradenames, copyrights, patents, and rights under our license agreements and other agreements that establish our intellectual property rights and maintain the confidentiality of our intellectual property, is of critical value. We rely on a combination of trade secret, copyright, trademark, patent and other proprietary rights laws to protect our rights to valuable intellectual property in the U.S. and around the world. From time to time, third parties have challenged, and may in the future try to challenge, our ownership of our intellectual property in the U.S. and around the world. In addition, our business is subject to the risk of third parties counterfeiting our products or infringing on our intellectual property rights, as well as the risk of unauthorized persons copying and distributing our digital or entertainment content or leaking portions of planned digital or entertainment content. We may need to resort to litigation to protect our intellectual property rights, which could result in substantial costs and diversion of resources. Similarly, third parties may claim ownership over certain aspects of our products, productions or other intellectual property. Our failure to successfully protect our intellectual property rights could significantly harm our business and competitive position.</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Failure to successfully operate our information systems and implement new technology effectively could disrupt our business or reduce our sales or profitability.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rely extensively on various information technology systems and software applications to manage many aspects of our business, including product development, management of our supply chain, sale and delivery of our products, analytics, royalty and financial reporting and various other processes and transactions. As part of our transformation efforts, we are continuing to upgrade some of our technology and systems, and we are relying on the systems of third-party outsourcers for certain critical functions. We are critically dependent on the integrity, security and consistent operations of these systems and related back-up systems. These systems are subject to damage or interruption from power outages, computer and telecommunications failures, computer viruses, malware and other cybersecurity attacks and breaches, catastrophic events such as hurricanes, fires, floods, earthquakes, tornadoes, acts of war or terrorism and usage errors by our employees or partners. The efficient operation and successful growth of our business depends on these information systems, including our ability and the ability of our third-party outsourcers to operate them effectively and to select and implement appropriate upgrades or new technologies and systems and adequate disaster recovery systems successfully. The failure of our information systems or third-party hosted technology to perform as designed or our failure to implement and operate them effectively could disrupt our business, require significant capital investments to remediate a problem or subject us to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If our electronic data is compromised our business could be significantly harmed.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and our third-party outsourcers and other business partners maintain significant amounts of data electronically in locations around the world and in the cloud. This data relates to all aspects of our business, including current and future products and entertainment under development, and also contains certain customer, consumer, supplier, partner and employee data. We and our partners maintain systems and processes designed to protect this data, but notwithstanding such protective measures, there is a risk of intrusion, cyber-attacks or tampering that could compromise the integrity and privacy of this data. Cyber-attacks continue to increase in their frequency, sophistication and intensity, and are becoming increasingly difficult to detect. They are often carried out by motivated, well-resourced, skilled and persistent actors, including nation states, organized crime groups, “hacktivists” and employees or contractors acting with malicious intent. Cyber-attacks could include the deployment of harmful malware and key loggers, ransomware, a denial-of-service attack, a malicious website, artificial intelligence, the use of social engineering and other means to affect the confidentiality, integrity and availability of our or third-party technology systems and data. Cyber-attacks could also include supply chain attacks, which could cause a delay in the manufacturing of our products. In addition, we provide confidential and proprietary information to our third-party outsourcers and business partners in certain cases where doing so is necessary to conduct our business. While we obtain assurances from those parties that they have systems and processes in place to protect such data, and where applicable, that they will take steps to assure the protections of such data by third parties, those outsourcers and partners may also be subject to data intrusion or otherwise compromise the protection of such data. The risk of data loss or breaches is heightened during uncertain economic times, changes in business strategy and reductions in workforce. Any compromise of the confidential data of our customers, consumers, suppliers, partners, employees or ourselves, or failure to prevent or mitigate the loss of or damage to this data through breach of our third party outsourcers and other business partners’ information technology systems could substantially disrupt our operations, harm our customers, consumers, employees and other business partners, damage our reputation, violate applicable laws and regulations, subject us to potentially significant costs and liabilities and result in a loss of business that could be material. </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Global and Economic Risks Relating to our Business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Economic conditions could impact discretionary consumer spending and harm our business and financial performance.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financial performance is impacted by the level of discretionary consumer spending in the markets in which we operate. Recessions or even fear or anticipation of recessions, inflation, rising costs due to tariffs or potential tariffs, rising or fluctuating interest rates and mortgage rates, credit crises and other economic downturns, or disruptions in credit markets, in the U.S. and in other markets in which we operate can result in lower levels of economic activity, lower employment levels, less consumer disposable income, and lower consumer confidence. Similarly, reductions in the value of key assets held by consumers, such as their homes or stock market investments, can lower consumer confidence and consumer spending power. Any of these factors can reduce the amount which consumers spend on the purchase of our products and entertainment. This in turn can reduce our revenues and harm our financial performance and profitability.</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Inflation and other adverse economic conditions in the markets in which we and our consumers, customers, employees, suppliers and manufacturers operate could negatively impact our ability to produce and ship our products, and lower our revenues, margins and profitability.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Various economic conditions in the markets in which we, our consumers, customers, employees, suppliers and manufacturers operate, could have a significant negative impact on our revenues, profitability and business. The occurrence of adverse economic conditions can result in manufacturing and other work stoppages, slowdowns and delays; shortages or delays in production or shipment of products or raw materials; delayed or reduced purchases from customers and consumers; and other factors that cause increases in costs or delay in revenues.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Inflation can cause significant increases in the costs of other products which are required by consumers, such as gasoline, home heating fuels, or groceries, may reduce household spending on the discretionary products and entertainment we offer. Weakened economic conditions, lowered employment levels or recessions in any of our major markets may also significantly reduce consumer purchases of our products and spending on entertainment. Economic conditions may also be negatively impacted by terrorist attacks, wars and other conflicts, natural disasters, increases in critical commodity prices or labor costs, tariffs, or the prospect of such events. Such a weakened economic and business climate, as well as consumer uncertainty created by such a climate, could harm our revenues and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success and profitability not only depend on consumer demand for our products, but also on our ability to produce and sell those products at costs which allow for us to make a profit. Rising fuel and raw material prices, due to inflation or otherwise, for paperboard and other components such as resin used in plastics or electronic components, increased transportation and shipping costs, and increased labor costs in the markets in which our products are manufactured all may increase the costs we incur to produce and transport our products, which in turn may reduce our margins, reduce our profitability and harm our business.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Public health crises may disrupt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Outbreaks of communicable infections, diseases or other adverse public health conditions, such as COVID-19, in markets in which we, our employees, consumers, customers, partners, licensees, licensors, suppliers and manufacturers operate, has had and could in the future have a significant negative impact on our business, revenues and profitability. The occurrence of these types of events can result, and in the case of COVID-19 resulted in, disruptions and damage to our business, due to, among other things: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difficulties in shipping and distributing products due to ongoing port capacity, and labor, shipping container and truck transportation shortages, resulting in higher costs for both ocean and air freight and delays in the availability of products, which can result in delayed sales and in some cases result in lost sales;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disruptions in supply of products, due to closures or reductions in operations at third-party manufacturing facilities across several geographies;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adverse sales impact due to changes in consumer purchasing behavior and availability of products to consumers;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uncertain inventory availability or difficulty in anticipating demand, which can result in too little or too much supply at a given time;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interruptions, delays or postponements of entertainment productions and releases; and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challenges of working remotely.</w:t>
      </w:r>
    </w:p>
    <w:p>
      <w:pPr>
        <w:pStyle w:val="TextBody"/>
        <w:bidi w:val="0"/>
        <w:spacing w:lineRule="auto" w:line="288" w:before="120" w:after="283"/>
        <w:jc w:val="both"/>
        <w:rPr>
          <w:rFonts w:ascii="Arial;sans-serif" w:hAnsi="Arial;sans-serif"/>
          <w:b/>
          <w:i/>
          <w:color w:val="000000"/>
          <w:sz w:val="20"/>
          <w:u w:val="single"/>
        </w:rPr>
      </w:pPr>
      <w:r>
        <w:rPr>
          <w:rFonts w:ascii="Arial;sans-serif" w:hAnsi="Arial;sans-serif"/>
          <w:b/>
          <w:i/>
          <w:color w:val="000000"/>
          <w:sz w:val="20"/>
          <w:u w:val="single"/>
        </w:rPr>
        <w:t>Financial Risks Relating to our Business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 xml:space="preserve">Our quarterly and annual operating results may fluctuate due to seasonality in our business.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Sales of our products are seasonal, with a majority of retail sales of consumers occurring during the period from September through December in anticipation of the holiday season, and sales of our card sets, games and content releases varying based on the timing of release. Seasonality can increase pressure on suppliers like us to fill orders promptly and thereby shift a significant portion of inventory risk and carrying costs to the supplier. This can also result in our losing significant revenues and earnings if our supply chain is unable to supply product to our customers when they want it. Tariffs can exacerbate this negative impact by causing retailers to shift from direct import to domestic orders, further pressuring our supply chain.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level of inventory carried by retailers may also reduce or delay retail sales resulting in lower revenues for us. If we or our customers determine that one of our products is more popular at retail than was originally anticipated, we may not have sufficient time to produce and ship enough additional products to fully meet consumer demand. Additionally, the logistics of supplying more products within shorter time periods increases the risk that we will fail to achieve tight and compressed shipping schedules, which also may reduce our sales and harm our financial performance. The ability to accurately predict levels of inventory remains challenging in the current economic environment, and, in recent years, has resulted in write-offs of excess inventory.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This seasonal pattern of our business requires significant use of working capital, mainly to manufacture or acquire inventory during the portion of the year prior to the holiday season and requires accurate forecasting of demand for products during the holiday season in order to avoid losing potential sales of popular products or producing excess inventory of products that are less popular with consumers. Our failure to accurately predict and respond to consumer demand, resulting in under-producing popular items and/or overproducing less popular items, would reduce our total sales and harm our 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result of the seasonal nature of our business, we would be significantly and adversely affected, in a manner disproportionate to the impact on a company with sales spread more evenly throughout the year, by unforeseen events such as a natural disaster, a terrorist attack, economic shock or pandemic that harms the retail environment or consumer buying patterns during our key selling season, or by events such as labor or union strikes, or delays or other issues in the supply chain, particularly from the Far East, during the critical months leading up to the holiday shopping season.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 xml:space="preserve">We have had and may in the future have significant impairment charges that adversely affect our net earnings.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Changes in strategy, shifting focus to certain lines of business, lower projections in an area of the business, declines in the profitability of acquired brands or businesses or our decision to reduce our focus or exit these brands or businesses, such as certain non-core entertainment assets of the business, has in the past impacted and may in the future impact our ability to recover the carrying value of the related assets and could result in an impairment charge. Similarly, declines in our profitability may impact the fair value of our reporting units, which could result in a write-down of our goodwill and consequently harm our net earnings. We have incurred, and may in the future incur, significant costs in connection with the development of video games. If we determine that capitalized costs of the game are unlikely to be recovered by product sales due to the termination of development, lack of success of the game or otherwise, we will incur an impairment, which will be charged to costs of sales in the period in which such determination is made.</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Changes in foreign currency exchange rates can significantly impact our reported financial performance.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global operations mean we transact business in many different jurisdictions with many different currencies. As a result, if the exchange rate between the U.S. dollar and a local currency for an international market in which we have significant sales or operations changes, our financial results as reported in U.S. dollars, may be meaningfully impacted even if our business in the local currency is not significantly affected. Similarly, our expenses can be significantly impacted, in U.S. dollar terms, by exchange rates, meaning the profitability of our business in U.S. dollar terms can be negatively impacted by exchange rate movements which we do not control. Depreciation in key currencies may have a significant negative impact on our revenues and earnings as they are reported in U.S. dollars.</w:t>
      </w:r>
    </w:p>
    <w:p>
      <w:pPr>
        <w:pStyle w:val="TextBody"/>
        <w:bidi w:val="0"/>
        <w:spacing w:lineRule="auto" w:line="288" w:before="120" w:after="283"/>
        <w:jc w:val="left"/>
        <w:rPr/>
      </w:pPr>
      <w:r>
        <w:rPr>
          <w:rFonts w:ascii="Arial;sans-serif" w:hAnsi="Arial;sans-serif"/>
          <w:b/>
          <w:i/>
          <w:color w:val="006EBF"/>
          <w:sz w:val="20"/>
        </w:rPr>
        <w:t>Our indebtedness may limit our availability of cash, cause us to divert cash to fund debt service payments or make it more difficult to take certain other actions</w:t>
      </w:r>
      <w:r>
        <w:rPr>
          <w:rFonts w:ascii="Arial;sans-serif" w:hAnsi="Arial;sans-serif"/>
          <w:b/>
          <w:color w:val="006EBF"/>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approximately $3,281.9 million in total long-term indebtedness. The amount of our total long-term indebtedness could: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make it more difficult and/or costly for us to pay or refinance our debts as they become due, particularly during adverse economic and industry conditions, because a decrease in revenues or increase in costs could cause cash flow from operations to be insufficient to make scheduled debt service payments;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require a substantial portion of our available cash to be used for debt service payments, thereby reducing the availability of our cash to fund working capital, capital expenditures, development projects, acquisitions or other strategic opportunities, dividend payments, share repurchases and other general corporate purposes;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result in downgrades in the credit ratings on our indebtedness, which could limit our ability to borrow additional funds on favorable terms or at all (including in order to refinance our other debt), increase the interest rates under our credit facilities and under any new indebtedness we may incur;</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make it more difficult for us to raise capital to fund working capital, make capital expenditures, pay dividends, pursue strategic initiatives or for other purposes;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result in higher interest expense, which could be further increased in case of current or future borrowings subject to variable rates of interest;</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require that materially adverse terms, conditions or covenants be placed on us under our debt instruments, which could include, for example, limitations on executing additional borrowings, paying dividends, repurchasing our common stock or making investments, any of which could hinder our access to capital markets or our flexibility in the conduct of our business and make us more vulnerable to economic downturns and adverse competitive industry conditions;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jeopardize our ability to pay our indebtedness if our business experienced a severe downturn.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If we were unable to obtain or service our other external financings, or if the restrictions imposed by such financing were too burdensome, our business would be harmed.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Due to the seasonal nature of our business, in order to meet our working capital needs, particularly those in the third and fourth quarters, we may rely on our commercial paper program, revolving credit facility and our other credit facilities for working capital. We cannot guarantee that we will be able to issue commercial paper on favorable terms, or at all, at any given point in time. Further, restrictive covenants under our revolving credit facility may limit our future actions as well as our financial, operating and strategic flexibility. Non-compliance with our debt covenants could result in us being unable to utilize borrowings under our revolving credit facility and other bank lines, a circumstance which potentially could occur when operating shortfalls would require supplementary borrowings to enable us to continue to fund our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only may our individual financial performance impact our ability to access sources of external financing, but significant disruptions to credit markets in general may also harm our ability to obtain financing. In times of severe economic downturn and/or distress in the credit markets, it is possible that one or more sources of external financing may be unable or unwilling to provide funding to us. In such a situation, it may be that we would be unable to access funding under our existing credit facilities, and it might not be possible to find alternative sources of funding.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also may choose to finance our capital needs, from time to time, through the issuance of debt securities. Our ability to issue such securities on satisfactory terms, if at all, will depend on the state of our business and financial condition, any ratings issued by major credit rating agencies, market interest rates, and the overall condition of the financial and credit markets at the time of the offering. The condition of the credit markets and prevailing interest rates have fluctuated significantly in the past and are likely to fluctuate in the future. Variations in these factors could make it difficult for us to sell debt securities or require us to offer higher interest rates in order to sell new debt securities. The failure to receive financing on desirable terms, or at all, could damage our ability to support our future operations or capital needs or engage in other business activities.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If we are unable to generate sufficient available cash flow to service our outstanding debt we would need to refinance our outstanding debt or face default. We cannot guarantee that we would be able to refinance debt on favorable terms, or at all.</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Changes in, or differing interpretations of, income tax laws and rules, and changes in our geographic operating results, may impact our effective tax rate.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subject to income taxes in the U.S. and in various international tax jurisdictions. We also conduct business activities between our operating units in various jurisdictions and we are subject to transfer pricing rules in the countries in which we operate. There is some degree of uncertainty and subjectivity in complying with transfer pricing rules. Our effective tax rate could be impacted by changes in, or the interpretation of, tax laws, such as those imposed by the current U.S. administration and other jurisdictions in which we do business, or by changes in the amount of revenue and earnings we derive, or are determined to derive by tax authorities, from jurisdictions with differing tax rates.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we may be subject to tax examinations by federal, state, and international jurisdictions, and these examinations can result in significant tax findings if the tax authorities interpret the application of laws and rules differently than we do or disagree with the intercompany rates we are applying. We assess the likelihood of outcomes resulting from tax uncertainties. While we believe our estimates are reasonable, the ultimate outcome of these uncertain tax benefits, or results of possible current or future tax examinations, may differ from our estimates and may have a significant adverse impact on our business and operating results.</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Governmental and Legal Risks Relating to our Business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We are subject to various government regulations, violation of which could subject us to sanctions or otherwise harm our business. In addition, we could be the subject of future product liability suits or product recalls, which could harm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are subject to significant government regulations, including, in the U.S., under The Consumer Products Safety Act, The Federal Hazardous Substances Act, and The Flammable Fabrics Act, as well as under product safety and consumer protection statutes in our international markets. In addition, certain of our products are subject to regulation by the Food and Drug Administration or similar international authorities. Advertising to children is subject to regulation by the Federal Trade Commission, the Federal Communications Commission and a host of other agencies globally, and the collection of information from children is subject to the provisions of the Children’s Online Privacy Protection Act and other privacy laws around the world. In addition, our digital games and online services are subject to evolving laws and regulations relating to online safety (including protections for minors), digital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content and in-game purchases, advertising and consumer disclosures, and the use of player data, and increased regulatory scrutiny in these areas could increase compliance costs, restrict certain features or monetization practices, or subject us to investigations, enforcement actions, fines or litigation. The collection of personally identifiable information from anyone, including adults, is under increasing regulation in many markets, such as the General Data Protection Regulation adopted by the European Union, and data protection laws in the United States and in a number of other counties. While we take all the steps we believe are necessary to comply with these acts and regulations, we cannot assure you that we will be in compliance and, if we fail to comply with these requirements or other regulations enacted in the future, we could be subject to fines, liabilities or sanctions which could have a significant negative impact on our business, financial condition and results of operations. We may also be subject to involuntary product recalls or may voluntarily conduct a product recall. While costs associated with product recalls have generally not been material to our business, the costs associated with future product recalls individually or in the aggregate in any given fiscal year could be significant. In addition, any product recall, regardless of direct costs of the recall, may harm the reputation of our products and have a negative impact on our future revenues and 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large multinational corporation, we are subject to a host of governmental regulations throughout the world, including antitrust, employment, pay transparency, customs and tax requirements, anti-boycott regulations, environmental regulations and the Foreign Corrupt Practices Act. There are also many new laws and proposed laws, rules and regulations governing the use of artificial intelligence that may become applicable to our business. Complying with these regulations imposes costs on us which can reduce our profitability and our failure to successfully comply with any such legal requirements could subject us to monetary liabilities and other sanctions that could further harm our business and financial condition.</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We are involved in litigation, arbitration or regulatory matters where the outcome is uncertain and which could entail significant expense.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large multinational corporation, we are subject to regulatory investigations, litigation and arbitration disputes, including potential liability from personal injury or property damage claims by the users of products that have been or may be developed by us, claims by third parties that our products infringe upon or misuse such third parties’ property or rights, securities claims, royalties claims, pay transparency claims, claims by former employees for employment related matters and claims relating to media content. Because the outcome of litigation, arbitration and regulatory investigations is inherently difficult to predict, it is possible that the outcome of any of these matters could entail significant cost for us and harm our business. The fact that we operate in a significant number of international markets also increases the risk that we may face legal and regulatory exposures as we attempt to comply with a large number of varying legal and regulatory requirements. Any successful claim against us could significantly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pPr>
      <w:r>
        <w:rPr>
          <w:rFonts w:ascii="Arial;sans-serif" w:hAnsi="Arial;sans-serif"/>
          <w:b/>
          <w:color w:val="000000"/>
          <w:sz w:val="20"/>
        </w:rPr>
        <w:t>Item 1B.    </w:t>
      </w:r>
      <w:r>
        <w:rPr>
          <w:rFonts w:ascii="Arial;sans-serif" w:hAnsi="Arial;sans-serif"/>
          <w:b/>
          <w:i/>
          <w:color w:val="000000"/>
          <w:sz w:val="20"/>
          <w:u w:val="single"/>
        </w:rPr>
        <w:t>Unresolved Staff Comments.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 xml:space="preserve">Item 1C. </w:t>
      </w:r>
      <w:r>
        <w:rPr>
          <w:rFonts w:ascii="Arial;sans-serif" w:hAnsi="Arial;sans-serif"/>
          <w:b/>
          <w:i/>
          <w:color w:val="000000"/>
          <w:sz w:val="20"/>
          <w:u w:val="single"/>
        </w:rPr>
        <w:t>Cybersecurity.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employ a multi-layered approach to monitoring and mitigating cybersecurity and data privacy risks. Management, in coordination with our Board, the Audit Committee of the Board (the “Audit Committee”), our dedicated Cybersecurity and Data Privacy teams, and senior leaders responsible for Enterprise Risk Management, have established processes intended to adapt to the evolving threat landscape. These processes are designed to identify, assess, and respond to emerging cybersecurity risks, including the ability to rapidly deploy specialized task forces to address specific threats or incidents.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cybersecurity program is informed by various industry standards like the National Institute of Standards and Technology ("NIST") and Center for Internet Security ("CIS") frameworks, which organize cybersecurity risks into five categories: identify, govern, protect, detect, respond and recover. We regularly assess the threat landscape and take a holistic view of cybersecurity risks, with a layered cybersecurity strategy based on prevention, detection, mitigation and continuous process improvements. Our internal teams review cybersecurity risks, and key cybersecurity risks are incorporated into the Enterprise Risk Management ("ERM") reports reviewed and discussed internally and with the Board. In addition, we have several avenues to gather risk intelligence, and potential threats identified by various services, internal and external assessments, and capabilities to adjust our security strategy. We also have a set of Company-wide policies and procedures concerning cybersecurity and technology standards, which include a Technology Use policy, as well as other policies that directly or indirectly relate to cybersecurity, such as policies related to endpoint, cloud, and network protection, encryption standards, malware/ransomware protection, remote access, multi-factor authentication, anti-phishing, confidential information and the use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internet, social media, email and wireless devices. These policies go through an internal review process and are approved by appropriate members of management.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Chief Information Security Officer (“CISO”) and the Cybersecurity and Data Privacy leadership members are responsible for developing, implementing, advising, and evaluating our information security program. The CISO regularly reports on cybersecurity matters to Hasbro leadership, as well as to the Board and the Audit Committee. Our Chief Digital Information Officer is an executive sponsor of our Cyber Security Program with over two decades of experience leading cyber security oversight, and others on our cyber security team have cybersecurity experience and certifications, such as the Certified Information Systems Security Professional ("CISSP"), or other industry leading certifications. Furthermore, our internal audit team is responsible for testing and auditing the design and operating effectiveness of our information technology internal controls. Cybersecurity risk management is integrated into management's broader enterprise risk responsibilities and informs strategic and operational decision-making.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invested in Technology security, including additional end-user training, using layered defenses, identifying and protecting critical assets, strengthening monitoring and alerting, and engaging experts. We regularly test defenses by performing simulations and drills at both a technical level (including penetration tests), tabletop exercises and by reviewing our operational policies and procedures with third-party experts. At the management level, our Technology security team regularly monitors alerts and meets to discuss threat levels, trends and remediation. The team also prepares a cyber scorecard, regularly collects data on cybersecurity threats and risk areas and conducts an annual risk assessment. In addition, all employees receive cybersecurity training during their onboarding and are required to complete updated training on an annual basis. Further, we conduct periodic external penetration tests, red team testing, product security assessments, tabletop exercises, and maturity testing to assess our processes and procedures and the threat landscape. These tests and assessments are useful tools for maintaining a robust cybersecurity program to protect our investors, customers, employees, vendors, and intellectual property. In addition to assessing our own cybersecurity preparedness, we also consider and evaluate cybersecurity risks associated with use of third-party vendors and service providers. The internal business owners of the hosted critical applications are required to document user access reviews and other key controls at least annually and evaluate each vendor's System and Organization Controls ("SOC") 1 and/or SOC 2 report. If a third-party vendor is not able to provide a SOC 1 or SOC 2 report, we take additional steps to assess their cybersecurity preparedness and assess our relationship on that basis. Our assessment of risks associated with use of third-party providers is part of our overall cybersecurity risk management framework.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Audit Committee of our Board of Directors maintains oversight of our cybersecurity and data privacy risk management programs. Members of the Audit Committee bring relevant oversight, technology and information security governance experience, enabling them to provide informed guidance and effective oversight of our strategies, controls, and incident response capabilities. As part of this oversight, the Audit Committee and the full Board actively participate in discussions with management and amongst themselves regarding cybersecurity risks. The Audit Committee meets during the year and discusses cyber-related industry events, critical cyber incidents, alignment with our information security framework, threat assessment, security capabilities, response readiness and training efforts. The Audit Committee conducts an ongoing review of the Company’s cybersecurity program, which includes discussion of management’s actions to identify and detect threats, planned actions in the event of a response or recovery situation, as well as a review of recent enhancements to the Company’s security detection, prevention and response capabilities, and management’s progress on its cybersecurity strategic roadmap. The Cybersecurity team also subscribes to various threat intelligence services to evaluate our security strategy or defense mechanism against such threats.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Board receives regular updates from the Audit Committee, as well as from the Cybersecurity team, including a summary of key risk indicators, test results and related remediation, and recent threats and how the Company is managing those threats.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face a number of cybersecurity risks in connection with our business. During the past three years, we have not suffered a material breach or a reportable incident, and cybersecurity risks (including breach of third parties with whom we work) have not materially affected us, including our business strategy, results of operations or financial condition. For more information about the cybersecurity risks we face, refer to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200" w:after="283"/>
        <w:ind w:left="0" w:right="0" w:hanging="900"/>
        <w:jc w:val="left"/>
        <w:rPr/>
      </w:pPr>
      <w:r>
        <w:rPr>
          <w:rFonts w:ascii="Arial;sans-serif" w:hAnsi="Arial;sans-serif"/>
          <w:b/>
          <w:color w:val="000000"/>
          <w:sz w:val="20"/>
        </w:rPr>
        <w:t>Item 2.    </w:t>
      </w:r>
      <w:r>
        <w:rPr>
          <w:rFonts w:ascii="Arial;sans-serif" w:hAnsi="Arial;sans-serif"/>
          <w:b/>
          <w:i/>
          <w:color w:val="000000"/>
          <w:sz w:val="20"/>
          <w:u w:val="single"/>
        </w:rPr>
        <w:t>Properties.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Hasbro owns its current corporate headquarters in Pawtucket, Rhode Island consisting of approximately 343,000 square feet, which is used by many major functions of the business. The Company owns an adjacent building consisting of approximately 23,000 square feet which is also used by corporate functions. In October 2025, Hasbro executed a long-term sublease for 265,000 square feet of office space at 400 Summer Street, Boston, Massachusetts to serve as the Company's principal headquarters for our toy and game business and corporate function. The Company expects to move from the Pawtucket offices during the fourth quarter of 2026 and subsequently list the Pawtucket properties for sale.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also leases approximately 111,000 square feet of office space in Renton, Washington, which is the principal headquarters for the Wizards of the Coast and Digital Gaming segment, as well as 70,000 square feet in Montreal, Canada used primarily by the Wizards of the Coast and Digital Gaming segment. The Company leases approximately 80,000 square feet of office space in Burbank, California used by the Consumer Products and Entertainment segments. Hasbro also leases an aggregate of 78,000 square feet of office space in Hong Kong and 47,000 square feet of office space in Shenzhen, People’s Republic of China.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third party warehousing agreements for approximately three million square feet in California, Illinois, Georgia and Massachusetts that are used primarily by the Consumer Products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leases or owns property in 30 countries. The primary office locations in the Consumer Products segment outside of the United States are in Australia, Brazil, France, Germany, Mexico, Spain, the People’s Republic of China, and the United Kingdom. In addition, the Company owns an office in Switzerland and leases an office in the Netherlands, both of which are primarily used for corporate functions.</w:t>
      </w:r>
    </w:p>
    <w:p>
      <w:pPr>
        <w:pStyle w:val="TextBody"/>
        <w:bidi w:val="0"/>
        <w:spacing w:lineRule="auto" w:line="288" w:before="120" w:after="200"/>
        <w:jc w:val="left"/>
        <w:rPr>
          <w:rFonts w:ascii="Arial;sans-serif" w:hAnsi="Arial;sans-serif"/>
          <w:b w:val="false"/>
          <w:color w:val="000000"/>
          <w:sz w:val="20"/>
        </w:rPr>
      </w:pPr>
      <w:r>
        <w:rPr>
          <w:rFonts w:ascii="Arial;sans-serif" w:hAnsi="Arial;sans-serif"/>
          <w:b w:val="false"/>
          <w:color w:val="000000"/>
          <w:sz w:val="20"/>
        </w:rPr>
        <w:t>The Company believes that its facilities are generally suitable and adequate for its needs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pPr>
      <w:r>
        <w:rPr>
          <w:rFonts w:ascii="Arial;sans-serif" w:hAnsi="Arial;sans-serif"/>
          <w:b/>
          <w:color w:val="000000"/>
          <w:sz w:val="20"/>
        </w:rPr>
        <w:t>Item 3</w:t>
      </w:r>
      <w:r>
        <w:rPr>
          <w:rFonts w:ascii="Arial;sans-serif" w:hAnsi="Arial;sans-serif"/>
          <w:b w:val="false"/>
          <w:color w:val="000000"/>
          <w:sz w:val="20"/>
        </w:rPr>
        <w:t>.    </w:t>
      </w:r>
      <w:r>
        <w:rPr>
          <w:rFonts w:ascii="Arial;sans-serif" w:hAnsi="Arial;sans-serif"/>
          <w:b/>
          <w:i/>
          <w:color w:val="000000"/>
          <w:sz w:val="20"/>
          <w:u w:val="single"/>
        </w:rPr>
        <w:t>Legal Proceedings.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November 13, 2024, West Palm Beach Firefighters’ Pension Fund ("Lead Plaintiffs") filed a putative class action lawsuit in the U.S. District Court for the Southern District of New York alleging violations of Sections 10(b) and 20(a) of the Securities and Exchange Act of 1934 (the "Exchange Act") and certain rules promulgated thereunder. On November 26, 2025, Lead Plaintiffs filed an amended complaint on behalf of all persons and entities that purchased the Company’s securities between September 16, 2021 and October 26, 2023, inclusive (the “Alleged Class Period”). The amended complaint alleges violations of Sections 10(b) and 20(a) of the Exchange Act. In the amended complaint, Lead Plaintiffs allege that members of the putative class suffered losses as a result of Defendants’ false or misleading statements regarding the growth and success of Magic: The Gathering (“Magic”) card sets, including statements attributing Magic’s growth to a consumer-driven “segmentation” strategy, during the Alleged Class Period. Defendants moved to dismiss the amended complaint on February 6, 2026. The Company intends to vigorously defend against these claims. Due to the early stages of this matter, the Company is unable to estimate a reasonably possible range of loss, if any, that may result from this matter.</w:t>
      </w:r>
    </w:p>
    <w:p>
      <w:pPr>
        <w:pStyle w:val="TextBody"/>
        <w:bidi w:val="0"/>
        <w:spacing w:lineRule="auto" w:line="288" w:before="120" w:after="283"/>
        <w:jc w:val="left"/>
        <w:rPr/>
      </w:pPr>
      <w:r>
        <w:rPr>
          <w:rFonts w:ascii="Arial;sans-serif" w:hAnsi="Arial;sans-serif"/>
          <w:b w:val="false"/>
          <w:color w:val="000000"/>
          <w:sz w:val="20"/>
        </w:rPr>
        <w:t xml:space="preserve">On August 19, 2025, Karen Sbriglio, derivatively on behalf of Hasbro, Inc., filed a putative shareholder derivative action against certain of the Company's executive officers and current and former members of the Board of Directors of the Company in Rhode Island Superior Court. </w:t>
      </w:r>
      <w:r>
        <w:rPr>
          <w:rFonts w:ascii="Arial;sans-serif" w:hAnsi="Arial;sans-serif"/>
          <w:b w:val="false"/>
          <w:i/>
          <w:color w:val="000000"/>
          <w:sz w:val="20"/>
        </w:rPr>
        <w:t xml:space="preserve">Sbriglio v. Stoddart et al., </w:t>
      </w:r>
      <w:r>
        <w:rPr>
          <w:rFonts w:ascii="Arial;sans-serif" w:hAnsi="Arial;sans-serif"/>
          <w:b w:val="false"/>
          <w:color w:val="000000"/>
          <w:sz w:val="20"/>
        </w:rPr>
        <w:t>PC-2025-04400 (Prov. City, RI). Plaintiff alleges the Board of Directors wrongfully refused a pre-suit litigation demand made on the Board relating to similar allegations described in the initial complaint in the West Palm Beach Firefighters' Pension Fund action. The parties have stipulated to stay the case pending resolution of the motion to dismiss in the West Palm Beach Firefighters' Pension Fund action.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January 21, 2026, Joseph Crocono and Ultan McGlone, derivatively on behalf of Hasbro, Inc., filed a putative shareholder derivative action against certain of the Company's executive officers and current and former members of the Board of Directors of the Company in the United States District Court for the District of Rhode Island. Crocono vs. Cocks et al., Case No. 1:26-cv-41 (D.R.I.) The allegations in this complaint are nearly identical to those of the amended complaint in the West Palm Beach Firefighters' Pension Fund action. On February 17, 2026, Plaintiffs voluntarily dismissed the action.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is currently party to other certain legal proceedings, none of which we believe to be material to our business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pPr>
      <w:r>
        <w:rPr>
          <w:rFonts w:ascii="Arial;sans-serif" w:hAnsi="Arial;sans-serif"/>
          <w:b/>
          <w:color w:val="000000"/>
          <w:sz w:val="20"/>
        </w:rPr>
        <w:t>Item 4.    </w:t>
      </w:r>
      <w:r>
        <w:rPr>
          <w:rFonts w:ascii="Arial;sans-serif" w:hAnsi="Arial;sans-serif"/>
          <w:b/>
          <w:i/>
          <w:color w:val="000000"/>
          <w:sz w:val="20"/>
          <w:u w:val="single"/>
        </w:rPr>
        <w:t>Mine Safety Disclosures.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pPr>
      <w:r>
        <w:rPr>
          <w:rFonts w:ascii="Arial;sans-serif" w:hAnsi="Arial;sans-serif"/>
          <w:b/>
          <w:color w:val="000000"/>
          <w:sz w:val="20"/>
        </w:rPr>
        <w:t>Item 5.    </w:t>
      </w:r>
      <w:r>
        <w:rPr>
          <w:rFonts w:ascii="Arial;sans-serif" w:hAnsi="Arial;sans-serif"/>
          <w:b/>
          <w:i/>
          <w:color w:val="000000"/>
          <w:sz w:val="20"/>
          <w:u w:val="single"/>
        </w:rPr>
        <w:t>Market for Registrant’s Common Equity, Related Stockholder Matters and Issuer Purchases of Equity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common stock, par value $0.50 per share (the “Common Stock”), is traded on The NASDAQ Global Select Market under the symbol “HAS”. As of February 13, 2026, there were approximately 6,750 shareholders of record of the Company’s Common Stock.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practice has been to pay dividends on a quarterly basis. The declaration of dividends is subject to the discretion of our Board of Directors and depends on various factors, including our net income, financial condition, cash requirements, future prospects and other relevant factors.</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Issuer Repurchases of Common Stock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Purchases of the Company’s Common Stock may be made from time to time, subject to market conditions, to offset dilution caused by stock issuances related to its equity compensation program and when management believes it is a good use of cash. There were no repurchases of the Company’s Common Stock during 2025.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February 2026, the Company announced that its Board of Directors authorized the repurchase of up to $1.0 billion in Common Stock, which may be repurchased in the open market or through privately negotiated transactions. This authorization replaces and supersedes all prior approved share repurchase authorization and has no expiration date. The Company has no obligation to repurchase shares under this authorization. The timing, actual number and value of the shares that are repurchased, if any, will depend on a number of factors, including the price of the Company’s stock and the Company's generation of, and uses for,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rFonts w:ascii="Arial;sans-serif" w:hAnsi="Arial;sans-serif"/>
          <w:b/>
          <w:color w:val="000000"/>
          <w:sz w:val="20"/>
        </w:rPr>
      </w:pPr>
      <w:r>
        <w:rPr>
          <w:rFonts w:ascii="Arial;sans-serif" w:hAnsi="Arial;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pPr>
      <w:r>
        <w:rPr>
          <w:rFonts w:ascii="Arial;sans-serif" w:hAnsi="Arial;sans-serif"/>
          <w:b/>
          <w:color w:val="000000"/>
          <w:sz w:val="20"/>
        </w:rPr>
        <w:t>Item 7.    </w:t>
      </w:r>
      <w:r>
        <w:rPr>
          <w:rFonts w:ascii="Arial;sans-serif" w:hAnsi="Arial;sans-serif"/>
          <w:b/>
          <w:i/>
          <w:color w:val="000000"/>
          <w:sz w:val="20"/>
          <w:u w:val="single"/>
        </w:rPr>
        <w:t>Management’s Discussion and Analysis of Financial Condition and Results of Operations.</w:t>
      </w:r>
    </w:p>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OBJECTIVE</w:t>
      </w:r>
    </w:p>
    <w:p>
      <w:pPr>
        <w:pStyle w:val="TextBody"/>
        <w:bidi w:val="0"/>
        <w:spacing w:lineRule="auto" w:line="288" w:before="120" w:after="283"/>
        <w:jc w:val="left"/>
        <w:rPr/>
      </w:pPr>
      <w:r>
        <w:rPr>
          <w:rFonts w:ascii="Arial;sans-serif" w:hAnsi="Arial;sans-serif"/>
          <w:b w:val="false"/>
          <w:color w:val="000000"/>
          <w:sz w:val="20"/>
        </w:rPr>
        <w:t>Our objective within the following discussion is to provide an analysis of the Company’s Financial Condition, Cash Flows and Results of Operations from management's perspective, which should be read in conjunction with the Company’s audited consolidated financial statements and notes thereto, included in Part II, Item 8</w:t>
      </w:r>
      <w:r>
        <w:rPr>
          <w:rFonts w:ascii="Arial;sans-serif" w:hAnsi="Arial;sans-serif"/>
          <w:b w:val="false"/>
          <w:i/>
          <w:color w:val="000000"/>
          <w:sz w:val="20"/>
        </w:rPr>
        <w:t>. Financial Statements,</w:t>
      </w:r>
      <w:r>
        <w:rPr>
          <w:color w:val="000000"/>
        </w:rPr>
        <w:t xml:space="preserve"> </w:t>
      </w:r>
      <w:r>
        <w:rPr>
          <w:rFonts w:ascii="Arial;sans-serif" w:hAnsi="Arial;sans-serif"/>
          <w:b w:val="false"/>
          <w:color w:val="000000"/>
          <w:sz w:val="20"/>
        </w:rPr>
        <w:t>of this Annual Report on Form 10-K.</w:t>
      </w:r>
    </w:p>
    <w:p>
      <w:pPr>
        <w:pStyle w:val="TextBody"/>
        <w:bidi w:val="0"/>
        <w:spacing w:lineRule="auto" w:line="288" w:before="120" w:after="283"/>
        <w:jc w:val="left"/>
        <w:rPr/>
      </w:pPr>
      <w:r>
        <w:rPr>
          <w:rFonts w:ascii="Arial;sans-serif" w:hAnsi="Arial;sans-serif"/>
          <w:b w:val="false"/>
          <w:color w:val="000000"/>
          <w:sz w:val="20"/>
        </w:rPr>
        <w:t xml:space="preserve">This Management’s Discussion and Analysis of Financial Condition and Results of Operations contains forward-looking statements concerning the Company’s expectations and beliefs. Refer to “Statement Regarding Forward-Looking Statements” and Part I, Item 1A. </w:t>
      </w:r>
      <w:r>
        <w:rPr>
          <w:rFonts w:ascii="Arial;sans-serif" w:hAnsi="Arial;sans-serif"/>
          <w:b w:val="false"/>
          <w:i/>
          <w:color w:val="000000"/>
          <w:sz w:val="20"/>
        </w:rPr>
        <w:t>Risk Factors</w:t>
      </w:r>
      <w:r>
        <w:rPr>
          <w:rFonts w:ascii="Arial;sans-serif" w:hAnsi="Arial;sans-serif"/>
          <w:b w:val="false"/>
          <w:color w:val="000000"/>
          <w:sz w:val="20"/>
        </w:rPr>
        <w:t>, of this Form 10-K for a discussion of other uncertainties, risks and assumptions associated with these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includes a comparison of our consolidated results of operations for fiscal years 2025 and 2024. For a comparison of our consolidated results of operations for fiscal years 2024 and 2023, refer to Item 7 of Part II, “Management’s Discussion and Analysis of Financial Condition and Results of Operations”, of our Annual Report on Form 10-K for the fiscal year ended December 29, 2024, filed with the SEC on February 27, 2025. Unless otherwise specifically indicated, all dollar or share amounts herein are expressed in millions of dollars or shares, except for per share amounts.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fiscal years ended December 28, 2025 and December 29, 2024 were both fifty-two week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EXECUTIVE SUMMARY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Hasbro Inc. ("Hasbro") is a leading games, intellectual property ("IP"), and toy company whose mission is to create joy and community through the magic of play. With over 100 years of expertise, we deliver play experiences to kids, families, and fans around the world, through physical and digital games, video games, toys, licensed consumer products, location-based entertainment, film, TV and more.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generate revenue and earn cash by developing, marketing, licensing and selling products, play and entertainment experiences, based on our global brands as well as other IP in a broad variety of categories. This includes: innovative toy and gaming brands and role-playing and fantasy card collecting games; the marketing and sale of toys and games, including our owned and partner brands, through retail stores, ecommerce platforms and Hasbro PULSE, our direct-to-consumer platform; the distribution, license and sale of digital games developed both internally and through licensing out our IP to third parties, such as Baldur's Gate 3, Monopoly Go! and Magic: The Gathering Arena and other digital games; and entertainment content. Additionally, the Company generates revenue through licensing our brands to third parties for toys and games, consumer products, such as apparel and publishing, as well as for use in theme park attractions and other forms of location-based entertainment and within formats such as film and TV programming.</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Recent Developments</w: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Tariffs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Significant changes in trade policy announced by the U.S. government could adversely impact our forward-looking financial results. The Company monitors the impacts of tariffs to its business operations on an ongoing basis and may need to implement actions such as price adjustments or making changes in our supply chain sourcing strategies in order to mitigate the impact of tariffs in future periods. The impacts of tariffs may lead to reduced economic activity, increased costs, reduced demand and changes in purchasing behaviors for some or all of our products, actual or potential impairments, write-downs or unrealizability of some of our existing assets, or other economic outcomes that could have a material adverse impact on our sales volumes, prices, and our financial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result of the estimated impact of tariffs and other macroeconomic headwinds on the Company's forward-looking forecasts, in the second quarter of 2025, the Company assessed its goodwill for potential impairment, resulting in the recognition of a non-cash goodwill impairment of $1,021.9 million in the Consumer Products segment. Refer to Note 8, Goodwill and Intangible Assets, in our notes to consolidated financial statements for further details related to goodwill.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recognized approximately $44.9 million of tariff costs within Cost of sales during 2025. While the final impacts of tariffs remain uncertain, the Company continues to execute decisively against the evolving tariff backdrop.</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February 20, 2026, the U.S. Supreme Court issued a ruling against the International Emergency Economic Powers Act ("IEEPA") Tariffs that we have been paying to the U.S. government since the enactment on April 2, 2025. This could impact our results in 2026 and we are currently evaluating the accounting impacts including our ability to apply for a refund on tariffs previously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Summary of Financial Performance</w:t>
      </w:r>
    </w:p>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Results of Operations — Consolidated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consolidated results of operations for 2025 and 2024:</w:t>
      </w:r>
    </w:p>
    <w:tbl>
      <w:tblPr>
        <w:tblW w:w="10205" w:type="dxa"/>
        <w:jc w:val="left"/>
        <w:tblInd w:w="0" w:type="dxa"/>
        <w:tblLayout w:type="fixed"/>
        <w:tblCellMar>
          <w:top w:w="28" w:type="dxa"/>
          <w:left w:w="28" w:type="dxa"/>
          <w:bottom w:w="28" w:type="dxa"/>
          <w:right w:w="28" w:type="dxa"/>
        </w:tblCellMar>
      </w:tblPr>
      <w:tblGrid>
        <w:gridCol w:w="1456"/>
        <w:gridCol w:w="1200"/>
        <w:gridCol w:w="1208"/>
        <w:gridCol w:w="211"/>
        <w:gridCol w:w="811"/>
        <w:gridCol w:w="109"/>
        <w:gridCol w:w="109"/>
        <w:gridCol w:w="109"/>
        <w:gridCol w:w="109"/>
        <w:gridCol w:w="346"/>
        <w:gridCol w:w="336"/>
        <w:gridCol w:w="842"/>
        <w:gridCol w:w="109"/>
        <w:gridCol w:w="109"/>
        <w:gridCol w:w="109"/>
        <w:gridCol w:w="211"/>
        <w:gridCol w:w="811"/>
        <w:gridCol w:w="109"/>
        <w:gridCol w:w="109"/>
        <w:gridCol w:w="109"/>
        <w:gridCol w:w="109"/>
        <w:gridCol w:w="326"/>
        <w:gridCol w:w="324"/>
        <w:gridCol w:w="924"/>
      </w:tblGrid>
      <w:tr>
        <w:trPr/>
        <w:tc>
          <w:tcPr>
            <w:tcW w:w="145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864"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9"/>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r>
      <w:tr>
        <w:trPr/>
        <w:tc>
          <w:tcPr>
            <w:tcW w:w="3864"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Amount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 Net Revenues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Amount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 Net Revenues</w:t>
            </w:r>
          </w:p>
        </w:tc>
      </w:tr>
      <w:tr>
        <w:trPr/>
        <w:tc>
          <w:tcPr>
            <w:tcW w:w="3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and expenses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Program cost amortization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development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Impairment of goodwill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disposal of business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distribution and administration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99.8 </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83.3 </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profit</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expense</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earnings before income taxes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earnings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attributable to noncontrolling interests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earnings attributable to Hasbro,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earnings per common share: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Net Revenues</w:t>
      </w:r>
    </w:p>
    <w:p>
      <w:pPr>
        <w:pStyle w:val="TextBody"/>
        <w:bidi w:val="0"/>
        <w:spacing w:lineRule="auto" w:line="288" w:before="120" w:after="283"/>
        <w:jc w:val="left"/>
        <w:rPr/>
      </w:pPr>
      <w:r>
        <w:rPr>
          <w:rFonts w:ascii="Arial;sans-serif" w:hAnsi="Arial;sans-serif"/>
          <w:b w:val="false"/>
          <w:color w:val="000000"/>
          <w:sz w:val="20"/>
        </w:rPr>
        <w:t>Consolidated net revenues for the year ended December 28, 2025 increased 13.7% to $4,701.3 million from $4,135.5 million for the year ended December 29, 2024, primarily driven by growth of</w:t>
      </w:r>
      <w:r>
        <w:rPr>
          <w:color w:val="000000"/>
        </w:rPr>
        <w:t xml:space="preserve"> </w:t>
      </w:r>
      <w:r>
        <w:rPr>
          <w:rFonts w:ascii="Arial;sans-serif" w:hAnsi="Arial;sans-serif"/>
          <w:b w:val="false"/>
          <w:color w:val="000000"/>
          <w:sz w:val="20"/>
        </w:rPr>
        <w:t>$675.6 million, or 44.7%,</w:t>
      </w:r>
      <w:r>
        <w:rPr>
          <w:color w:val="000000"/>
        </w:rPr>
        <w:t xml:space="preserve"> </w:t>
      </w:r>
      <w:r>
        <w:rPr>
          <w:rFonts w:ascii="Arial;sans-serif" w:hAnsi="Arial;sans-serif"/>
          <w:b w:val="false"/>
          <w:color w:val="000000"/>
          <w:sz w:val="20"/>
        </w:rPr>
        <w:t>in the Wizards of the Coast and Digital Gaming segment. This growth was offset by a $106.3 million,</w:t>
      </w:r>
      <w:r>
        <w:rPr>
          <w:color w:val="000000"/>
        </w:rPr>
        <w:t xml:space="preserve"> </w:t>
      </w:r>
      <w:r>
        <w:rPr>
          <w:rFonts w:ascii="Arial;sans-serif" w:hAnsi="Arial;sans-serif"/>
          <w:b w:val="false"/>
          <w:color w:val="000000"/>
          <w:sz w:val="20"/>
        </w:rPr>
        <w:t xml:space="preserve">or 4.2%, decrease in the Consumer Products segment, as well as a $3.5 million, or 4.4%, decrease in the Entertainment segment. Refer to the Segment Results discussion below for further details.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net revenues expressed by brand portfolio category for 2025 and 2024:</w:t>
      </w:r>
    </w:p>
    <w:tbl>
      <w:tblPr>
        <w:tblW w:w="6080" w:type="dxa"/>
        <w:jc w:val="left"/>
        <w:tblInd w:w="0" w:type="dxa"/>
        <w:tblLayout w:type="fixed"/>
        <w:tblCellMar>
          <w:top w:w="28" w:type="dxa"/>
          <w:left w:w="28" w:type="dxa"/>
          <w:bottom w:w="28" w:type="dxa"/>
          <w:right w:w="28" w:type="dxa"/>
        </w:tblCellMar>
      </w:tblPr>
      <w:tblGrid>
        <w:gridCol w:w="569"/>
        <w:gridCol w:w="501"/>
        <w:gridCol w:w="505"/>
        <w:gridCol w:w="109"/>
        <w:gridCol w:w="109"/>
        <w:gridCol w:w="109"/>
        <w:gridCol w:w="211"/>
        <w:gridCol w:w="811"/>
        <w:gridCol w:w="109"/>
        <w:gridCol w:w="109"/>
        <w:gridCol w:w="109"/>
        <w:gridCol w:w="109"/>
        <w:gridCol w:w="211"/>
        <w:gridCol w:w="811"/>
        <w:gridCol w:w="109"/>
        <w:gridCol w:w="109"/>
        <w:gridCol w:w="109"/>
        <w:gridCol w:w="109"/>
        <w:gridCol w:w="299"/>
        <w:gridCol w:w="301"/>
        <w:gridCol w:w="662"/>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 Change</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Grow 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Optimize Brands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Reinvent 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pPr>
      <w:r>
        <w:rPr>
          <w:rFonts w:ascii="Arial;sans-serif" w:hAnsi="Arial;sans-serif"/>
          <w:b w:val="false"/>
          <w:i/>
          <w:color w:val="225CAB"/>
          <w:sz w:val="20"/>
          <w:u w:val="single"/>
        </w:rPr>
        <w:t>Grow Brands:</w:t>
      </w:r>
      <w:r>
        <w:rPr>
          <w:color w:val="000000"/>
        </w:rPr>
        <w:t xml:space="preserve"> </w:t>
      </w:r>
      <w:r>
        <w:rPr>
          <w:rFonts w:ascii="Arial;sans-serif" w:hAnsi="Arial;sans-serif"/>
          <w:b w:val="false"/>
          <w:color w:val="000000"/>
          <w:sz w:val="20"/>
        </w:rPr>
        <w:t xml:space="preserve">Our Grow Brands represent the highest margin, highest growth opportunities in categories where we see significant share and/or underlying market growth, such as MAGIC: THE GATHERING, Hasbro Gaming, PLAY-DOH, Marvel, including SPIDER-MAN and THE AVENGERS, and DUNGEONS &amp; DRAGONS. The Grow Brands portfolio net revenues increased 24.4% in 2025 as compared to 2024. The net revenue increase primarily reflects higher net revenues from MAGIC: THE GATHERING, which had a record year, increasing $641.5 million from 2024 behind Universes Beyond sets such as </w:t>
      </w:r>
      <w:r>
        <w:rPr>
          <w:rFonts w:ascii="Arial;sans-serif" w:hAnsi="Arial;sans-serif"/>
          <w:b w:val="false"/>
          <w:i/>
          <w:color w:val="000000"/>
          <w:sz w:val="20"/>
        </w:rPr>
        <w:t>Final Fantasy</w:t>
      </w:r>
      <w:r>
        <w:rPr>
          <w:rFonts w:ascii="Arial;sans-serif" w:hAnsi="Arial;sans-serif"/>
          <w:b w:val="false"/>
          <w:color w:val="000000"/>
          <w:sz w:val="20"/>
        </w:rPr>
        <w:t xml:space="preserve">, </w:t>
      </w:r>
      <w:r>
        <w:rPr>
          <w:rFonts w:ascii="Arial;sans-serif" w:hAnsi="Arial;sans-serif"/>
          <w:b w:val="false"/>
          <w:i/>
          <w:color w:val="000000"/>
          <w:sz w:val="20"/>
        </w:rPr>
        <w:t>Avatar: The Last Airbender, Marvel's Spider-Man</w:t>
      </w:r>
      <w:r>
        <w:rPr>
          <w:rFonts w:ascii="Arial;sans-serif" w:hAnsi="Arial;sans-serif"/>
          <w:b w:val="false"/>
          <w:color w:val="000000"/>
          <w:sz w:val="20"/>
        </w:rPr>
        <w:t xml:space="preserve">, and </w:t>
      </w:r>
      <w:r>
        <w:rPr>
          <w:rFonts w:ascii="Arial;sans-serif" w:hAnsi="Arial;sans-serif"/>
          <w:b w:val="false"/>
          <w:i/>
          <w:color w:val="000000"/>
          <w:sz w:val="20"/>
        </w:rPr>
        <w:t xml:space="preserve">Edges of Eternities. </w:t>
      </w:r>
      <w:r>
        <w:rPr>
          <w:rFonts w:ascii="Arial;sans-serif" w:hAnsi="Arial;sans-serif"/>
          <w:b w:val="false"/>
          <w:color w:val="000000"/>
          <w:sz w:val="20"/>
        </w:rPr>
        <w:t>Growth in MAGIC: THE GATHERING was accompanied by an increase in MONOPOLY, both in the traditional games space, as well as from increased contributions from our digital licensing arrangement with Scopely, Inc. for MONOPOLY GO!, which contributed $168.0 million of revenue in 2025 compared to $112.2 million of revenue in 2024. The net revenue increase was partially offset by revenue declines from PLAY-DOH and DUNGEONS &amp; DRAGONS.</w:t>
      </w:r>
    </w:p>
    <w:p>
      <w:pPr>
        <w:pStyle w:val="TextBody"/>
        <w:bidi w:val="0"/>
        <w:spacing w:lineRule="auto" w:line="288" w:before="120" w:after="283"/>
        <w:jc w:val="left"/>
        <w:rPr/>
      </w:pPr>
      <w:r>
        <w:rPr>
          <w:rFonts w:ascii="Arial;sans-serif" w:hAnsi="Arial;sans-serif"/>
          <w:b w:val="false"/>
          <w:i/>
          <w:color w:val="225CAB"/>
          <w:sz w:val="20"/>
          <w:u w:val="single"/>
        </w:rPr>
        <w:t>Optimize Brands:</w:t>
      </w:r>
      <w:r>
        <w:rPr>
          <w:color w:val="000000"/>
        </w:rPr>
        <w:t xml:space="preserve"> </w:t>
      </w:r>
      <w:r>
        <w:rPr>
          <w:rFonts w:ascii="Arial;sans-serif" w:hAnsi="Arial;sans-serif"/>
          <w:b w:val="false"/>
          <w:color w:val="000000"/>
          <w:sz w:val="20"/>
        </w:rPr>
        <w:t>Optimize Brands represent opportunities to maintain or grow share while improving operating profit returns, including brands such as TRANSFORMERS, PEPPA PIG, and Lucasfilms' STAR WARS. The Optimize Brands portfolio net revenues decreased 4.6% in 2025 as compared to 2024. During 2025, Optimize Brands net revenue decreases were driven by lower net revenues from the Company's products for STAR WARS, impacted by a reduced slate of entertainment releases, along with declines from PEPPA PIG and BABY ALIVE. The net revenue decrease was partially offset by continued growth in TRANSFORMERS and DUEL MASTERS.</w:t>
      </w:r>
    </w:p>
    <w:p>
      <w:pPr>
        <w:pStyle w:val="TextBody"/>
        <w:bidi w:val="0"/>
        <w:spacing w:lineRule="auto" w:line="288" w:before="120" w:after="283"/>
        <w:jc w:val="left"/>
        <w:rPr/>
      </w:pPr>
      <w:r>
        <w:rPr>
          <w:rFonts w:ascii="Arial;sans-serif" w:hAnsi="Arial;sans-serif"/>
          <w:b w:val="false"/>
          <w:i/>
          <w:color w:val="225CAB"/>
          <w:sz w:val="20"/>
          <w:u w:val="single"/>
        </w:rPr>
        <w:t>Reinvent Brands:</w:t>
      </w:r>
      <w:r>
        <w:rPr>
          <w:color w:val="000000"/>
        </w:rPr>
        <w:t xml:space="preserve"> </w:t>
      </w:r>
      <w:r>
        <w:rPr>
          <w:rFonts w:ascii="Arial;sans-serif" w:hAnsi="Arial;sans-serif"/>
          <w:b w:val="false"/>
          <w:color w:val="000000"/>
          <w:sz w:val="20"/>
        </w:rPr>
        <w:t>Reinvent Brands represent opportunities to reinvent or restructure to drive innovation and improve operating profit returns and include those brands such as NERF, BEYBLADE, PJ MASKS, POWER RANGERS, and FURBY. The Reinvent Brands net revenues decreased 13.7% in 2025 as compared to 2024 primarily driven by lower net revenues from NERF, which were partially offset by revenue contributions from BEYBLADE. In addition, Reinvent Brands net revenues were also negatively impacted by the lapping of prior year's licensing revenues for MY LITTLE PONY trading cards, which directly resulted in a decrease of $40.5 million, or 47.0%, year-over-year.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OPERATING COSTS AND EXPENSES</w:t>
      </w:r>
    </w:p>
    <w:p>
      <w:pPr>
        <w:pStyle w:val="TextBody"/>
        <w:bidi w:val="0"/>
        <w:spacing w:lineRule="auto" w:line="288" w:before="120" w:after="283"/>
        <w:jc w:val="left"/>
        <w:rPr/>
      </w:pPr>
      <w:r>
        <w:rPr>
          <w:rFonts w:ascii="Arial;sans-serif" w:hAnsi="Arial;sans-serif"/>
          <w:b/>
          <w:i/>
          <w:color w:val="225CAB"/>
          <w:sz w:val="20"/>
        </w:rPr>
        <w:t xml:space="preserve">Cost of Sales: </w:t>
      </w:r>
      <w:r>
        <w:rPr>
          <w:rFonts w:ascii="Arial;sans-serif" w:hAnsi="Arial;sans-serif"/>
          <w:b w:val="false"/>
          <w:color w:val="000000"/>
          <w:sz w:val="20"/>
        </w:rPr>
        <w:t>Cost of sales primarily consists of purchased materials, labor, manufacturing overhead and other inventory-related costs such as obsolescence. Cost of sales increased 9.9% to $1,296.2 million, or 27.6% of net revenues, for 2025 compared to $1,179.5 million, or 28.5% of net revenues, for 2024. The Cost of sales increase in dollars was driven primarily by sales volumes and a $26.7 million benefit recorded during 2024 related to a historical over-accrual of vendor commitment liabilities as discussed in Note 1, Summary of Significant Accounting Policies, in our notes to consolidated financial statements. Additionally, Cost of sales for 2025 includes $44.9 million of tariff costs. These factors were offset by supply chain productivity and cost savings initiatives.</w:t>
      </w:r>
    </w:p>
    <w:p>
      <w:pPr>
        <w:pStyle w:val="TextBody"/>
        <w:bidi w:val="0"/>
        <w:spacing w:lineRule="auto" w:line="288" w:before="120" w:after="283"/>
        <w:jc w:val="left"/>
        <w:rPr/>
      </w:pPr>
      <w:r>
        <w:rPr>
          <w:rFonts w:ascii="Arial;sans-serif" w:hAnsi="Arial;sans-serif"/>
          <w:b/>
          <w:i/>
          <w:color w:val="225CAB"/>
          <w:sz w:val="20"/>
        </w:rPr>
        <w:t xml:space="preserve">Program Cost Amortization: </w:t>
      </w:r>
      <w:r>
        <w:rPr>
          <w:rFonts w:ascii="Arial;sans-serif" w:hAnsi="Arial;sans-serif"/>
          <w:b w:val="false"/>
          <w:color w:val="000000"/>
          <w:sz w:val="20"/>
        </w:rPr>
        <w:t>Program cost amortization totaled $35.8 million, or 0.8% of net revenues in 2025, compared to $49.3 million, or 1.2% of net revenues in 2024. The majority of the Company's program costs are capitalized as incurred and amortized using the individual-film-forecast method. Program cost amortization reflects both the phasing of revenues associated with films and television programming, as well as the type of content being produced and distributed. The decrease in dollars and as a percent of net revenues during 2025 was driven by reduced content spend.</w:t>
      </w:r>
    </w:p>
    <w:p>
      <w:pPr>
        <w:pStyle w:val="TextBody"/>
        <w:bidi w:val="0"/>
        <w:spacing w:lineRule="auto" w:line="288" w:before="120" w:after="283"/>
        <w:jc w:val="left"/>
        <w:rPr/>
      </w:pPr>
      <w:r>
        <w:rPr>
          <w:rFonts w:ascii="Arial;sans-serif" w:hAnsi="Arial;sans-serif"/>
          <w:b/>
          <w:i/>
          <w:color w:val="225CAB"/>
          <w:sz w:val="20"/>
        </w:rPr>
        <w:t xml:space="preserve">Royalties: </w:t>
      </w:r>
      <w:r>
        <w:rPr>
          <w:rFonts w:ascii="Arial;sans-serif" w:hAnsi="Arial;sans-serif"/>
          <w:b w:val="false"/>
          <w:color w:val="000000"/>
          <w:sz w:val="20"/>
        </w:rPr>
        <w:t xml:space="preserve">Royalties totaled $368.9 million, or 7.8% of net revenues, in 2025 compared to $284.2 million, or 6.9% of net revenues, in 2024. Fluctuations in royalty expense generally relate to the volume of entertainment-driven products sold in a given period, especially if the Company is selling product tied to one or more major motion picture releases in the period, as well as product mix for our toy, game, and trading card products that utilize partner IP. The increase in Royalties in dollars and as a percent of net revenues during 2025 directly reflects the impact of increased sales relating to MAGIC: THE GATHERING Universes Beyond sets, such as </w:t>
      </w:r>
      <w:r>
        <w:rPr>
          <w:rFonts w:ascii="Arial;sans-serif" w:hAnsi="Arial;sans-serif"/>
          <w:b w:val="false"/>
          <w:i/>
          <w:color w:val="000000"/>
          <w:sz w:val="20"/>
        </w:rPr>
        <w:t>Final Fantasy, Avatar: The Last Airbender</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Marvel's Spider-Man</w:t>
      </w:r>
      <w:r>
        <w:rPr>
          <w:rFonts w:ascii="Arial;sans-serif" w:hAnsi="Arial;sans-serif"/>
          <w:b w:val="false"/>
          <w:color w:val="000000"/>
          <w:sz w:val="20"/>
        </w:rPr>
        <w:t>, for which the Company is obligated to pay a royalty.</w:t>
      </w:r>
    </w:p>
    <w:p>
      <w:pPr>
        <w:pStyle w:val="TextBody"/>
        <w:bidi w:val="0"/>
        <w:spacing w:lineRule="auto" w:line="288" w:before="120" w:after="283"/>
        <w:jc w:val="left"/>
        <w:rPr/>
      </w:pPr>
      <w:r>
        <w:rPr>
          <w:rFonts w:ascii="Arial;sans-serif" w:hAnsi="Arial;sans-serif"/>
          <w:b/>
          <w:i/>
          <w:color w:val="225CAB"/>
          <w:sz w:val="20"/>
        </w:rPr>
        <w:t xml:space="preserve">Product Development: </w:t>
      </w:r>
      <w:r>
        <w:rPr>
          <w:rFonts w:ascii="Arial;sans-serif" w:hAnsi="Arial;sans-serif"/>
          <w:b w:val="false"/>
          <w:color w:val="000000"/>
          <w:sz w:val="20"/>
        </w:rPr>
        <w:t>Product development expense in 2025 totaled $385.6 million, or 8.2% of net revenues, compared to $294.1 million, or 7.1% of net revenues, in 2024. Product development expenditures reflect the Company’s investment in innovation and anticipated growth across our brand portfolio. The increase in Product development expense during 2025 was driven by incremental investments in the development of digital game titles that have not yet met technological feasibility.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pPr>
      <w:r>
        <w:rPr>
          <w:rFonts w:ascii="Arial;sans-serif" w:hAnsi="Arial;sans-serif"/>
          <w:b/>
          <w:i/>
          <w:color w:val="225CAB"/>
          <w:sz w:val="20"/>
        </w:rPr>
        <w:t xml:space="preserve">Advertising: </w:t>
      </w:r>
      <w:r>
        <w:rPr>
          <w:rFonts w:ascii="Arial;sans-serif" w:hAnsi="Arial;sans-serif"/>
          <w:b w:val="false"/>
          <w:color w:val="000000"/>
          <w:sz w:val="20"/>
        </w:rPr>
        <w:t>Advertising expense in 2025 totaled $316.9 million, or 6.7% of net revenues, compared to $319.5 million or 7.7% of net revenues in 2024. The level of the Company’s advertising expense is generally impacted by revenue mix, as well as the amount and type of theatrical releases and television programming delivered. The Advertising expense decrease during 2025 was primarily driven by the Consumer Products segment, which decreased $30.3 million</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as the Company sought measures to reduce variable expenses to offset the operating profit impact of tariffs. The reduction in Consumer Products spend was offset by additional spend necessary to support top line growth opportunities within the Grow Brands category, specifically an increase of $28.8 million within the Wizards of the Coast and Digital Gaming segment.</w:t>
      </w:r>
    </w:p>
    <w:p>
      <w:pPr>
        <w:pStyle w:val="TextBody"/>
        <w:bidi w:val="0"/>
        <w:spacing w:lineRule="auto" w:line="288" w:before="120" w:after="283"/>
        <w:jc w:val="left"/>
        <w:rPr/>
      </w:pPr>
      <w:r>
        <w:rPr>
          <w:rFonts w:ascii="Arial;sans-serif" w:hAnsi="Arial;sans-serif"/>
          <w:b/>
          <w:i/>
          <w:color w:val="225CAB"/>
          <w:sz w:val="20"/>
        </w:rPr>
        <w:t xml:space="preserve">Amortization of Intangible Assets: </w:t>
      </w:r>
      <w:r>
        <w:rPr>
          <w:rFonts w:ascii="Arial;sans-serif" w:hAnsi="Arial;sans-serif"/>
          <w:b w:val="false"/>
          <w:color w:val="000000"/>
          <w:sz w:val="20"/>
        </w:rPr>
        <w:t>Amortization of intangible assets remained relatively flat at $66.0 million, or 1.4% of net revenues, in 2025 compared to $68.3 million, or 1.7% of net revenues, in 2024. The amortization expense was driven by the straight-line amortization of the Company's remaining definite-lived intangible assets.</w:t>
      </w:r>
    </w:p>
    <w:p>
      <w:pPr>
        <w:pStyle w:val="TextBody"/>
        <w:bidi w:val="0"/>
        <w:spacing w:lineRule="auto" w:line="288" w:before="120" w:after="283"/>
        <w:jc w:val="left"/>
        <w:rPr/>
      </w:pPr>
      <w:r>
        <w:rPr>
          <w:rFonts w:ascii="Arial;sans-serif" w:hAnsi="Arial;sans-serif"/>
          <w:b/>
          <w:i/>
          <w:color w:val="225CAB"/>
          <w:sz w:val="20"/>
        </w:rPr>
        <w:t xml:space="preserve">Impairment of Goodwill: </w:t>
      </w:r>
      <w:r>
        <w:rPr>
          <w:rFonts w:ascii="Arial;sans-serif" w:hAnsi="Arial;sans-serif"/>
          <w:b w:val="false"/>
          <w:color w:val="000000"/>
          <w:sz w:val="20"/>
        </w:rPr>
        <w:t>During 2025, the Company recorded a $1,021.9 million non-cash goodwill impairment charge associated with goodwill assigned to reporting units within the Company's Consumer Products segment. There were no goodwill impairment charges during 2024. Refer to Note 8, Goodwill and Intangible Assets, in our notes to consolidated financial statements for further details.</w:t>
      </w:r>
    </w:p>
    <w:p>
      <w:pPr>
        <w:pStyle w:val="TextBody"/>
        <w:bidi w:val="0"/>
        <w:spacing w:lineRule="auto" w:line="288" w:before="120" w:after="283"/>
        <w:jc w:val="left"/>
        <w:rPr/>
      </w:pPr>
      <w:r>
        <w:rPr>
          <w:rFonts w:ascii="Arial;sans-serif" w:hAnsi="Arial;sans-serif"/>
          <w:b/>
          <w:i/>
          <w:color w:val="225CAB"/>
          <w:sz w:val="20"/>
        </w:rPr>
        <w:t xml:space="preserve">Loss on Disposal of Business: </w:t>
      </w:r>
      <w:r>
        <w:rPr>
          <w:rFonts w:ascii="Arial;sans-serif" w:hAnsi="Arial;sans-serif"/>
          <w:b w:val="false"/>
          <w:color w:val="000000"/>
          <w:sz w:val="20"/>
        </w:rPr>
        <w:t>Loss on disposal of business decreased to $25.0 million, or 0.5% of net revenues, in 2025 compared to $37.4 million, or 0.9% of net revenues, in 2024. The Loss on disposal of business for both periods represents the loss recognized associated with the divestiture of the Company's non-core film and TV business (the "eOne Film and TV business") within the Entertainment segment. Refer to Note 3, Sale of Entertainment One Film and TV Business, in our notes to consolidated financial statements for additional information on the sale of the eOne Film and TV business.</w:t>
      </w:r>
    </w:p>
    <w:p>
      <w:pPr>
        <w:pStyle w:val="TextBody"/>
        <w:bidi w:val="0"/>
        <w:spacing w:lineRule="auto" w:line="288" w:before="120" w:after="283"/>
        <w:jc w:val="left"/>
        <w:rPr/>
      </w:pPr>
      <w:r>
        <w:rPr>
          <w:rFonts w:ascii="Arial;sans-serif" w:hAnsi="Arial;sans-serif"/>
          <w:b/>
          <w:i/>
          <w:color w:val="225CAB"/>
          <w:sz w:val="20"/>
        </w:rPr>
        <w:t xml:space="preserve">Selling, Distribution and Administration Expenses: </w:t>
      </w:r>
      <w:r>
        <w:rPr>
          <w:rFonts w:ascii="Arial;sans-serif" w:hAnsi="Arial;sans-serif"/>
          <w:b w:val="false"/>
          <w:color w:val="000000"/>
          <w:sz w:val="20"/>
        </w:rPr>
        <w:t>Selling, distribution and administration expenses decreased to $1,173.9 million, or 25.0% of net revenues in 2025, from $1,213.2 million, or 29.3% of net revenues, in 2024. The decrease in Selling, distribution and administration expenses during 2025 compared to 2024 primarily reflects lower administrative expenses due to cost savings initiatives, along with a non-recurring $31.1 million expense related to historical environmental exposures recorded during 2024, partially offset by a non-recurring stock-compensation adjustment of $18.1 million recorded during 2024, as discussed in Note 1, Summary of Significant Accounting Policies, in our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NON-OPERATING EXPENSE</w:t>
      </w:r>
    </w:p>
    <w:p>
      <w:pPr>
        <w:pStyle w:val="TextBody"/>
        <w:bidi w:val="0"/>
        <w:spacing w:lineRule="auto" w:line="288" w:before="120" w:after="283"/>
        <w:jc w:val="left"/>
        <w:rPr/>
      </w:pPr>
      <w:r>
        <w:rPr>
          <w:rFonts w:ascii="Arial;sans-serif" w:hAnsi="Arial;sans-serif"/>
          <w:b/>
          <w:i/>
          <w:color w:val="225CAB"/>
          <w:sz w:val="20"/>
        </w:rPr>
        <w:t xml:space="preserve">Interest Expense: </w:t>
      </w:r>
      <w:r>
        <w:rPr>
          <w:rFonts w:ascii="Arial;sans-serif" w:hAnsi="Arial;sans-serif"/>
          <w:b w:val="false"/>
          <w:color w:val="000000"/>
          <w:sz w:val="20"/>
        </w:rPr>
        <w:t>Interest expense totaled $163.4 million in 2025 compared to $171.2 million in 2024. The decrease in Interest expense in 2025 primarily reflects lower average outstanding borrowings in 2025 as compared to 2024. These decreases were partially offset by a higher average interest rate on the outstanding borrowings.</w:t>
      </w:r>
    </w:p>
    <w:p>
      <w:pPr>
        <w:pStyle w:val="TextBody"/>
        <w:bidi w:val="0"/>
        <w:spacing w:lineRule="auto" w:line="288" w:before="120" w:after="283"/>
        <w:jc w:val="left"/>
        <w:rPr/>
      </w:pPr>
      <w:r>
        <w:rPr>
          <w:rFonts w:ascii="Arial;sans-serif" w:hAnsi="Arial;sans-serif"/>
          <w:b/>
          <w:i/>
          <w:color w:val="225CAB"/>
          <w:sz w:val="20"/>
        </w:rPr>
        <w:t xml:space="preserve">Interest Income: </w:t>
      </w:r>
      <w:r>
        <w:rPr>
          <w:rFonts w:ascii="Arial;sans-serif" w:hAnsi="Arial;sans-serif"/>
          <w:b w:val="false"/>
          <w:color w:val="000000"/>
          <w:sz w:val="20"/>
        </w:rPr>
        <w:t>Interest income was $28.6 million in 2025 compared to $47.3 million in 2024. Lower Interest income in 2025 primarily reflects earnings on the Company's investments in U.S. Treasury bills, which were substantially higher in 2024 when compared to 2025.</w:t>
      </w:r>
    </w:p>
    <w:p>
      <w:pPr>
        <w:pStyle w:val="TextBody"/>
        <w:bidi w:val="0"/>
        <w:spacing w:lineRule="auto" w:line="288" w:before="120" w:after="283"/>
        <w:jc w:val="left"/>
        <w:rPr/>
      </w:pPr>
      <w:r>
        <w:rPr>
          <w:rFonts w:ascii="Arial;sans-serif" w:hAnsi="Arial;sans-serif"/>
          <w:b/>
          <w:i/>
          <w:color w:val="225CAB"/>
          <w:sz w:val="20"/>
        </w:rPr>
        <w:t xml:space="preserve">Other (income) expense, Net: </w:t>
      </w:r>
      <w:r>
        <w:rPr>
          <w:rFonts w:ascii="Arial;sans-serif" w:hAnsi="Arial;sans-serif"/>
          <w:b w:val="false"/>
          <w:color w:val="000000"/>
          <w:sz w:val="20"/>
        </w:rPr>
        <w:t>Other income, net was $21.7 million in 2025 compared to other expense of $69.1 million in 2024. Other (income) expense, net in 2024 was impacted by an impairment loss of $78.2 million related to our joint venture investment in the Discovery Family Channel as discussed in Note 9, Equity Method Investment, in our notes to consolidated financial statements. The remainder of the change in Other (income) expense, net was primarily driven by foreign currency exchange gains and losses experienced during 2025 as compared to those experienced during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Income tax expense totaled $216.2 million on pre-tax loss of $102.0 million during 2025 compared to income tax expense of $102.6 million on pre-tax income of $497.0 million during 2024. Both periods were impacted by discrete tax events. During 2025, the Company recorded a non-cash goodwill impairment within the Consumer Products segment of $1,021.9 million with an associated tax benefit of $5.4 million and an unfavorable adjustment to Loss on disposal of the eOne Film and TV business of $25.0 million with no associated tax benefit. For 2024, the Company had a $37.4 million unfavorable adjustment to Loss on disposal of the eOne Film and TV business with no associated tax benefit.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effective tax rates for 2025 and 2024 were (212.1)% and 20.7%, respectively. The change in the effective rate from 2024 to 2025 is primarily driven by the non-cash impairment of goodwill with no material tax benefit.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Exclusive of the impairment of goodwill and the unfavorable adjustment to the Loss on disposal of the eOne Film and TV business, the Company recorded a net discrete tax expense of $2.3 million compared to a net discrete tax benefit of $13.1 million during 2024. The net discrete tax expense recorded in 2025 is primarily associated with net valuation allowances recorded during the year. The net discrete tax benefit recorded in 2024 is primarily associated with a benefit from the release of uncertain tax positions for certain statute of limitation expirations, and favorable return to provision adjustments.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previously considered the earnings in our non-U.S. subsidiaries to be indefinitely reinvested and, accordingly, recorded no deferred income taxes. The Company still has significant cash needs outside the United States and continues to consistently monitor and analyze its global working capital and cash requirements. However, we intend to repatriate substantially all of our accumulated foreign earnings when appropriate. As of December 28, 2025, we have recorded $5.3 million of foreign withholding and U.S. state income tax liability. The Company will continue to record additional tax effects, if any, in the period that the ongoing distribution analysis is completed and is able to make reasonable estimates.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subject to income and other taxes in the U.S. (federal and state) and foreign jurisdictions. Changes to these laws or regulations may impact our tax liabilities. On July 4, 2025, the One Big Beautiful Bill Act ("OBBBA") was signed into law with certain provisions effective in 2025 and other provisions becoming effective in 2026. The OBBBA provisions include the restoration of full expensing for domestic research and development expenses, reinstatement of accelerated depreciation on qualified capital expenditures, and modifications to the international tax framework, among other items. The OBBBA also provides for an election to accelerate the deduction of the remaining unamortized domestic research and development expenses capitalized previously. For fiscal year 2025, the primary impact of the OBBBA to the Company was the accelerated expensing of domestic research and development costs which decreased our income eligible for foreign-derived intangible income ("FDII"), reduced our deferred tax assets, and reduced our current income tax liability. Other OBBBA changes did not have a material impact on the Company's consolidated financial statements in the current year, we are assessing the impact of OBBBA on the consolidated financial statements for future periods.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global company, we review changes in all global tax laws. In 2025 and 2024 no changes, other than those discussed above, materially impacted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SEGMENT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summary that follows provides a discussion of the results of operations of our segments: Wizards of the Coast &amp; Digital Gaming, Consumer Products and Entertainment. Corporate and Other, which does not meet the criteria to be an operating segment, provides management and administrative services to the Company's principal reporting segments and consists of unallocated corporate expenses and administrative costs and activities not considered when evaluating segment performance as well as certain assets benefiting more than one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net external revenues and operating profit (loss) for the Company's reportable segments for 2025 and 2024:</w:t>
      </w:r>
    </w:p>
    <w:tbl>
      <w:tblPr>
        <w:tblW w:w="7837" w:type="dxa"/>
        <w:jc w:val="left"/>
        <w:tblInd w:w="0" w:type="dxa"/>
        <w:tblLayout w:type="fixed"/>
        <w:tblCellMar>
          <w:top w:w="28" w:type="dxa"/>
          <w:left w:w="28" w:type="dxa"/>
          <w:bottom w:w="28" w:type="dxa"/>
          <w:right w:w="28" w:type="dxa"/>
        </w:tblCellMar>
      </w:tblPr>
      <w:tblGrid>
        <w:gridCol w:w="1327"/>
        <w:gridCol w:w="1162"/>
        <w:gridCol w:w="1170"/>
        <w:gridCol w:w="211"/>
        <w:gridCol w:w="811"/>
        <w:gridCol w:w="109"/>
        <w:gridCol w:w="109"/>
        <w:gridCol w:w="109"/>
        <w:gridCol w:w="109"/>
        <w:gridCol w:w="211"/>
        <w:gridCol w:w="811"/>
        <w:gridCol w:w="109"/>
        <w:gridCol w:w="109"/>
        <w:gridCol w:w="109"/>
        <w:gridCol w:w="109"/>
        <w:gridCol w:w="299"/>
        <w:gridCol w:w="301"/>
        <w:gridCol w:w="662"/>
      </w:tblGrid>
      <w:tr>
        <w:trPr/>
        <w:tc>
          <w:tcPr>
            <w:tcW w:w="132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 Change</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Net revenues: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Wizards of the Coast and Digital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Consumer Products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Entertainment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Operating profit (loss):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Wizards of the Coast and Digital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Consumer Products</w:t>
            </w:r>
            <w:r>
              <w:rPr>
                <w:rFonts w:ascii="Arial;sans-serif" w:hAnsi="Arial;sans-serif"/>
                <w:b w:val="false"/>
                <w:color w:val="000000"/>
                <w:sz w:val="13"/>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Entertainment</w:t>
            </w:r>
            <w:r>
              <w:rPr>
                <w:rFonts w:ascii="Arial;sans-serif" w:hAnsi="Arial;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profit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 Change is not meaningful ("NM") for these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Wizards of the Coast and Digital Gaming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Wizards of the Coast and Digital Gaming segment net revenues by category for 2025 and 2024:</w:t>
      </w:r>
    </w:p>
    <w:tbl>
      <w:tblPr>
        <w:tblW w:w="6729" w:type="dxa"/>
        <w:jc w:val="left"/>
        <w:tblInd w:w="0" w:type="dxa"/>
        <w:tblLayout w:type="fixed"/>
        <w:tblCellMar>
          <w:top w:w="28" w:type="dxa"/>
          <w:left w:w="28" w:type="dxa"/>
          <w:bottom w:w="28" w:type="dxa"/>
          <w:right w:w="28" w:type="dxa"/>
        </w:tblCellMar>
      </w:tblPr>
      <w:tblGrid>
        <w:gridCol w:w="944"/>
        <w:gridCol w:w="830"/>
        <w:gridCol w:w="836"/>
        <w:gridCol w:w="211"/>
        <w:gridCol w:w="811"/>
        <w:gridCol w:w="109"/>
        <w:gridCol w:w="109"/>
        <w:gridCol w:w="109"/>
        <w:gridCol w:w="109"/>
        <w:gridCol w:w="211"/>
        <w:gridCol w:w="811"/>
        <w:gridCol w:w="109"/>
        <w:gridCol w:w="109"/>
        <w:gridCol w:w="109"/>
        <w:gridCol w:w="109"/>
        <w:gridCol w:w="270"/>
        <w:gridCol w:w="271"/>
        <w:gridCol w:w="662"/>
      </w:tblGrid>
      <w:tr>
        <w:trPr/>
        <w:tc>
          <w:tcPr>
            <w:tcW w:w="94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 Change</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Tabletop Gaming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and Licensed Gaming</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jc w:val="left"/>
        <w:rPr/>
      </w:pPr>
      <w:r>
        <w:rPr>
          <w:rFonts w:ascii="Arial;sans-serif" w:hAnsi="Arial;sans-serif"/>
          <w:b w:val="false"/>
          <w:color w:val="000000"/>
          <w:sz w:val="20"/>
        </w:rPr>
        <w:t xml:space="preserve">Wizards of the Coast and Digital Gaming segment net revenues increased 44.7% in 2025 compared to 2024. Tabletop Gaming revenue increased 62.2% behind growth of $638.2 million in MAGIC: THE GATHERING, primarily due to strong demand for Universes Beyond sets such as </w:t>
      </w:r>
      <w:r>
        <w:rPr>
          <w:rFonts w:ascii="Arial;sans-serif" w:hAnsi="Arial;sans-serif"/>
          <w:b w:val="false"/>
          <w:i/>
          <w:color w:val="000000"/>
          <w:sz w:val="20"/>
        </w:rPr>
        <w:t xml:space="preserve">Final Fantasy, Marvel's Spider-Man, </w:t>
      </w:r>
      <w:r>
        <w:rPr>
          <w:rFonts w:ascii="Arial;sans-serif" w:hAnsi="Arial;sans-serif"/>
          <w:b w:val="false"/>
          <w:color w:val="000000"/>
          <w:sz w:val="20"/>
        </w:rPr>
        <w:t xml:space="preserve">and </w:t>
      </w:r>
      <w:r>
        <w:rPr>
          <w:rFonts w:ascii="Arial;sans-serif" w:hAnsi="Arial;sans-serif"/>
          <w:b w:val="false"/>
          <w:i/>
          <w:color w:val="000000"/>
          <w:sz w:val="20"/>
        </w:rPr>
        <w:t xml:space="preserve">Avatar: The Last Airbender </w:t>
      </w:r>
      <w:r>
        <w:rPr>
          <w:rFonts w:ascii="Arial;sans-serif" w:hAnsi="Arial;sans-serif"/>
          <w:b w:val="false"/>
          <w:color w:val="000000"/>
          <w:sz w:val="20"/>
        </w:rPr>
        <w:t>as well as various backlist titles. Digital and Licensed Gaming increased 6.1% due to strong results for MONOPOLY GO!, which contributed $168.0 million of revenue in 2025 compared to $112.2 million of revenue in 2024.</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Wizards of the Coast and Digital Gaming segment operating profit increased $374.8 million to $1,006.8 million in 2025, compared to $632.0 million in 2024. The increase in operating profit in dollars is directly attributable to the revenue growth as discussed above. Segment operating profit margin increased to 46.0% in 2025 from 41.8% in 2024, primarily driven by increased net revenue and product mix in 2025 as compared to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Consumer Products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Consumer Products segment net revenues by major geographic region for 2025 and 2024:</w:t>
      </w:r>
    </w:p>
    <w:tbl>
      <w:tblPr>
        <w:tblW w:w="5542" w:type="dxa"/>
        <w:jc w:val="left"/>
        <w:tblInd w:w="0" w:type="dxa"/>
        <w:tblLayout w:type="fixed"/>
        <w:tblCellMar>
          <w:top w:w="28" w:type="dxa"/>
          <w:left w:w="28" w:type="dxa"/>
          <w:bottom w:w="28" w:type="dxa"/>
          <w:right w:w="28" w:type="dxa"/>
        </w:tblCellMar>
      </w:tblPr>
      <w:tblGrid>
        <w:gridCol w:w="493"/>
        <w:gridCol w:w="435"/>
        <w:gridCol w:w="436"/>
        <w:gridCol w:w="211"/>
        <w:gridCol w:w="811"/>
        <w:gridCol w:w="109"/>
        <w:gridCol w:w="109"/>
        <w:gridCol w:w="109"/>
        <w:gridCol w:w="109"/>
        <w:gridCol w:w="211"/>
        <w:gridCol w:w="811"/>
        <w:gridCol w:w="109"/>
        <w:gridCol w:w="109"/>
        <w:gridCol w:w="109"/>
        <w:gridCol w:w="109"/>
        <w:gridCol w:w="299"/>
        <w:gridCol w:w="301"/>
        <w:gridCol w:w="662"/>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 Change</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Consumer Products segment net revenues decreased 4.2% in 2025 compared to 2024 primarily driven by reduced sales volumes, which was impacted by broader industry trends and tariff-related impacts to North America, partially offset by strong performance in Europe. While the Company had growth in brands such as BEYBLADE, MARVEL, MONOPOLY, and TRANSFORMERS, the growth was more than offset by lower net revenue for brands such as NERF, MY LITTLE PONY, and PLAY-DOH. The decline associated with MY LITTLE PONY was attributed to the lapping of 2024 licensing revenue related to MY LITTLE PONY trading cards, which resulted in a decrease of $40.5 million, or 47.0%, year-over-year.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Consumer Products segment operating results decreased $1,057.9 million to an operating loss of $942.6 million in 2025, compared to operating profit of $115.3 million in 2024. Operating profit margin decreased to (38.7)% of net revenues in 2025 from an operating margin of 4.5% of net revenues in 2024. The decrease in operating profit in 2025 in both dollars and percent was driven by the declines in revenue, discussed above, a non-cash goodwill impairment charge of $1,021.9 million recorded in 2025, and approximately $44.9 million of tariff costs recognized in Cost of sales. The declines were partially offset by savings realized from the Company's cost savings and transformation initiatives. Refer to Note 8, Goodwill and Intangible Assets, in our notes to consolidated financial statements for further details related to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Entertainment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Entertainment segment net revenues by category for 2025 and 2024:</w:t>
      </w:r>
    </w:p>
    <w:tbl>
      <w:tblPr>
        <w:tblW w:w="4959" w:type="dxa"/>
        <w:jc w:val="left"/>
        <w:tblInd w:w="0" w:type="dxa"/>
        <w:tblLayout w:type="fixed"/>
        <w:tblCellMar>
          <w:top w:w="28" w:type="dxa"/>
          <w:left w:w="28" w:type="dxa"/>
          <w:bottom w:w="28" w:type="dxa"/>
          <w:right w:w="28" w:type="dxa"/>
        </w:tblCellMar>
      </w:tblPr>
      <w:tblGrid>
        <w:gridCol w:w="499"/>
        <w:gridCol w:w="439"/>
        <w:gridCol w:w="442"/>
        <w:gridCol w:w="211"/>
        <w:gridCol w:w="541"/>
        <w:gridCol w:w="109"/>
        <w:gridCol w:w="109"/>
        <w:gridCol w:w="109"/>
        <w:gridCol w:w="109"/>
        <w:gridCol w:w="211"/>
        <w:gridCol w:w="541"/>
        <w:gridCol w:w="109"/>
        <w:gridCol w:w="109"/>
        <w:gridCol w:w="109"/>
        <w:gridCol w:w="109"/>
        <w:gridCol w:w="270"/>
        <w:gridCol w:w="271"/>
        <w:gridCol w:w="662"/>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 Change</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Family Brands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Film and TV</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Entertainment segment net revenues decreased 4.4% in 2025 compared to 2024, primarily driven by the timing of entertainment streaming renewals.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Entertainment segment operating profit increased to $0.4 million, compared to an operating loss of $1.6 million in 2024. The increase in Entertainment segment operating results was driven by a decrease of $12.4 million in Loss on disposal of business related to the sale of the eOne Film and TV business in 2025 as compared to 2024. Refer to Note 3, Sale of Entertainment One Film and TV Business, to the notes to consolidated financial statements for further details. The favorability was offset by lower segment net revenues due the timing of entertainment streaming renewals and a decrease of $16.2 million in royalty income allocated to the Entertainment segment driven by the decrease in sales volumes within the Consumer Products segment, partially offset by $13.5 million of lower program cost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Corporate and Other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Corporate and Other, the operating losses were $53.5 million in 2025 compared to operating losses of $55.7 million in 2024. Operating losses in 2025 were lower than 2024, primarily due to net realized cost savings initiatives more than offsetting three prior period non-recurring adjustments recorded during 2024 that provided a combined income statement benefit of approximately $13.7 million. Refer to Note 1, Summary of Significant Accounting Policies, to the notes to consolidated financial statements for further details on the non-recurring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Critical Accounting Policies and Significant Estimates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information available. These estimates and assumptions affect the reported amounts of assets and liabilities at the date of the consolidated financial statements and the reported amounts of revenues and expenses for the periods presented. The critical accounting policies which management believes are the most critical to aid in fully understanding and evaluating the Company’s reported financial results include the recoverability of goodwill and intangible assets and income taxes.</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Recoverability of Goodwill and Intangible Assets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Goodwill and other intangible assets include the cost of the acquired business in excess of the fair value of the tangible net assets recorded in connection with each acquisition. We assess goodwill and other intangible assets with indefinite lives for impairment each year, or more frequently if events or changes in circumstances indicate an asset may be impaired. For goodwill and indefinite-lived intangible assets, our policy is to assess for impairment as of the beginning of each fiscal fourth quarter. The Company may perform a qualitative assessment and bypass the quantitative impairment testing process, if it is not more likely than not that the carrying value of a reporting unit exceeds its fair value. For other intangible assets with definite lives, we assess for impairment only if events occur that indicate that the carrying amount of an asset may not be recoverable.</w:t>
      </w:r>
    </w:p>
    <w:p>
      <w:pPr>
        <w:pStyle w:val="TextBody"/>
        <w:bidi w:val="0"/>
        <w:spacing w:lineRule="auto" w:line="288" w:before="120" w:after="283"/>
        <w:jc w:val="left"/>
        <w:rPr/>
      </w:pPr>
      <w:r>
        <w:rPr>
          <w:rFonts w:ascii="Arial;sans-serif" w:hAnsi="Arial;sans-serif"/>
          <w:b w:val="false"/>
          <w:color w:val="000000"/>
          <w:sz w:val="20"/>
        </w:rPr>
        <w:t>The quantitative test of goodwill for impairment requires us to estimate the fair value of our reporting units. We test goodwill at the reporting unit level, which we define as one level below the operating segment. Our reporting units are aligned with our product lines that are separately managed and reviewed. As a result of the estimated impact of tariffs and other macroeconomic headwinds on the Company's forward-looking forecasts, in the second quarter of 2025, we performed a quantitative impairment test for certain of our reporting units within the Consumer Products and Entertainment segments. The reporting units within the Consumer Products segment subject to the quantitative test included North America, Europe, Asia Pacific, and Latin America, as well as the Family Brands reporting unit within the Entertainment segment. We have concluded that the North America, Europe, Asia Pacific, and Latin America reporting units have similar economic characteristics and should be aggregated for purposes of testing goodwill for impairment. Our conclusion was based on a detailed analysis of the aggregation criteria set forth in the Financial Accounting Standards Board ("FASB") Accounting Standard Codification ("ASC") Topic 280,</w:t>
      </w:r>
      <w:r>
        <w:rPr>
          <w:color w:val="000000"/>
        </w:rPr>
        <w:t xml:space="preserve"> </w:t>
      </w:r>
      <w:r>
        <w:rPr>
          <w:rFonts w:ascii="Arial;sans-serif" w:hAnsi="Arial;sans-serif"/>
          <w:b w:val="false"/>
          <w:i/>
          <w:color w:val="000000"/>
          <w:sz w:val="20"/>
        </w:rPr>
        <w:t>Segment Reporting</w:t>
      </w:r>
      <w:r>
        <w:rPr>
          <w:rFonts w:ascii="Arial;sans-serif" w:hAnsi="Arial;sans-serif"/>
          <w:b w:val="false"/>
          <w:color w:val="000000"/>
          <w:sz w:val="20"/>
        </w:rPr>
        <w:t xml:space="preserve">, and in FASB ASC Topic 350, </w:t>
      </w:r>
      <w:r>
        <w:rPr>
          <w:rFonts w:ascii="Arial;sans-serif" w:hAnsi="Arial;sans-serif"/>
          <w:b w:val="false"/>
          <w:i/>
          <w:color w:val="000000"/>
          <w:sz w:val="20"/>
        </w:rPr>
        <w:t>Intangibles - Goodwill and Other</w:t>
      </w:r>
      <w:r>
        <w:rPr>
          <w:rFonts w:ascii="Arial;sans-serif" w:hAnsi="Arial;sans-serif"/>
          <w:b w:val="false"/>
          <w:color w:val="000000"/>
          <w:sz w:val="20"/>
        </w:rPr>
        <w:t>. These reporting units serve similar clients and have similar products, including similar sourcing and distribution methods and they have similar economic characteristics.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determined that the carrying values of our regional Consumer Products reporting units, when aggregated during the second quarter of 2025 based upon similar economic characteristics, exceeded their respective fair values and recorded aggregate pre-tax non-cash impairment charges of $1,021.9 million. Specifically, the fair values of North America and Europe reporting units were determined considering a discounted cash flow model which is primarily based on management’s future revenue and cost estimates, which included the estimated impact of tariff policies in effect and the related macroeconomic environment, and discount rate. The fair values of the Asia Pacific and Latin America reporting units were determined considering a discounted cash flow model weighted equally with the market approach which is primarily based on multiples of comparable public companies.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fair value of our Family Brands reporting unit, within the Entertainment segment, exceeded the carrying value of that reporting unit by approximately 15%. As of December 28, 2025, $325.2 million of goodwill is allocated to the Family Brands reporting unit. The fair value of the Family Brands reporting unit was determined considering a discounted cash flow model weighted equally with the market approach which is primarily based on multiples of comparable public companies. Management closely monitors the operating results of all reporting units in addition to macroeconomic conditions and trade policy developments. Further volatility of trade, geopolitical tensions, or negative global economic developments could cause significant further decreases in the operating results of our reporting units, which may result in a recognition of a goodwill impairment that could be material to the consolidated financial statements in future periods.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Critical assumptions used in the determination of the reporting units’ fair value included management’s estimated future revenue growth rates, estimated future margins, and discount rate. Estimated future revenue growth and margins are based on management’s best estimate about current and future conditions. During the second quarter of 2025, the regional consumer products reporting units included discount rates ranging from 10.5% to 14.0% and a terminal value revenue growth rate of 3.0%. Additionally, the forecasted growth in operating profit margins towards the terminal value operating profit is aligned with industry averages. For the Family Brands reporting unit, critical assumptions included a discount rate approximating 9.5%, a terminal value revenue growth rate of 3.0%, and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terminal operating profit margin consistent with levels achieved in recent historical periods when excluding one-time impairment and disposal charges. Although we believe the assumptions and estimates made were reasonable and appropriate, these estimates are based on a number of factors including historical experience and information obtained from reporting unit management. Actual results could differ from these estimates, especially given uncertainty related to tariffs, global trade policy, and global macroeconomic conditions. We determined the discount rate using our weighted average cost of capital adjusted for risk factors specific to the reporting unit, with comparison to market and industry data.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Further, during the second quarter of 2025, we proceeded to perform sensitivities in our impairment testing of the Family Brands reporting unit by (i) increasing the discount rate 250 basis points, (ii) decreasing the expected long-term growth rate 750 basis points, (iii) decreasing the annual revenue projections 400 basis points, and (iv) decreasing projected gross margins 1,000 basis points. None of these sensitivities individually would have resulted in a conclusion that the goodwill in our Family Brands reporting unit was impaired.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annual fiscal year 2025 assessment for impairment of goodwill, with respect to each of its reporting units, was performed using a qualitative approach to determine whether it was more likely than not that the fair value of goodwill was less than its carrying value. In performing the qualitative assessment, we identified and considered the significance of relevant key factors, events, and circumstances that affect the fair value of goodwill. These factors include external factors such as macroeconomic, industry, and market conditions, as well as entity-specific factors, such as actual and planned financial performance. Based on our qualitative fiscal year 2025 annual impairment analysis for goodwill, we concluded that it is more likely than not that the fair value of goodwill exceeded its carrying value. Refer to Note 8, Goodwill and Intangible Assets, in our notes to consolidated financial statements for more information on the Company's goodwill.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fiscal year 2025 assessment for impairment of indefinite-lived intangible assets was based on a relief from royalty method, including key assumptions such as the long-term growth rates of future revenues, the royalty rate for such revenues, and a discount rate. The fair value of each intangible asset is determined for comparison to the corresponding carrying value. If the carrying value of the asset exceeds its fair value, an impairment loss is recognized in an amount equal to the excess. Based on our fiscal year 2025 annual impairment analysis for indefinite-lived intangible assets, we concluded that the fair value of our indefinite-lived intangible asset exceeded their respective carrying values by substantial margins.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Intangible assets, other than those with indefinite lives, are reviewed for indications of impairment whenever events or changes in circumstances indicate the carrying value may not be recoverable. During 2025, there were no triggering events which would indicate the Company's intangible assets were impaired.</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annual income tax rate is based on its income, statutory tax rates, changes in prior tax positions and tax planning opportunities available in the various jurisdictions in which it operates. Significant judgment and estimates are required to determine the Company’s annual tax rate and evaluate its tax positions. Despite the Company’s belief that its tax return positions are fully supportable, these positions are subject to challenge and estimated liabilities are established to account for events in which these positions are challenged, and the Company is not successful in defending those challenges. These estimated liabilities, as well as the related interest, are adjusted in light of changing facts and circumstances such as the progress of a tax audit.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certain cases, tax law requires items to be included in the Company’s income tax returns at a different time than when these items are recognized in the consolidated financial statements or at a different amount than that which is recognized in the consolidated financial statements. Some of these differences are permanent, such as expenses that are not deductible on the Company’s tax returns, while other differences are temporary and will reverse over time, such as depreciation expense. The differences that will reverse over time are recorded as deferred tax assets and liabilities on the consolidated balance sheets. Deferred tax assets represent deductions that have been reflected in the consolidated financial statements but have not yet been reflected in the Company’s income tax returns. Valuation allowances are established against deferred tax assets to the extent that it is determined that the Company will have insufficient future taxable income, including capital gains, to fully realize the future deductions or capital losses. Deferred tax liabilities represent expenses recognized on the Company’s income tax return that have not yet been recognized in the Company’s consolidated financial statements or income recognized in the consolidated financial statements that has not yet been recognized in the Company’s income tax return.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NEW ACCOUNTING PRONOUNCEMENTS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a discussion of recent accounting pronouncements and a discussion of the Company's significant accounting policies refer to Note 1, Summary of Significant Accounting Policies, in our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LIQUIDITY AND CAPITAL RESOURCES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historically generated a significant amount of cash from operations. The Company has primarily funded its operations and liquidity needs through cash on hand and from cash flows from operations, and when needed, used commercial paper and borrowings under its available lines of credit. As of December 28, 2025, the Company had $776.6 million of Cash and cash equivalents, $105.4 million of Short-term investments and $3,281.9 million of total long-term debt.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may issue debt or equity securities from time to time, to provide additional sources of liquidity when pursuing opportunities to enhance its long-term competitive position, while maintaining a strong balance sheet. However, unexpected events or circumstances such as material operating losses or increased capital or other expenditures, or the inability to otherwise access the commercial paper market, may reduce or eliminate the availability of external financial resources. In addition, significant disruptions to credit markets may also reduce or eliminate the availability of external financial resources. Although the Company believes the risk of nonperformance by the counterparties to its financial facilities is not significant, in times of severe economic downturn in the credit markets, it is possible that one or more sources of external financing may be unable or unwilling to provide funding to the Company.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impact of tariffs recognized by the Company in Cost of sales was approximately $44.9 million during 2025. Significant changes in trade policy announced by the U.S. government could adversely impact our forward-looking financial results, including the timing and extent of cash flows based upon timing in customer buying patterns and changes in our supply chain sourcing strategies.</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Indebtedness and Credit Facilities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28, 2025, the Company had $3,281.9 million of debt due at varying times from 2026 through 2044. The Company's third amended and restated revolving credit agreement with Bank of America, N.A. maturing September 5, 2028 (the "Amended Revolving Credit Agreement"), provides the Company with a maximum aggregate principal amount of $1.25 billion and also provides for a potential additional incremental commitment increase of up to $500.0 million subject to agreement of the lenders. The Amended Revolving Credit Agreement contains certain financial covenants setting forth leverage and coverage requirements, and certain other limitations typical of an investment grade facility, including with respect to liens, mergers and incurrence of indebtedness. The Company was in compliance with all covenants as of December 28, 2025. The Company had no borrowings outstanding under its committed revolving credit facility as of December 28, 2025. However, letters of credit outstanding under this facility were approximately $3.3 million. Amounts available and unused under the committed line, as of December 28, 2025 were approximately $1.25 billion, inclusive of borrowings under the Company’s commercial paper program. On February 20, 2026, the Company amended and restated the Amended Revolving Credit Agreement which extended the maturity date through February 2031 and reduced the aggregate principal amount to $1.1 billion, with the potential for an incremental commitment increase of up to $550.0 million. The Company also has other uncommitted lines from various banks, of which approximately $8.4 million was utilized in the form of letters of credit, on December 28, 2025.</w:t>
      </w:r>
    </w:p>
    <w:p>
      <w:pPr>
        <w:pStyle w:val="TextBody"/>
        <w:bidi w:val="0"/>
        <w:spacing w:lineRule="auto" w:line="288" w:before="120" w:after="283"/>
        <w:jc w:val="left"/>
        <w:rPr/>
      </w:pPr>
      <w:r>
        <w:rPr>
          <w:rFonts w:ascii="Arial;sans-serif" w:hAnsi="Arial;sans-serif"/>
          <w:b w:val="false"/>
          <w:color w:val="000000"/>
          <w:sz w:val="20"/>
        </w:rPr>
        <w:t xml:space="preserve">In June 2025, the Company entered into a money market line of credit agreement (the “Money Market Credit Facility”) to provide the Company with access to uncommitted, short-term cash advances with an aggregate principal amount of up to $100.0 million. The Money Market Credit Facility is intended to support the Company’s short-term liquidity needs, including working capital and general corporate purposes. As of December 28, 2025, the Company did not have any outstanding credit under the Money Market Credit Facility. Refer to Note 12, Long-Term Debt and Other Financing, </w:t>
      </w:r>
      <w:r>
        <w:rPr>
          <w:rFonts w:ascii="Arial;sans-serif" w:hAnsi="Arial;sans-serif"/>
          <w:b w:val="false"/>
          <w:color w:val="000000"/>
          <w:sz w:val="20"/>
          <w:shd w:fill="FFFFFF" w:val="clear"/>
        </w:rPr>
        <w:t xml:space="preserve">to </w:t>
      </w:r>
      <w:r>
        <w:rPr>
          <w:rFonts w:ascii="Arial;sans-serif" w:hAnsi="Arial;sans-serif"/>
          <w:b w:val="false"/>
          <w:color w:val="000000"/>
          <w:sz w:val="20"/>
        </w:rPr>
        <w:t>the consolidated financial statements</w:t>
      </w:r>
      <w:r>
        <w:rPr>
          <w:color w:val="000000"/>
          <w:shd w:fill="FFFFFF" w:val="clear"/>
        </w:rPr>
        <w:t xml:space="preserve"> </w:t>
      </w:r>
      <w:r>
        <w:rPr>
          <w:rFonts w:ascii="Arial;sans-serif" w:hAnsi="Arial;sans-serif"/>
          <w:b w:val="false"/>
          <w:color w:val="000000"/>
          <w:sz w:val="20"/>
          <w:shd w:fill="FFFFFF" w:val="clear"/>
        </w:rPr>
        <w:t>for further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financing program. The Company or the administering bank may terminate the agreement upon at least 30 days’ written notice. The amount of obligations confirmed under the supplier finance program that remain unpaid were $45.7 million, and $66.2 million as of December 28, 2025 and December 29, 2024, respectively. These obligations are presented within Accounts payable in the Company's Consolidated Balance Sheets. The activity related to this program is reflected within the operating activities section of the Consolidated Statements of Cash Flows.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From time to time, the Company or its affiliates may seek to retire or purchase outstanding debt through cash purchases, in open-market purchases, privately negotiated transactions or otherwise. Such repurchases, if any, will be upon such terms and at such prices as we may determine, and will depend on prevailing market conditions, our liquidity requirements, contractual restrictions and other factors. During 2025, the Company repurchased $119.9 million in aggregate principal of its 2026 and 2027 Notes.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Note 12, Long-Term Debt and Other Financing, in our notes to consolidated financial statements for additional information on outstanding long-term debt and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Cash Flow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cash flow activities for 2025 and 2024:</w:t>
      </w:r>
    </w:p>
    <w:tbl>
      <w:tblPr>
        <w:tblW w:w="7178" w:type="dxa"/>
        <w:jc w:val="left"/>
        <w:tblInd w:w="0" w:type="dxa"/>
        <w:tblLayout w:type="fixed"/>
        <w:tblCellMar>
          <w:top w:w="28" w:type="dxa"/>
          <w:left w:w="28" w:type="dxa"/>
          <w:bottom w:w="28" w:type="dxa"/>
          <w:right w:w="28" w:type="dxa"/>
        </w:tblCellMar>
      </w:tblPr>
      <w:tblGrid>
        <w:gridCol w:w="1762"/>
        <w:gridCol w:w="1550"/>
        <w:gridCol w:w="1562"/>
        <w:gridCol w:w="211"/>
        <w:gridCol w:w="646"/>
        <w:gridCol w:w="109"/>
        <w:gridCol w:w="109"/>
        <w:gridCol w:w="109"/>
        <w:gridCol w:w="109"/>
        <w:gridCol w:w="211"/>
        <w:gridCol w:w="646"/>
        <w:gridCol w:w="154"/>
      </w:tblGrid>
      <w:tr>
        <w:trPr/>
        <w:tc>
          <w:tcPr>
            <w:tcW w:w="1762"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FFFFFF"/>
                <w:sz w:val="20"/>
              </w:rPr>
            </w:pPr>
            <w:r>
              <w:rPr>
                <w:rFonts w:ascii="Arial;sans-serif" w:hAnsi="Arial;sans-serif"/>
                <w:b/>
                <w:color w:val="FFFFFF"/>
                <w:sz w:val="20"/>
              </w:rPr>
              <w:t>Net cash provided (utilized) by:</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Investing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Financing activities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Operating Activities: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Cash flows provided by operating activities were $893.2 million in 2025 as compared to $847.4 million in 2024. The net earnings after adjusting for non-cash items increased to $1,213.5 million in 2025 compared to $787.9 million in 2024. The changes in operating assets and liabilities yielded a net outflow of $320.3 million compared to an inflow of $59.5 million primarily attributable to an increase in Accounts receivable in 2025 compared to a decrease in Accounts Receivable in 2024, which is primarily the result of an overall net revenue increase. The change in Accounts Receivable is coupled with a change in inventory purchases, which have increased period over period as the result of a strategic decision to build increased flexibility to better match product demand during higher seasonal periods, along with the impact of tariffs. Operating cash flow was also impacted by the timing and magnitude of tax payments, including the payment of the net deemed repatriation tax, in 2025 when compared to 2024.</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Investing Activities: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cash flows utilized by investing activities were $284.4 million in 2025 as compared to $203.7 million in 2024. Investing activities in 2025 primarily reflects $105.4 million of purchases of U.S. Treasury bill investments, $63.3 million of additions of property, plant, and equipment, and $135.0 million of additions attributable to software development. Investing activities in 2024 primarily reflects $87.2 million of additions of property, plant, and equipment and $110.3 million of additions attributable to software development. Purchases of U.S. Treasury bills of $571.0 million in the prior year were offset by maturities of those investments in the amount of $583.0 million within the same year. Overall additions to software development increased in 2025 due to the timing of digital gaming projects.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expect total cash capital expenditures in fiscal year 2026 to be approximately $250 million. We expect to fund our capital expenditures with available cash or cash generated from operations.</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Financing Activities: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cash utilized by financing activities was $531.3 million and $497.5 million in 2025 and 2024, respectively. Financing activities in 2025 primarily include dividends paid of $392.5 million, aggregate repayments of long-term debt of $118.2 million related to the repurchase of a portion of its Notes due in 2026 and 2027, and $23.7 million of payments related to tax withholdings for stock compensation coinciding with equity award vesting activity.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Financing activities in 2024 primarily include repayments of long-term debt of $581.3 million related to the 3% Notes due 2024 of $500 million and the repurchase of $83.1 million of its Notes due 2026, net proceeds of $498.6 million from the issuance of the 2034 Notes, dividends paid of $389.9 million, and $14.4 million of payments related to tax withholdings for stock compensation coinciding with equity award vesting activity.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color w:val="225CAB"/>
          <w:sz w:val="20"/>
        </w:rPr>
      </w:pPr>
      <w:r>
        <w:rPr>
          <w:rFonts w:ascii="Arial;sans-serif" w:hAnsi="Arial;sans-serif"/>
          <w:b/>
          <w:color w:val="225CAB"/>
          <w:sz w:val="20"/>
        </w:rPr>
        <w:t>Contractual Obligations and Commitments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cash requirements within the next twelve months include accounts payable and accrued liabilities, other current liabilities, and purchase commitments and other obligations. We expect the cash required to meet these obligations to be primarily generated through a combination of cash from operations and access to capital from financial markets. Our long-term cash requirements under our various contractual obligations and commitments include: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Debt – Refer to Note 12, Long-Term Debt and Other Financing, in our notes to consolidated financial statements for further detail of our debt, including letters of credit, and the timing of expected future principal payments.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Operating lease obligations – Refer to Note 18, Leases, in our notes to consolidated financial statements for further detail of our obligations and the timing of expected future payments.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Pension plans and other postretirement benefit contributions – We sponsor a defined benefit plan that pays benefits to eligible employees at retirement. In addition, we provide certain postretirement health and welfare benefits to eligible retirees and their dependents. Refer to Note 17, Retirement Plans, in our consolidated financial statements for further detail of our obligations and the timing of expected future payments.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Minimum Guarantee Payments – The Company enters into license agreements with strategic partners, inventors, designers and others for the use of intellectual properties in its products. Certain of these agreements contain provisions for the payment of guaranteed or minimum royalty amounts. Refer to Note 21, Commitments and Contingencies, in our notes to consolidated financial statements for further detail of our obligations and the expected timing of expected future payments.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Purchase and Other Obligations – The Company also has various third-party, inventory and tooling purchase commitments in the ordinary course of business. Refer to Note 21, Commitments and Contingencies, in our notes to consolidated financial statements for further detail of our obligations and the expected timing of expected future payments.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Uncertain Tax Positions – As of December 28, 2025, the Company has a liability of $49.0 million of potential tax, interest and penalties for uncertain tax positions that have been taken or are expected to be taken in various income tax returns. The Company does not know the ultimate resolution of these uncertain tax positions and as such, does not know the ultimate amount or timing of payments related to this liability.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believe the following sources will be sufficient to meet our anticipated cash requirements for at least the next twelve months, while maintaining sufficient liquidity for normal operating purposes: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Our cash flow from operations;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availability of additional capital under our commercial paper program or lines of credit;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Our availability to access capital from financial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Financial Risk Management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Brazilian real, and Mexican peso and, to a lesser extent, other currencies in Latin American and Asia Pacific countries.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 manage this exposure, the Company has hedged a portion of its forecasted foreign currency transactions using foreign exchange forward contracts and foreign exchange option contracts. As of December 28, 2025, the Company estimates that a hypothetical immediate 10% depreciation of the U.S. dollar against all foreign currencies included in these foreign exchange forward contracts could result in an approximate $23.3 million decrease in the fair value of these instruments. A decrease in the fair value of these instruments would be offset by increases in the value of the forecasted foreign currency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reflects all derivative financial instruments at their fair value as an asset or liability on the Consolidated Balance Sheets. The Company does not speculate in foreign currency exchange contracts. As of December 28, 2025, these contracts had net unrealized losses of $7.1 million, of which $0.7 million of unrealized gains recorded in Prepaid expenses and other current assets, $0.9 million of unrealized gains are recorded in Other assets, $8.0 million of unrealized losses are recorded in Accrued liabilities, and $0.7 million of unrealized losses are recorded in Other liabilities. Included in Accumulated other comprehensive loss at December 28, 2025 are deferred losses of $8.3 million, net of tax, related to these derivative financial instruments.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28, 2025, the Company had fixed rate long-term debt of $3,281.9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Industry Trends, the Economy and Inflation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principal market for the Company’s toys and games and licensed consumer products is the retail sector. Revenues from the Company’s top five retail customers, accounted for approximately 35% of its consolidated net revenues in 2025. The Company monitors the creditworthiness of its customers and adjusts credit policies and limits as it deems appropriate.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revenue pattern continues to show the second half of the year to be more significant to its overall business for the full year. In 2025 approximately 60% of the Company’s full year net revenues were recognized in the second half of the year. The Company expects that this concentration will continue. The concentration of sales in the second half of the year increases the risk of (a) underproduction of popular items, (b) overproduction of less popular items, and (c) failure to achieve tight and compressed shipping schedules. The business of the Company is characterized by customer order patterns which vary from year to year largely because of differences in the degree of consumer acceptance of a product line, product availability, marketing strategies, inventory levels, policies of retailers and differences in overall economic conditions. Larger retailers generally maintain lower inventories throughout the year and purchase a greater percentage of product within or close to the fourth quarter holiday consumer buying season, which includes Christmas. Quick response inventory management practices being used by retailers as well as growth in ecommerce result in orders increasingly placed for immediate delivery and fewer orders placed well in advance of shipment. Retailers are timing their orders so that they are filled by suppliers closer to the time of purchase by consumers. To the extent that retailers do not sell as much of their year-end inventory purchases during this holiday selling season as they had anticipated, their demand for additional product earlier in the following fiscal year may be curtailed, thus negatively impacting the Company’s future revenues. The Company is continuing to manage inventory levels and by monitoring consumer purchase patterns to ensure adequate supply of new product while clearing excess supply to mitigate the risk of inventory obsolescence.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to these inventory management challenges, the bankruptcy or other lack of success of one of the Company’s significant retailers could negatively impact the Company’s future revenues.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Unlike the Company's retail sales patterns, revenue patterns from the Company's entertainment businesses fluctuate based on the timing and popularity of content releases. In addition, entertainment business operating results fluctuate due to expenses recorded in relation to productions and content such as program amortization costs and advertising expenses, which are incurred and recognized, beginning prior to initial releases and then continue throughout the related distribution windows.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Inflation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monitors the impact of inflation to its business operations on an ongoing basis and may need to implement actions such as price adjustments to mitigate the impact of changes to the rate of inflation in future periods. However, future volatility of general price inflation could affect consumer spending. Additionally, the impact of inflation on costs and availability of materials, costs for shipping and warehousing and other operational overhead, could adversely affect the Company's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ind w:left="0" w:right="0" w:hanging="900"/>
        <w:jc w:val="left"/>
        <w:rPr/>
      </w:pPr>
      <w:r>
        <w:rPr>
          <w:rFonts w:ascii="Arial;sans-serif" w:hAnsi="Arial;sans-serif"/>
          <w:b/>
          <w:color w:val="000000"/>
          <w:sz w:val="20"/>
        </w:rPr>
        <w:t>Item 7A.    </w:t>
      </w:r>
      <w:r>
        <w:rPr>
          <w:rFonts w:ascii="Arial;sans-serif" w:hAnsi="Arial;sans-serif"/>
          <w:b/>
          <w:i/>
          <w:color w:val="000000"/>
          <w:sz w:val="20"/>
          <w:u w:val="single"/>
        </w:rPr>
        <w:t>Quantitative and Qualitative Disclosures About Market Risk.</w:t>
      </w:r>
    </w:p>
    <w:p>
      <w:pPr>
        <w:pStyle w:val="TextBody"/>
        <w:bidi w:val="0"/>
        <w:spacing w:lineRule="auto" w:line="288" w:before="120" w:after="283"/>
        <w:jc w:val="left"/>
        <w:rPr/>
      </w:pPr>
      <w:r>
        <w:rPr>
          <w:rFonts w:ascii="Arial;sans-serif" w:hAnsi="Arial;sans-serif"/>
          <w:b w:val="false"/>
          <w:color w:val="000000"/>
          <w:sz w:val="20"/>
        </w:rPr>
        <w:t xml:space="preserve">The information required by this item is included in Part II, Item 7. </w:t>
      </w:r>
      <w:r>
        <w:rPr>
          <w:rFonts w:ascii="Arial;sans-serif" w:hAnsi="Arial;sans-serif"/>
          <w:b w:val="false"/>
          <w:i/>
          <w:color w:val="000000"/>
          <w:sz w:val="20"/>
        </w:rPr>
        <w:t>Management’s Discussion and Analysis of Financial Condition and Results of Operation,</w:t>
      </w:r>
      <w:r>
        <w:rPr>
          <w:color w:val="000000"/>
        </w:rPr>
        <w:t xml:space="preserve"> </w:t>
      </w:r>
      <w:r>
        <w:rPr>
          <w:rFonts w:ascii="Arial;sans-serif" w:hAnsi="Arial;sans-serif"/>
          <w:b w:val="false"/>
          <w:color w:val="000000"/>
          <w:sz w:val="20"/>
        </w:rPr>
        <w:t>of this Form 10-K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200" w:after="283"/>
        <w:ind w:left="0" w:right="0" w:hanging="900"/>
        <w:jc w:val="left"/>
        <w:rPr/>
      </w:pPr>
      <w:r>
        <w:rPr>
          <w:rFonts w:ascii="Arial;sans-serif" w:hAnsi="Arial;sans-serif"/>
          <w:b/>
          <w:color w:val="000000"/>
          <w:sz w:val="20"/>
        </w:rPr>
        <w:t>Item 8.    </w:t>
      </w:r>
      <w:r>
        <w:rPr>
          <w:rFonts w:ascii="Arial;sans-serif" w:hAnsi="Arial;sans-serif"/>
          <w:b/>
          <w:i/>
          <w:color w:val="000000"/>
          <w:sz w:val="20"/>
          <w:u w:val="single"/>
        </w:rPr>
        <w:t>Financial Statements and Supplementary Data.</w:t>
      </w:r>
    </w:p>
    <w:p>
      <w:pPr>
        <w:pStyle w:val="TextBody"/>
        <w:bidi w:val="0"/>
        <w:spacing w:lineRule="auto" w:line="288" w:before="120" w:after="283"/>
        <w:ind w:left="0" w:right="0" w:hanging="900"/>
        <w:jc w:val="center"/>
        <w:rPr>
          <w:rFonts w:ascii="Arial;sans-serif" w:hAnsi="Arial;sans-serif"/>
          <w:b/>
          <w:color w:val="212529"/>
          <w:sz w:val="20"/>
        </w:rPr>
      </w:pPr>
      <w:r>
        <w:rPr>
          <w:rFonts w:ascii="Arial;sans-serif" w:hAnsi="Arial;sans-serif"/>
          <w:b/>
          <w:color w:val="212529"/>
          <w:sz w:val="20"/>
        </w:rPr>
        <w:t>Hasbro, Inc.</w:t>
      </w:r>
    </w:p>
    <w:p>
      <w:pPr>
        <w:pStyle w:val="TextBody"/>
        <w:bidi w:val="0"/>
        <w:spacing w:lineRule="auto" w:line="288" w:before="0" w:after="0"/>
        <w:jc w:val="center"/>
        <w:rPr>
          <w:rFonts w:ascii="Arial;sans-serif" w:hAnsi="Arial;sans-serif"/>
          <w:b/>
          <w:color w:val="212529"/>
          <w:sz w:val="20"/>
        </w:rPr>
      </w:pPr>
      <w:r>
        <w:rPr>
          <w:rFonts w:ascii="Arial;sans-serif" w:hAnsi="Arial;sans-serif"/>
          <w:b/>
          <w:color w:val="212529"/>
          <w:sz w:val="20"/>
        </w:rPr>
        <w:t>Form 10-K</w:t>
      </w:r>
    </w:p>
    <w:p>
      <w:pPr>
        <w:pStyle w:val="TextBody"/>
        <w:bidi w:val="0"/>
        <w:spacing w:lineRule="auto" w:line="288" w:before="0" w:after="0"/>
        <w:jc w:val="center"/>
        <w:rPr>
          <w:rFonts w:ascii="Arial;sans-serif" w:hAnsi="Arial;sans-serif"/>
          <w:b/>
          <w:color w:val="212529"/>
          <w:sz w:val="20"/>
        </w:rPr>
      </w:pPr>
      <w:r>
        <w:rPr>
          <w:rFonts w:ascii="Arial;sans-serif" w:hAnsi="Arial;sans-serif"/>
          <w:b/>
          <w:color w:val="212529"/>
          <w:sz w:val="20"/>
        </w:rPr>
        <w:t xml:space="preserve">For the Year Ended December 28, 2025 </w:t>
      </w:r>
    </w:p>
    <w:tbl>
      <w:tblPr>
        <w:tblW w:w="5742" w:type="dxa"/>
        <w:jc w:val="left"/>
        <w:tblInd w:w="0" w:type="dxa"/>
        <w:tblLayout w:type="fixed"/>
        <w:tblCellMar>
          <w:top w:w="28" w:type="dxa"/>
          <w:left w:w="28" w:type="dxa"/>
          <w:bottom w:w="28" w:type="dxa"/>
          <w:right w:w="28" w:type="dxa"/>
        </w:tblCellMar>
      </w:tblPr>
      <w:tblGrid>
        <w:gridCol w:w="1947"/>
        <w:gridCol w:w="1707"/>
        <w:gridCol w:w="1716"/>
        <w:gridCol w:w="109"/>
        <w:gridCol w:w="109"/>
        <w:gridCol w:w="154"/>
      </w:tblGrid>
      <w:tr>
        <w:trPr/>
        <w:tc>
          <w:tcPr>
            <w:tcW w:w="1947"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145">
              <w:r>
                <w:rPr>
                  <w:rStyle w:val="InternetLink"/>
                  <w:rFonts w:ascii="Arial;sans-serif" w:hAnsi="Arial;sans-serif"/>
                  <w:b w:val="false"/>
                  <w:color w:val="000080"/>
                  <w:sz w:val="20"/>
                  <w:u w:val="single"/>
                </w:rPr>
                <w:t>Report of Independent Registered Public Accounting Fir</w:t>
              </w:r>
            </w:hyperlink>
            <w:hyperlink w:anchor="ieb386c6e1feb425e90d22f2f5c682cf0_145">
              <w:r>
                <w:rPr>
                  <w:rStyle w:val="InternetLink"/>
                  <w:rFonts w:ascii="Arial;sans-serif" w:hAnsi="Arial;sans-serif"/>
                  <w:b w:val="false"/>
                  <w:color w:val="000080"/>
                  <w:sz w:val="20"/>
                  <w:u w:val="single"/>
                </w:rPr>
                <w:t>m</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45">
              <w:r>
                <w:rPr>
                  <w:rStyle w:val="InternetLink"/>
                  <w:rFonts w:ascii="Arial;sans-serif" w:hAnsi="Arial;sans-serif"/>
                  <w:b w:val="false"/>
                  <w:color w:val="0000FF"/>
                  <w:sz w:val="20"/>
                  <w:u w:val="single"/>
                </w:rPr>
                <w:t>49</w:t>
              </w:r>
            </w:hyperlink>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148">
              <w:r>
                <w:rPr>
                  <w:rStyle w:val="InternetLink"/>
                  <w:rFonts w:ascii="Arial;sans-serif" w:hAnsi="Arial;sans-serif"/>
                  <w:b w:val="false"/>
                  <w:color w:val="0000FF"/>
                  <w:sz w:val="20"/>
                  <w:u w:val="single"/>
                </w:rPr>
                <w:t>Consolidated Balance Sheets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48">
              <w:r>
                <w:rPr>
                  <w:rStyle w:val="InternetLink"/>
                  <w:rFonts w:ascii="Arial;sans-serif" w:hAnsi="Arial;sans-serif"/>
                  <w:b w:val="false"/>
                  <w:color w:val="0000FF"/>
                  <w:sz w:val="20"/>
                  <w:u w:val="single"/>
                </w:rPr>
                <w:t>52</w:t>
              </w:r>
            </w:hyperlink>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151">
              <w:r>
                <w:rPr>
                  <w:rStyle w:val="InternetLink"/>
                  <w:rFonts w:ascii="Arial;sans-serif" w:hAnsi="Arial;sans-serif"/>
                  <w:b w:val="false"/>
                  <w:color w:val="0000FF"/>
                  <w:sz w:val="20"/>
                  <w:u w:val="single"/>
                </w:rPr>
                <w:t>Consolidated Statements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51">
              <w:r>
                <w:rPr>
                  <w:rStyle w:val="InternetLink"/>
                  <w:rFonts w:ascii="Arial;sans-serif" w:hAnsi="Arial;sans-serif"/>
                  <w:b w:val="false"/>
                  <w:color w:val="0000FF"/>
                  <w:sz w:val="20"/>
                  <w:u w:val="single"/>
                </w:rPr>
                <w:t>53</w:t>
              </w:r>
            </w:hyperlink>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154">
              <w:r>
                <w:rPr>
                  <w:rStyle w:val="InternetLink"/>
                  <w:rFonts w:ascii="Arial;sans-serif" w:hAnsi="Arial;sans-serif"/>
                  <w:b w:val="false"/>
                  <w:color w:val="0000FF"/>
                  <w:sz w:val="20"/>
                  <w:u w:val="single"/>
                </w:rPr>
                <w:t>Consolidated Statements of Comprehensive Earnings (Loss)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54">
              <w:r>
                <w:rPr>
                  <w:rStyle w:val="InternetLink"/>
                  <w:rFonts w:ascii="Arial;sans-serif" w:hAnsi="Arial;sans-serif"/>
                  <w:b w:val="false"/>
                  <w:color w:val="0000FF"/>
                  <w:sz w:val="20"/>
                  <w:u w:val="single"/>
                </w:rPr>
                <w:t>54</w:t>
              </w:r>
            </w:hyperlink>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157">
              <w:r>
                <w:rPr>
                  <w:rStyle w:val="InternetLink"/>
                  <w:rFonts w:ascii="Arial;sans-serif" w:hAnsi="Arial;sans-serif"/>
                  <w:b w:val="false"/>
                  <w:color w:val="0000FF"/>
                  <w:sz w:val="20"/>
                  <w:u w:val="single"/>
                </w:rPr>
                <w:t>Consolidated Statements of Cash Flows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57">
              <w:r>
                <w:rPr>
                  <w:rStyle w:val="InternetLink"/>
                  <w:rFonts w:ascii="Arial;sans-serif" w:hAnsi="Arial;sans-serif"/>
                  <w:b w:val="false"/>
                  <w:color w:val="0000FF"/>
                  <w:sz w:val="20"/>
                  <w:u w:val="single"/>
                </w:rPr>
                <w:t>55</w:t>
              </w:r>
            </w:hyperlink>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pPr>
            <w:hyperlink w:anchor="ieb386c6e1feb425e90d22f2f5c682cf0_160">
              <w:r>
                <w:rPr>
                  <w:rStyle w:val="InternetLink"/>
                  <w:rFonts w:ascii="Arial;sans-serif" w:hAnsi="Arial;sans-serif"/>
                  <w:b w:val="false"/>
                  <w:color w:val="0000FF"/>
                  <w:sz w:val="20"/>
                  <w:u w:val="single"/>
                </w:rPr>
                <w:t>Consolidated Statements of Shareholders’ Equity</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60">
              <w:r>
                <w:rPr>
                  <w:rStyle w:val="InternetLink"/>
                  <w:rFonts w:ascii="Arial;sans-serif" w:hAnsi="Arial;sans-serif"/>
                  <w:b w:val="false"/>
                  <w:color w:val="0000FF"/>
                  <w:sz w:val="20"/>
                  <w:u w:val="single"/>
                </w:rPr>
                <w:t>56</w:t>
              </w:r>
            </w:hyperlink>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60" w:after="283"/>
              <w:jc w:val="left"/>
              <w:rPr/>
            </w:pPr>
            <w:hyperlink w:anchor="ieb386c6e1feb425e90d22f2f5c682cf0_163">
              <w:r>
                <w:rPr>
                  <w:rStyle w:val="InternetLink"/>
                  <w:rFonts w:ascii="Arial;sans-serif" w:hAnsi="Arial;sans-serif"/>
                  <w:b w:val="false"/>
                  <w:color w:val="0000FF"/>
                  <w:sz w:val="20"/>
                  <w:u w:val="single"/>
                </w:rPr>
                <w:t>Notes to Consolidated Financial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66">
              <w:r>
                <w:rPr>
                  <w:rStyle w:val="InternetLink"/>
                  <w:rFonts w:ascii="Arial;sans-serif" w:hAnsi="Arial;sans-serif"/>
                  <w:b w:val="false"/>
                  <w:color w:val="0000FF"/>
                  <w:sz w:val="20"/>
                  <w:u w:val="single"/>
                </w:rPr>
                <w:t>57</w:t>
              </w:r>
            </w:hyperlink>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pPr>
            <w:hyperlink w:anchor="ieb386c6e1feb425e90d22f2f5c682cf0_166">
              <w:r>
                <w:rPr>
                  <w:rStyle w:val="InternetLink"/>
                  <w:rFonts w:ascii="Arial;sans-serif" w:hAnsi="Arial;sans-serif"/>
                  <w:b w:val="false"/>
                  <w:color w:val="0000FF"/>
                  <w:sz w:val="20"/>
                  <w:u w:val="single"/>
                </w:rPr>
                <w:t>1. Summary of Significant Accounting Policies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66">
              <w:r>
                <w:rPr>
                  <w:rStyle w:val="InternetLink"/>
                  <w:rFonts w:ascii="Arial;sans-serif" w:hAnsi="Arial;sans-serif"/>
                  <w:b w:val="false"/>
                  <w:color w:val="0000FF"/>
                  <w:sz w:val="20"/>
                  <w:u w:val="single"/>
                </w:rPr>
                <w:t>57</w:t>
              </w:r>
            </w:hyperlink>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200" w:after="283"/>
              <w:jc w:val="left"/>
              <w:rPr/>
            </w:pPr>
            <w:hyperlink w:anchor="ieb386c6e1feb425e90d22f2f5c682cf0_169">
              <w:r>
                <w:rPr>
                  <w:rStyle w:val="InternetLink"/>
                  <w:rFonts w:ascii="Arial;sans-serif" w:hAnsi="Arial;sans-serif"/>
                  <w:b w:val="false"/>
                  <w:color w:val="0000FF"/>
                  <w:sz w:val="20"/>
                  <w:u w:val="single"/>
                </w:rPr>
                <w:t>2. Revenue Recognition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69">
              <w:r>
                <w:rPr>
                  <w:rStyle w:val="InternetLink"/>
                  <w:rFonts w:ascii="Arial;sans-serif" w:hAnsi="Arial;sans-serif"/>
                  <w:b w:val="false"/>
                  <w:color w:val="0000FF"/>
                  <w:sz w:val="20"/>
                  <w:u w:val="single"/>
                </w:rPr>
                <w:t>64</w:t>
              </w:r>
            </w:hyperlink>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pPr>
            <w:hyperlink w:anchor="ieb386c6e1feb425e90d22f2f5c682cf0_175">
              <w:r>
                <w:rPr>
                  <w:rStyle w:val="InternetLink"/>
                  <w:rFonts w:ascii="Arial;sans-serif" w:hAnsi="Arial;sans-serif"/>
                  <w:b w:val="false"/>
                  <w:color w:val="0000FF"/>
                  <w:sz w:val="20"/>
                  <w:u w:val="single"/>
                </w:rPr>
                <w:t>3. Sale of Entertainment One Film and TV Business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75">
              <w:r>
                <w:rPr>
                  <w:rStyle w:val="InternetLink"/>
                  <w:rFonts w:ascii="Arial;sans-serif" w:hAnsi="Arial;sans-serif"/>
                  <w:b w:val="false"/>
                  <w:color w:val="0000FF"/>
                  <w:sz w:val="20"/>
                  <w:u w:val="single"/>
                </w:rPr>
                <w:t>67</w:t>
              </w:r>
            </w:hyperlink>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pPr>
            <w:hyperlink w:anchor="ieb386c6e1feb425e90d22f2f5c682cf0_178">
              <w:r>
                <w:rPr>
                  <w:rStyle w:val="InternetLink"/>
                  <w:rFonts w:ascii="Arial;sans-serif" w:hAnsi="Arial;sans-serif"/>
                  <w:b w:val="false"/>
                  <w:color w:val="0000FF"/>
                  <w:sz w:val="20"/>
                  <w:u w:val="single"/>
                </w:rPr>
                <w:t>4. Earnings Per Common Share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78">
              <w:r>
                <w:rPr>
                  <w:rStyle w:val="InternetLink"/>
                  <w:rFonts w:ascii="Arial;sans-serif" w:hAnsi="Arial;sans-serif"/>
                  <w:b w:val="false"/>
                  <w:color w:val="0000FF"/>
                  <w:sz w:val="20"/>
                  <w:u w:val="single"/>
                </w:rPr>
                <w:t>67</w:t>
              </w:r>
            </w:hyperlink>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pPr>
            <w:hyperlink w:anchor="ieb386c6e1feb425e90d22f2f5c682cf0_1099511630016">
              <w:r>
                <w:rPr>
                  <w:rStyle w:val="InternetLink"/>
                  <w:rFonts w:ascii="Arial;sans-serif" w:hAnsi="Arial;sans-serif"/>
                  <w:b w:val="false"/>
                  <w:color w:val="0000FF"/>
                  <w:sz w:val="20"/>
                  <w:u w:val="single"/>
                </w:rPr>
                <w:t>5. Other Comprehensive Earnings (Loss)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099511630016">
              <w:r>
                <w:rPr>
                  <w:rStyle w:val="InternetLink"/>
                  <w:rFonts w:ascii="Arial;sans-serif" w:hAnsi="Arial;sans-serif"/>
                  <w:b w:val="false"/>
                  <w:color w:val="0000FF"/>
                  <w:sz w:val="20"/>
                  <w:u w:val="single"/>
                </w:rPr>
                <w:t>68</w:t>
              </w:r>
            </w:hyperlink>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pPr>
            <w:hyperlink w:anchor="ieb386c6e1feb425e90d22f2f5c682cf0_184">
              <w:r>
                <w:rPr>
                  <w:rStyle w:val="InternetLink"/>
                  <w:rFonts w:ascii="Arial;sans-serif" w:hAnsi="Arial;sans-serif"/>
                  <w:b w:val="false"/>
                  <w:color w:val="0000FF"/>
                  <w:sz w:val="20"/>
                  <w:u w:val="single"/>
                </w:rPr>
                <w:t>6. Property, Plant and Equipment</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84">
              <w:r>
                <w:rPr>
                  <w:rStyle w:val="InternetLink"/>
                  <w:rFonts w:ascii="Arial;sans-serif" w:hAnsi="Arial;sans-serif"/>
                  <w:b w:val="false"/>
                  <w:color w:val="0000FF"/>
                  <w:sz w:val="20"/>
                  <w:u w:val="single"/>
                </w:rPr>
                <w:t>70</w:t>
              </w:r>
            </w:hyperlink>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274">
              <w:r>
                <w:rPr>
                  <w:rStyle w:val="InternetLink"/>
                  <w:rFonts w:ascii="Arial;sans-serif" w:hAnsi="Arial;sans-serif"/>
                  <w:b w:val="false"/>
                  <w:color w:val="0000FF"/>
                  <w:sz w:val="20"/>
                  <w:u w:val="single"/>
                </w:rPr>
                <w:t>7. Software Development Costs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274">
              <w:r>
                <w:rPr>
                  <w:rStyle w:val="InternetLink"/>
                  <w:rFonts w:ascii="Arial;sans-serif" w:hAnsi="Arial;sans-serif"/>
                  <w:b w:val="false"/>
                  <w:color w:val="0000FF"/>
                  <w:sz w:val="20"/>
                  <w:u w:val="single"/>
                </w:rPr>
                <w:t>70</w:t>
              </w:r>
            </w:hyperlink>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200" w:after="283"/>
              <w:jc w:val="left"/>
              <w:rPr/>
            </w:pPr>
            <w:hyperlink w:anchor="ieb386c6e1feb425e90d22f2f5c682cf0_187">
              <w:r>
                <w:rPr>
                  <w:rStyle w:val="InternetLink"/>
                  <w:rFonts w:ascii="Arial;sans-serif" w:hAnsi="Arial;sans-serif"/>
                  <w:b w:val="false"/>
                  <w:color w:val="0000FF"/>
                  <w:sz w:val="20"/>
                  <w:u w:val="single"/>
                </w:rPr>
                <w:t>8. Goodwill and Intangible Assets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87">
              <w:r>
                <w:rPr>
                  <w:rStyle w:val="InternetLink"/>
                  <w:rFonts w:ascii="Arial;sans-serif" w:hAnsi="Arial;sans-serif"/>
                  <w:b w:val="false"/>
                  <w:color w:val="0000FF"/>
                  <w:sz w:val="20"/>
                  <w:u w:val="single"/>
                </w:rPr>
                <w:t>70</w:t>
              </w:r>
            </w:hyperlink>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pPr>
            <w:hyperlink w:anchor="ieb386c6e1feb425e90d22f2f5c682cf0_190">
              <w:r>
                <w:rPr>
                  <w:rStyle w:val="InternetLink"/>
                  <w:rFonts w:ascii="Arial;sans-serif" w:hAnsi="Arial;sans-serif"/>
                  <w:b w:val="false"/>
                  <w:color w:val="0000FF"/>
                  <w:sz w:val="20"/>
                  <w:u w:val="single"/>
                </w:rPr>
                <w:t>9. Equity Method Investment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90">
              <w:r>
                <w:rPr>
                  <w:rStyle w:val="InternetLink"/>
                  <w:rFonts w:ascii="Arial;sans-serif" w:hAnsi="Arial;sans-serif"/>
                  <w:b w:val="false"/>
                  <w:color w:val="0000FF"/>
                  <w:sz w:val="20"/>
                  <w:u w:val="single"/>
                </w:rPr>
                <w:t>72</w:t>
              </w:r>
            </w:hyperlink>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200" w:after="283"/>
              <w:jc w:val="left"/>
              <w:rPr/>
            </w:pPr>
            <w:hyperlink w:anchor="ieb386c6e1feb425e90d22f2f5c682cf0_1099511630129">
              <w:r>
                <w:rPr>
                  <w:rStyle w:val="InternetLink"/>
                  <w:rFonts w:ascii="Arial;sans-serif" w:hAnsi="Arial;sans-serif"/>
                  <w:b w:val="false"/>
                  <w:color w:val="0000FF"/>
                  <w:sz w:val="20"/>
                  <w:u w:val="single"/>
                </w:rPr>
                <w:t>10. Investments in Productions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099511630129">
              <w:r>
                <w:rPr>
                  <w:rStyle w:val="InternetLink"/>
                  <w:rFonts w:ascii="Arial;sans-serif" w:hAnsi="Arial;sans-serif"/>
                  <w:b w:val="false"/>
                  <w:color w:val="0000FF"/>
                  <w:sz w:val="20"/>
                  <w:u w:val="single"/>
                </w:rPr>
                <w:t>73</w:t>
              </w:r>
            </w:hyperlink>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pPr>
            <w:hyperlink w:anchor="ieb386c6e1feb425e90d22f2f5c682cf0_196">
              <w:r>
                <w:rPr>
                  <w:rStyle w:val="InternetLink"/>
                  <w:rFonts w:ascii="Arial;sans-serif" w:hAnsi="Arial;sans-serif"/>
                  <w:b w:val="false"/>
                  <w:color w:val="000080"/>
                  <w:sz w:val="20"/>
                  <w:u w:val="single"/>
                </w:rPr>
                <w:t>1</w:t>
              </w:r>
            </w:hyperlink>
            <w:hyperlink w:anchor="ieb386c6e1feb425e90d22f2f5c682cf0_196">
              <w:r>
                <w:rPr>
                  <w:rStyle w:val="InternetLink"/>
                  <w:rFonts w:ascii="Arial;sans-serif" w:hAnsi="Arial;sans-serif"/>
                  <w:b w:val="false"/>
                  <w:color w:val="000080"/>
                  <w:sz w:val="20"/>
                  <w:u w:val="single"/>
                </w:rPr>
                <w:t>1</w:t>
              </w:r>
            </w:hyperlink>
            <w:hyperlink w:anchor="ieb386c6e1feb425e90d22f2f5c682cf0_196">
              <w:r>
                <w:rPr>
                  <w:rStyle w:val="InternetLink"/>
                  <w:rFonts w:ascii="Arial;sans-serif" w:hAnsi="Arial;sans-serif"/>
                  <w:b w:val="false"/>
                  <w:color w:val="000080"/>
                  <w:sz w:val="20"/>
                  <w:u w:val="single"/>
                </w:rPr>
                <w:t>. Additional Balance Sheet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96">
              <w:r>
                <w:rPr>
                  <w:rStyle w:val="InternetLink"/>
                  <w:rFonts w:ascii="Arial;sans-serif" w:hAnsi="Arial;sans-serif"/>
                  <w:b w:val="false"/>
                  <w:color w:val="0000FF"/>
                  <w:sz w:val="20"/>
                  <w:u w:val="single"/>
                </w:rPr>
                <w:t>74</w:t>
              </w:r>
            </w:hyperlink>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200" w:after="283"/>
              <w:jc w:val="left"/>
              <w:rPr/>
            </w:pPr>
            <w:hyperlink w:anchor="ieb386c6e1feb425e90d22f2f5c682cf0_199">
              <w:r>
                <w:rPr>
                  <w:rStyle w:val="InternetLink"/>
                  <w:rFonts w:ascii="Arial;sans-serif" w:hAnsi="Arial;sans-serif"/>
                  <w:b w:val="false"/>
                  <w:color w:val="000080"/>
                  <w:sz w:val="20"/>
                  <w:u w:val="single"/>
                </w:rPr>
                <w:t>1</w:t>
              </w:r>
            </w:hyperlink>
            <w:hyperlink w:anchor="ieb386c6e1feb425e90d22f2f5c682cf0_199">
              <w:r>
                <w:rPr>
                  <w:rStyle w:val="InternetLink"/>
                  <w:rFonts w:ascii="Arial;sans-serif" w:hAnsi="Arial;sans-serif"/>
                  <w:b w:val="false"/>
                  <w:color w:val="000080"/>
                  <w:sz w:val="20"/>
                  <w:u w:val="single"/>
                </w:rPr>
                <w:t>2</w:t>
              </w:r>
            </w:hyperlink>
            <w:hyperlink w:anchor="ieb386c6e1feb425e90d22f2f5c682cf0_199">
              <w:r>
                <w:rPr>
                  <w:rStyle w:val="InternetLink"/>
                  <w:rFonts w:ascii="Arial;sans-serif" w:hAnsi="Arial;sans-serif"/>
                  <w:b w:val="false"/>
                  <w:color w:val="000080"/>
                  <w:sz w:val="20"/>
                  <w:u w:val="single"/>
                </w:rPr>
                <w:t>. Long-Term Debt and Other Financing</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99">
              <w:r>
                <w:rPr>
                  <w:rStyle w:val="InternetLink"/>
                  <w:rFonts w:ascii="Arial;sans-serif" w:hAnsi="Arial;sans-serif"/>
                  <w:b w:val="false"/>
                  <w:color w:val="0000FF"/>
                  <w:sz w:val="20"/>
                  <w:u w:val="single"/>
                </w:rPr>
                <w:t>74</w:t>
              </w:r>
            </w:hyperlink>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pPr>
            <w:hyperlink w:anchor="ieb386c6e1feb425e90d22f2f5c682cf0_1099511630079">
              <w:r>
                <w:rPr>
                  <w:rStyle w:val="InternetLink"/>
                  <w:rFonts w:ascii="Arial;sans-serif" w:hAnsi="Arial;sans-serif"/>
                  <w:b w:val="false"/>
                  <w:color w:val="000080"/>
                  <w:sz w:val="20"/>
                  <w:u w:val="single"/>
                </w:rPr>
                <w:t>1</w:t>
              </w:r>
            </w:hyperlink>
            <w:hyperlink w:anchor="ieb386c6e1feb425e90d22f2f5c682cf0_1099511630079">
              <w:r>
                <w:rPr>
                  <w:rStyle w:val="InternetLink"/>
                  <w:rFonts w:ascii="Arial;sans-serif" w:hAnsi="Arial;sans-serif"/>
                  <w:b w:val="false"/>
                  <w:color w:val="000080"/>
                  <w:sz w:val="20"/>
                  <w:u w:val="single"/>
                </w:rPr>
                <w:t>3</w:t>
              </w:r>
            </w:hyperlink>
            <w:hyperlink w:anchor="ieb386c6e1feb425e90d22f2f5c682cf0_1099511630079">
              <w:r>
                <w:rPr>
                  <w:rStyle w:val="InternetLink"/>
                  <w:rFonts w:ascii="Arial;sans-serif" w:hAnsi="Arial;sans-serif"/>
                  <w:b w:val="false"/>
                  <w:color w:val="000080"/>
                  <w:sz w:val="20"/>
                  <w:u w:val="single"/>
                </w:rPr>
                <w:t>. Income Taxes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099511630079">
              <w:r>
                <w:rPr>
                  <w:rStyle w:val="InternetLink"/>
                  <w:rFonts w:ascii="Arial;sans-serif" w:hAnsi="Arial;sans-serif"/>
                  <w:b w:val="false"/>
                  <w:color w:val="0000FF"/>
                  <w:sz w:val="20"/>
                  <w:u w:val="single"/>
                </w:rPr>
                <w:t>77</w:t>
              </w:r>
            </w:hyperlink>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pPr>
            <w:hyperlink w:anchor="ieb386c6e1feb425e90d22f2f5c682cf0_205">
              <w:r>
                <w:rPr>
                  <w:rStyle w:val="InternetLink"/>
                  <w:rFonts w:ascii="Arial;sans-serif" w:hAnsi="Arial;sans-serif"/>
                  <w:b w:val="false"/>
                  <w:color w:val="000080"/>
                  <w:sz w:val="20"/>
                  <w:u w:val="single"/>
                </w:rPr>
                <w:t>1</w:t>
              </w:r>
            </w:hyperlink>
            <w:hyperlink w:anchor="ieb386c6e1feb425e90d22f2f5c682cf0_205">
              <w:r>
                <w:rPr>
                  <w:rStyle w:val="InternetLink"/>
                  <w:rFonts w:ascii="Arial;sans-serif" w:hAnsi="Arial;sans-serif"/>
                  <w:b w:val="false"/>
                  <w:color w:val="000080"/>
                  <w:sz w:val="20"/>
                  <w:u w:val="single"/>
                </w:rPr>
                <w:t>4</w:t>
              </w:r>
            </w:hyperlink>
            <w:hyperlink w:anchor="ieb386c6e1feb425e90d22f2f5c682cf0_205">
              <w:r>
                <w:rPr>
                  <w:rStyle w:val="InternetLink"/>
                  <w:rFonts w:ascii="Arial;sans-serif" w:hAnsi="Arial;sans-serif"/>
                  <w:b w:val="false"/>
                  <w:color w:val="000080"/>
                  <w:sz w:val="20"/>
                  <w:u w:val="single"/>
                </w:rPr>
                <w:t>. Capital Stock</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05">
              <w:r>
                <w:rPr>
                  <w:rStyle w:val="InternetLink"/>
                  <w:rFonts w:ascii="Arial;sans-serif" w:hAnsi="Arial;sans-serif"/>
                  <w:b w:val="false"/>
                  <w:color w:val="0000FF"/>
                  <w:sz w:val="20"/>
                  <w:u w:val="single"/>
                </w:rPr>
                <w:t>83</w:t>
              </w:r>
            </w:hyperlink>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pPr>
            <w:hyperlink w:anchor="ieb386c6e1feb425e90d22f2f5c682cf0_208">
              <w:r>
                <w:rPr>
                  <w:rStyle w:val="InternetLink"/>
                  <w:rFonts w:ascii="Arial;sans-serif" w:hAnsi="Arial;sans-serif"/>
                  <w:b w:val="false"/>
                  <w:color w:val="000080"/>
                  <w:sz w:val="20"/>
                  <w:u w:val="single"/>
                </w:rPr>
                <w:t>1</w:t>
              </w:r>
            </w:hyperlink>
            <w:hyperlink w:anchor="ieb386c6e1feb425e90d22f2f5c682cf0_208">
              <w:r>
                <w:rPr>
                  <w:rStyle w:val="InternetLink"/>
                  <w:rFonts w:ascii="Arial;sans-serif" w:hAnsi="Arial;sans-serif"/>
                  <w:b w:val="false"/>
                  <w:color w:val="000080"/>
                  <w:sz w:val="20"/>
                  <w:u w:val="single"/>
                </w:rPr>
                <w:t>5</w:t>
              </w:r>
            </w:hyperlink>
            <w:hyperlink w:anchor="ieb386c6e1feb425e90d22f2f5c682cf0_208">
              <w:r>
                <w:rPr>
                  <w:rStyle w:val="InternetLink"/>
                  <w:rFonts w:ascii="Arial;sans-serif" w:hAnsi="Arial;sans-serif"/>
                  <w:b w:val="false"/>
                  <w:color w:val="000080"/>
                  <w:sz w:val="20"/>
                  <w:u w:val="single"/>
                </w:rPr>
                <w:t>. Fair Value of Financial Instruments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08">
              <w:r>
                <w:rPr>
                  <w:rStyle w:val="InternetLink"/>
                  <w:rFonts w:ascii="Arial;sans-serif" w:hAnsi="Arial;sans-serif"/>
                  <w:b w:val="false"/>
                  <w:color w:val="0000FF"/>
                  <w:sz w:val="20"/>
                  <w:u w:val="single"/>
                </w:rPr>
                <w:t>83</w:t>
              </w:r>
            </w:hyperlink>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200" w:after="283"/>
              <w:jc w:val="left"/>
              <w:rPr/>
            </w:pPr>
            <w:hyperlink w:anchor="ieb386c6e1feb425e90d22f2f5c682cf0_1099511630062">
              <w:r>
                <w:rPr>
                  <w:rStyle w:val="InternetLink"/>
                  <w:rFonts w:ascii="Arial;sans-serif" w:hAnsi="Arial;sans-serif"/>
                  <w:b w:val="false"/>
                  <w:color w:val="000080"/>
                  <w:sz w:val="20"/>
                  <w:u w:val="single"/>
                </w:rPr>
                <w:t>1</w:t>
              </w:r>
            </w:hyperlink>
            <w:hyperlink w:anchor="ieb386c6e1feb425e90d22f2f5c682cf0_1099511630062">
              <w:r>
                <w:rPr>
                  <w:rStyle w:val="InternetLink"/>
                  <w:rFonts w:ascii="Arial;sans-serif" w:hAnsi="Arial;sans-serif"/>
                  <w:b w:val="false"/>
                  <w:color w:val="000080"/>
                  <w:sz w:val="20"/>
                  <w:u w:val="single"/>
                </w:rPr>
                <w:t>6</w:t>
              </w:r>
            </w:hyperlink>
            <w:hyperlink w:anchor="ieb386c6e1feb425e90d22f2f5c682cf0_1099511630062">
              <w:r>
                <w:rPr>
                  <w:rStyle w:val="InternetLink"/>
                  <w:rFonts w:ascii="Arial;sans-serif" w:hAnsi="Arial;sans-serif"/>
                  <w:b w:val="false"/>
                  <w:color w:val="000080"/>
                  <w:sz w:val="20"/>
                  <w:u w:val="single"/>
                </w:rPr>
                <w:t>. Share-Based Awards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099511630062">
              <w:r>
                <w:rPr>
                  <w:rStyle w:val="InternetLink"/>
                  <w:rFonts w:ascii="Arial;sans-serif" w:hAnsi="Arial;sans-serif"/>
                  <w:b w:val="false"/>
                  <w:color w:val="0000FF"/>
                  <w:sz w:val="20"/>
                  <w:u w:val="single"/>
                </w:rPr>
                <w:t>84</w:t>
              </w:r>
            </w:hyperlink>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pPr>
            <w:hyperlink w:anchor="ieb386c6e1feb425e90d22f2f5c682cf0_214">
              <w:r>
                <w:rPr>
                  <w:rStyle w:val="InternetLink"/>
                  <w:rFonts w:ascii="Arial;sans-serif" w:hAnsi="Arial;sans-serif"/>
                  <w:b w:val="false"/>
                  <w:color w:val="000080"/>
                  <w:sz w:val="20"/>
                  <w:u w:val="single"/>
                </w:rPr>
                <w:t>1</w:t>
              </w:r>
            </w:hyperlink>
            <w:hyperlink w:anchor="ieb386c6e1feb425e90d22f2f5c682cf0_214">
              <w:r>
                <w:rPr>
                  <w:rStyle w:val="InternetLink"/>
                  <w:rFonts w:ascii="Arial;sans-serif" w:hAnsi="Arial;sans-serif"/>
                  <w:b w:val="false"/>
                  <w:color w:val="000080"/>
                  <w:sz w:val="20"/>
                  <w:u w:val="single"/>
                </w:rPr>
                <w:t>7</w:t>
              </w:r>
            </w:hyperlink>
            <w:hyperlink w:anchor="ieb386c6e1feb425e90d22f2f5c682cf0_214">
              <w:r>
                <w:rPr>
                  <w:rStyle w:val="InternetLink"/>
                  <w:rFonts w:ascii="Arial;sans-serif" w:hAnsi="Arial;sans-serif"/>
                  <w:b w:val="false"/>
                  <w:color w:val="000080"/>
                  <w:sz w:val="20"/>
                  <w:u w:val="single"/>
                </w:rPr>
                <w:t>. Retirement Plans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14">
              <w:r>
                <w:rPr>
                  <w:rStyle w:val="InternetLink"/>
                  <w:rFonts w:ascii="Arial;sans-serif" w:hAnsi="Arial;sans-serif"/>
                  <w:b w:val="false"/>
                  <w:color w:val="0000FF"/>
                  <w:sz w:val="20"/>
                  <w:u w:val="single"/>
                </w:rPr>
                <w:t>87</w:t>
              </w:r>
            </w:hyperlink>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pPr>
            <w:hyperlink w:anchor="ieb386c6e1feb425e90d22f2f5c682cf0_217">
              <w:r>
                <w:rPr>
                  <w:rStyle w:val="InternetLink"/>
                  <w:rFonts w:ascii="Arial;sans-serif" w:hAnsi="Arial;sans-serif"/>
                  <w:b w:val="false"/>
                  <w:color w:val="000080"/>
                  <w:sz w:val="20"/>
                  <w:u w:val="single"/>
                </w:rPr>
                <w:t>1</w:t>
              </w:r>
            </w:hyperlink>
            <w:hyperlink w:anchor="ieb386c6e1feb425e90d22f2f5c682cf0_217">
              <w:r>
                <w:rPr>
                  <w:rStyle w:val="InternetLink"/>
                  <w:rFonts w:ascii="Arial;sans-serif" w:hAnsi="Arial;sans-serif"/>
                  <w:b w:val="false"/>
                  <w:color w:val="000080"/>
                  <w:sz w:val="20"/>
                  <w:u w:val="single"/>
                </w:rPr>
                <w:t>8</w:t>
              </w:r>
            </w:hyperlink>
            <w:hyperlink w:anchor="ieb386c6e1feb425e90d22f2f5c682cf0_217">
              <w:r>
                <w:rPr>
                  <w:rStyle w:val="InternetLink"/>
                  <w:rFonts w:ascii="Arial;sans-serif" w:hAnsi="Arial;sans-serif"/>
                  <w:b w:val="false"/>
                  <w:color w:val="000080"/>
                  <w:sz w:val="20"/>
                  <w:u w:val="single"/>
                </w:rPr>
                <w:t>. Leases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17">
              <w:r>
                <w:rPr>
                  <w:rStyle w:val="InternetLink"/>
                  <w:rFonts w:ascii="Arial;sans-serif" w:hAnsi="Arial;sans-serif"/>
                  <w:b w:val="false"/>
                  <w:color w:val="0000FF"/>
                  <w:sz w:val="20"/>
                  <w:u w:val="single"/>
                </w:rPr>
                <w:t>90</w:t>
              </w:r>
            </w:hyperlink>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pPr>
            <w:hyperlink w:anchor="ieb386c6e1feb425e90d22f2f5c682cf0_1099511630033">
              <w:r>
                <w:rPr>
                  <w:rStyle w:val="InternetLink"/>
                  <w:rFonts w:ascii="Arial;sans-serif" w:hAnsi="Arial;sans-serif"/>
                  <w:b w:val="false"/>
                  <w:color w:val="000080"/>
                  <w:sz w:val="20"/>
                  <w:u w:val="single"/>
                </w:rPr>
                <w:t>1</w:t>
              </w:r>
            </w:hyperlink>
            <w:hyperlink w:anchor="ieb386c6e1feb425e90d22f2f5c682cf0_1099511630033">
              <w:r>
                <w:rPr>
                  <w:rStyle w:val="InternetLink"/>
                  <w:rFonts w:ascii="Arial;sans-serif" w:hAnsi="Arial;sans-serif"/>
                  <w:b w:val="false"/>
                  <w:color w:val="000080"/>
                  <w:sz w:val="20"/>
                  <w:u w:val="single"/>
                </w:rPr>
                <w:t>9</w:t>
              </w:r>
            </w:hyperlink>
            <w:hyperlink w:anchor="ieb386c6e1feb425e90d22f2f5c682cf0_1099511630033">
              <w:r>
                <w:rPr>
                  <w:rStyle w:val="InternetLink"/>
                  <w:rFonts w:ascii="Arial;sans-serif" w:hAnsi="Arial;sans-serif"/>
                  <w:b w:val="false"/>
                  <w:color w:val="000080"/>
                  <w:sz w:val="20"/>
                  <w:u w:val="single"/>
                </w:rPr>
                <w:t>. Derivative Financial Instruments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1099511630033">
              <w:r>
                <w:rPr>
                  <w:rStyle w:val="InternetLink"/>
                  <w:rFonts w:ascii="Arial;sans-serif" w:hAnsi="Arial;sans-serif"/>
                  <w:b w:val="false"/>
                  <w:color w:val="0000FF"/>
                  <w:sz w:val="20"/>
                  <w:u w:val="single"/>
                </w:rPr>
                <w:t>91</w:t>
              </w:r>
            </w:hyperlink>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200" w:after="283"/>
              <w:jc w:val="left"/>
              <w:rPr/>
            </w:pPr>
            <w:hyperlink w:anchor="ieb386c6e1feb425e90d22f2f5c682cf0_223">
              <w:r>
                <w:rPr>
                  <w:rStyle w:val="InternetLink"/>
                  <w:rFonts w:ascii="Arial;sans-serif" w:hAnsi="Arial;sans-serif"/>
                  <w:b w:val="false"/>
                  <w:color w:val="0000FF"/>
                  <w:sz w:val="20"/>
                  <w:u w:val="single"/>
                </w:rPr>
                <w:t>20. Restructuring Actions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23">
              <w:r>
                <w:rPr>
                  <w:rStyle w:val="InternetLink"/>
                  <w:rFonts w:ascii="Arial;sans-serif" w:hAnsi="Arial;sans-serif"/>
                  <w:b w:val="false"/>
                  <w:color w:val="0000FF"/>
                  <w:sz w:val="20"/>
                  <w:u w:val="single"/>
                </w:rPr>
                <w:t>93</w:t>
              </w:r>
            </w:hyperlink>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pPr>
            <w:hyperlink w:anchor="ieb386c6e1feb425e90d22f2f5c682cf0_226">
              <w:r>
                <w:rPr>
                  <w:rStyle w:val="InternetLink"/>
                  <w:rFonts w:ascii="Arial;sans-serif" w:hAnsi="Arial;sans-serif"/>
                  <w:b w:val="false"/>
                  <w:color w:val="000080"/>
                  <w:sz w:val="20"/>
                  <w:u w:val="single"/>
                </w:rPr>
                <w:t>2</w:t>
              </w:r>
            </w:hyperlink>
            <w:hyperlink w:anchor="ieb386c6e1feb425e90d22f2f5c682cf0_226">
              <w:r>
                <w:rPr>
                  <w:rStyle w:val="InternetLink"/>
                  <w:rFonts w:ascii="Arial;sans-serif" w:hAnsi="Arial;sans-serif"/>
                  <w:b w:val="false"/>
                  <w:color w:val="000080"/>
                  <w:sz w:val="20"/>
                  <w:u w:val="single"/>
                </w:rPr>
                <w:t>1</w:t>
              </w:r>
            </w:hyperlink>
            <w:hyperlink w:anchor="ieb386c6e1feb425e90d22f2f5c682cf0_226">
              <w:r>
                <w:rPr>
                  <w:rStyle w:val="InternetLink"/>
                  <w:rFonts w:ascii="Arial;sans-serif" w:hAnsi="Arial;sans-serif"/>
                  <w:b w:val="false"/>
                  <w:color w:val="000080"/>
                  <w:sz w:val="20"/>
                  <w:u w:val="single"/>
                </w:rPr>
                <w:t>. Commitments and Contingencies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26">
              <w:r>
                <w:rPr>
                  <w:rStyle w:val="InternetLink"/>
                  <w:rFonts w:ascii="Arial;sans-serif" w:hAnsi="Arial;sans-serif"/>
                  <w:b w:val="false"/>
                  <w:color w:val="0000FF"/>
                  <w:sz w:val="20"/>
                  <w:u w:val="single"/>
                </w:rPr>
                <w:t>93</w:t>
              </w:r>
            </w:hyperlink>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200" w:after="283"/>
              <w:jc w:val="left"/>
              <w:rPr/>
            </w:pPr>
            <w:hyperlink w:anchor="ieb386c6e1feb425e90d22f2f5c682cf0_229">
              <w:r>
                <w:rPr>
                  <w:rStyle w:val="InternetLink"/>
                  <w:rFonts w:ascii="Arial;sans-serif" w:hAnsi="Arial;sans-serif"/>
                  <w:b w:val="false"/>
                  <w:color w:val="000080"/>
                  <w:sz w:val="20"/>
                  <w:u w:val="single"/>
                </w:rPr>
                <w:t>2</w:t>
              </w:r>
            </w:hyperlink>
            <w:hyperlink w:anchor="ieb386c6e1feb425e90d22f2f5c682cf0_229">
              <w:r>
                <w:rPr>
                  <w:rStyle w:val="InternetLink"/>
                  <w:rFonts w:ascii="Arial;sans-serif" w:hAnsi="Arial;sans-serif"/>
                  <w:b w:val="false"/>
                  <w:color w:val="000080"/>
                  <w:sz w:val="20"/>
                  <w:u w:val="single"/>
                </w:rPr>
                <w:t>2</w:t>
              </w:r>
            </w:hyperlink>
            <w:hyperlink w:anchor="ieb386c6e1feb425e90d22f2f5c682cf0_229">
              <w:r>
                <w:rPr>
                  <w:rStyle w:val="InternetLink"/>
                  <w:rFonts w:ascii="Arial;sans-serif" w:hAnsi="Arial;sans-serif"/>
                  <w:b w:val="false"/>
                  <w:color w:val="000080"/>
                  <w:sz w:val="20"/>
                  <w:u w:val="single"/>
                </w:rPr>
                <w:t>. Segment Reporting</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386c6e1feb425e90d22f2f5c682cf0_229">
              <w:r>
                <w:rPr>
                  <w:rStyle w:val="InternetLink"/>
                  <w:rFonts w:ascii="Arial;sans-serif" w:hAnsi="Arial;sans-serif"/>
                  <w:b w:val="false"/>
                  <w:color w:val="0000FF"/>
                  <w:sz w:val="20"/>
                  <w:u w:val="single"/>
                </w:rPr>
                <w:t>94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20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the Shareholders and Board of Directors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Hasbro, Inc.:</w:t>
      </w:r>
    </w:p>
    <w:p>
      <w:pPr>
        <w:pStyle w:val="TextBody"/>
        <w:bidi w:val="0"/>
        <w:spacing w:lineRule="auto" w:line="288" w:before="120" w:after="100"/>
        <w:jc w:val="left"/>
        <w:rPr>
          <w:rFonts w:ascii="Arial;sans-serif" w:hAnsi="Arial;sans-serif"/>
          <w:b w:val="false"/>
          <w:i/>
          <w:color w:val="000000"/>
          <w:sz w:val="20"/>
        </w:rPr>
      </w:pPr>
      <w:r>
        <w:rPr>
          <w:rFonts w:ascii="Arial;sans-serif" w:hAnsi="Arial;sans-serif"/>
          <w:b w:val="false"/>
          <w:i/>
          <w:color w:val="000000"/>
          <w:sz w:val="20"/>
        </w:rPr>
        <w:t>Opinion on the Consolidated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audited the accompanying consolidated balance sheets of Hasbro, Inc. and subsidiaries (the Company) as of December 28, 2025 and December 29, 2024, the related consolidated statements of operations, comprehensive earnings (loss), shareholders’ equity, and cash flows for each of the years in the three-year period ended December 28, 2025, and the related notes (collectively, the consolidated financial statements). In our opinion, the consolidated financial statements present fairly, in all material respects, the financial position of the Company as of December 28, 2025 and December 29, 2024, and the results of its operations and its cash flows for each of the years in the three-year period ended December 28, 2025, in conformity with U.S. generally accepted accounting principles.</w:t>
      </w:r>
    </w:p>
    <w:p>
      <w:pPr>
        <w:pStyle w:val="TextBody"/>
        <w:bidi w:val="0"/>
        <w:spacing w:lineRule="auto" w:line="288" w:before="120" w:after="283"/>
        <w:jc w:val="left"/>
        <w:rPr/>
      </w:pPr>
      <w:r>
        <w:rPr>
          <w:rFonts w:ascii="Arial;sans-serif" w:hAnsi="Arial;sans-serif"/>
          <w:b w:val="false"/>
          <w:color w:val="000000"/>
          <w:sz w:val="20"/>
        </w:rPr>
        <w:t xml:space="preserve">We also have audited, in accordance with the standards of the Public Company Accounting Oversight Board (United States) (PCAOB), the Company’s internal control over financial reporting as of December 28, 2025, based on criteria established in </w:t>
      </w:r>
      <w:r>
        <w:rPr>
          <w:rFonts w:ascii="Arial;sans-serif" w:hAnsi="Arial;sans-serif"/>
          <w:b w:val="false"/>
          <w:i/>
          <w:color w:val="000000"/>
          <w:sz w:val="20"/>
        </w:rPr>
        <w:t>Internal Control – Integrated Framework (2013)</w:t>
      </w:r>
      <w:r>
        <w:rPr>
          <w:color w:val="000000"/>
        </w:rPr>
        <w:t xml:space="preserve"> </w:t>
      </w:r>
      <w:r>
        <w:rPr>
          <w:rFonts w:ascii="Arial;sans-serif" w:hAnsi="Arial;sans-serif"/>
          <w:b w:val="false"/>
          <w:color w:val="000000"/>
          <w:sz w:val="20"/>
        </w:rPr>
        <w:t>issued by the Committee of Sponsoring Organizations of the Treadway Commission, and our report dated February 25, 2026 expressed an unqualified opinion on the effectiveness of the Company’s internal control over financial reporting.</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Basis for Opinion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Critical Audit Matters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these critical audit matters below, providing separate opinions on the critical audit matters or on the accounts or disclosures to which they relate.</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Evaluation of the sufficiency of audit evidence over royalty revenues and related contract assets and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discussed in Note 1 to the consolidated financial statements, the Company enters into contracts to license its intellectual property wherein the licensees generally pay a sales-based royalty, usage-based royalty, or a combination of both, for use of the intellectual property. The Company records the sales-based or usage-based royalty revenues at the occurrence of the licensees’ subsequent sale or usage. As discussed in Note 2 to the consolidated financial statements, the Company records contract assets related to minimum guarantees being recorded in advance of the contractual invoicing, which are recognized ratably over the terms of the respective license periods. The Company may receive advanced royalty payments from licensees in advance of a licensees’ subsequent sale or usage, or prior to the completion of the Company's performance obligation, for which the Company records the deferred revenues as contract liabilities. As of December 28, 2025, the Company recognized $4,701.3 million of net revenues, a portion of which related to royalty revenues.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December 28, 2025, the Company recorded contract assets and liabilities balances of $282.9 million and $190.5 million, respectively, a portion of each which related to licenses.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identified the evaluation of the sufficiency of audit evidence over royalty revenues and the related contract assets and liabilities as a critical audit matter. Subjective auditor judgment was required to evaluate the nature and extent of procedures performed over royalty revenues and the related contract assets and liabilities because the Company uses a combination of manual and automated procedures to initiate, process, and record these transactions, including multiple information technology (IT) applications. IT professionals with specialized skills and knowledge were also required to evaluate the IT environment in the royalty revenue process.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are the primary procedures we performed to address this critical audit matter. We applied auditor judgment to determine the nature and extent of procedures to be performed over royalty revenues and the related contract assets and liabilities. We evaluated the design and tested the operating effectiveness of certain internal controls over the Company’s royalty revenues and related contract assets and liabilities process, including certain manual and automated controls related to initiating, processing, and recording of these transactions. We involved IT professionals with specialized skills and knowledge, who assisted in testing certain general IT controls and application controls used by the Company to process and record royalty revenues. On a sample basis, we tested royalty revenue transactions, contract assets, and contract liabilities by comparing the recorded amounts to underlying documentation and third-party evidence, including customer contracts, sales and usage statements, invoices, and cash receipts. We evaluated the overall sufficiency of audit evidence obtained by assessing the results of procedures performed, including the appropriateness of the nature and extent of such evidence.</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Valuation of the North America Consumer Products reporting unit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discussed in Notes 1 and 8 to the consolidated financial statements, the Company assesses goodwill and other intangible assets with indefinite lives at least annually, or more frequently if an event occurs or circumstances change that indicate the carrying value of a reporting unit may not be recoverable. During the second quarter of 2025, the Company noted downward revisions to operating income and cash flow forecasts for certain reporting units, including North America, within the Consumer Products segment and performed an interim quantitative impairment test. The fair value of the North America Consumer Products reporting unit was determined considering a discounted cash flow model which is primarily based on management's future revenue and cost estimates, which included the estimated impact of tariff policies in effect and the related macroeconomic environment, and a discount rate. As such, the Company recognized an impairment charge of $1,021.9 million, a portion of which related to the North America Consumer Products reporting unit.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identified the evaluation of the fair value of the North America Consumer Products reporting unit as a critical audit matter. A high degree of subjective auditor judgment was required to evaluate the key assumptions, including the projected net revenue, projected product cost, discount rate, tariff percentage, and tariff percentage probability assumptions, used to estimate fair value for the reporting unit. The assessment of these key assumptions was subjective as they are based largely on the outcome of uncertain future events and changes could have a significant impact on the fair value of the reporting unit. In addition, specialized skills and knowledge were required to assess the discount rate, tariff percentage, and tariff percentage probability assumptions.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are the primary procedures we performed to address this critical audit matter. We evaluated the design and tested the operating effectiveness of certain internal controls related to the Company’s goodwill impairment process. This included controls related to the development of the key assumptions used to estimate fair value of the North America Consumer Products reporting unit. We evaluated the reasonableness of projected net revenue and projected product cost for the reporting unit by comparing them to the Company's historical performance, available external industry data, and other internal information. We evaluated the reasonableness of the tariff percentage and tariff percentage probability for the reporting unit by comparing them to available external industry data. We involved a trade and customs professional with specialized skills and knowledge who assisted in evaluating the tariff percentage and tariff percentage probability by informing our understanding of tariff-related executive orders, the timelines of tariff-related events, and the likelihood of each tariff percentage, including providing external information on the key assumptions. We involved valuation professionals with specialized skills and knowledge, who assisted in: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evaluating the discount rate by comparing it to a discount rate range that was independently developed using publicly available market data for guideline public companies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evaluating the appropriateness of the selected guideline public companies by researching the selected guideline public companies and their business description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developing an independent estimate of the fair value of the reporting unit using the income approach, which was then compared to the Company’s fair value estimate</w: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have not been able to determine the specific year that we began serving as the Company’s auditor, however, we are aware that we have served as the Company’s auditor since at least 1968.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Providence, Rhode Island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December 28, 2025 and December 29, 2024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 Except Share Data)</w:t>
      </w:r>
    </w:p>
    <w:tbl>
      <w:tblPr>
        <w:tblW w:w="10205" w:type="dxa"/>
        <w:jc w:val="left"/>
        <w:tblInd w:w="0" w:type="dxa"/>
        <w:tblLayout w:type="fixed"/>
        <w:tblCellMar>
          <w:top w:w="28" w:type="dxa"/>
          <w:left w:w="28" w:type="dxa"/>
          <w:bottom w:w="28" w:type="dxa"/>
          <w:right w:w="28" w:type="dxa"/>
        </w:tblCellMar>
      </w:tblPr>
      <w:tblGrid>
        <w:gridCol w:w="2816"/>
        <w:gridCol w:w="2399"/>
        <w:gridCol w:w="2355"/>
        <w:gridCol w:w="211"/>
        <w:gridCol w:w="811"/>
        <w:gridCol w:w="109"/>
        <w:gridCol w:w="109"/>
        <w:gridCol w:w="109"/>
        <w:gridCol w:w="109"/>
        <w:gridCol w:w="211"/>
        <w:gridCol w:w="811"/>
        <w:gridCol w:w="155"/>
      </w:tblGrid>
      <w:tr>
        <w:trPr/>
        <w:tc>
          <w:tcPr>
            <w:tcW w:w="2816"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70"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ASSETS</w:t>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and cash equivalents, including restricted cash of $0.4 and $0.3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 net of allowance for credit losses of $61.3 and $25.8</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Goodwill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6,340.3 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LIABILITIES, NONCONTROLLING INTERESTS AND SHAREHOLDERS’ EQUITY</w:t>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Commitments and contingencies (Note 21)</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Shareholders’ equity</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Preference stock of $2.50 par value. Authorized 5,000,000 shares; none issued</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of $0.50 par value. Authorized 600,000,000 shares; issued 220,286,736 shares as of 2025 and 2024</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79,901,615 shares in 2025 and 80,758,045 shares in 2024</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shareholders’ equity</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noncontrolling interests and shareholders’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6,340.3 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Fiscal Years Ended in December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 Except Per Share Data)</w:t>
      </w:r>
    </w:p>
    <w:tbl>
      <w:tblPr>
        <w:tblW w:w="8681" w:type="dxa"/>
        <w:jc w:val="center"/>
        <w:tblInd w:w="0" w:type="dxa"/>
        <w:tblLayout w:type="fixed"/>
        <w:tblCellMar>
          <w:top w:w="28" w:type="dxa"/>
          <w:left w:w="28" w:type="dxa"/>
          <w:bottom w:w="28" w:type="dxa"/>
          <w:right w:w="28" w:type="dxa"/>
        </w:tblCellMar>
      </w:tblPr>
      <w:tblGrid>
        <w:gridCol w:w="1641"/>
        <w:gridCol w:w="1439"/>
        <w:gridCol w:w="1449"/>
        <w:gridCol w:w="211"/>
        <w:gridCol w:w="811"/>
        <w:gridCol w:w="109"/>
        <w:gridCol w:w="109"/>
        <w:gridCol w:w="109"/>
        <w:gridCol w:w="109"/>
        <w:gridCol w:w="211"/>
        <w:gridCol w:w="811"/>
        <w:gridCol w:w="109"/>
        <w:gridCol w:w="109"/>
        <w:gridCol w:w="109"/>
        <w:gridCol w:w="109"/>
        <w:gridCol w:w="211"/>
        <w:gridCol w:w="871"/>
        <w:gridCol w:w="154"/>
      </w:tblGrid>
      <w:tr>
        <w:trPr/>
        <w:tc>
          <w:tcPr>
            <w:tcW w:w="164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and expenses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Program cost amortization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development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goodwill (Note 8)</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disposal of business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distribution and administration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(loss)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expense</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earnings before income taxes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earnings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attributable to noncontrolling interests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earnings attributable to Hasbro,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earnings per common share: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declared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Earnings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Fiscal Years Ended in December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w:t>
      </w:r>
    </w:p>
    <w:tbl>
      <w:tblPr>
        <w:tblW w:w="9927" w:type="dxa"/>
        <w:jc w:val="center"/>
        <w:tblInd w:w="0" w:type="dxa"/>
        <w:tblLayout w:type="fixed"/>
        <w:tblCellMar>
          <w:top w:w="28" w:type="dxa"/>
          <w:left w:w="28" w:type="dxa"/>
          <w:bottom w:w="28" w:type="dxa"/>
          <w:right w:w="28" w:type="dxa"/>
        </w:tblCellMar>
      </w:tblPr>
      <w:tblGrid>
        <w:gridCol w:w="2184"/>
        <w:gridCol w:w="1921"/>
        <w:gridCol w:w="1940"/>
        <w:gridCol w:w="211"/>
        <w:gridCol w:w="706"/>
        <w:gridCol w:w="109"/>
        <w:gridCol w:w="109"/>
        <w:gridCol w:w="109"/>
        <w:gridCol w:w="109"/>
        <w:gridCol w:w="211"/>
        <w:gridCol w:w="646"/>
        <w:gridCol w:w="109"/>
        <w:gridCol w:w="109"/>
        <w:gridCol w:w="109"/>
        <w:gridCol w:w="109"/>
        <w:gridCol w:w="211"/>
        <w:gridCol w:w="871"/>
        <w:gridCol w:w="154"/>
      </w:tblGrid>
      <w:tr>
        <w:trPr/>
        <w:tc>
          <w:tcPr>
            <w:tcW w:w="2184"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2023</w:t>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comprehensive earnings (loss):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(losses) gains on hedging activities, net of tax</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unrecognized pension amounts, net of tax</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Reclassifications to earnings, net of tax:</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losses on hedging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unrecognized pension and postretirement amounts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comprehensive earnings (loss), net of tax</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comprehensive (loss) earnings, net of tax</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comprehensive earnings attributable to noncontrolling interests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comprehensive (loss) earnings attributable to Hasbro,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2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2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28" w:before="0" w:after="0"/>
        <w:jc w:val="center"/>
        <w:rPr>
          <w:rFonts w:ascii="Arial;sans-serif" w:hAnsi="Arial;sans-serif"/>
          <w:b/>
          <w:color w:val="000000"/>
          <w:sz w:val="20"/>
        </w:rPr>
      </w:pPr>
      <w:r>
        <w:rPr>
          <w:rFonts w:ascii="Arial;sans-serif" w:hAnsi="Arial;sans-serif"/>
          <w:b/>
          <w:color w:val="000000"/>
          <w:sz w:val="20"/>
        </w:rPr>
        <w:t>Fiscal Years Ended in December</w:t>
      </w:r>
    </w:p>
    <w:p>
      <w:pPr>
        <w:pStyle w:val="TextBody"/>
        <w:bidi w:val="0"/>
        <w:spacing w:lineRule="auto" w:line="228" w:before="0" w:after="0"/>
        <w:jc w:val="center"/>
        <w:rPr>
          <w:rFonts w:ascii="Arial;sans-serif" w:hAnsi="Arial;sans-serif"/>
          <w:b/>
          <w:color w:val="000000"/>
          <w:sz w:val="20"/>
        </w:rPr>
      </w:pPr>
      <w:r>
        <w:rPr>
          <w:rFonts w:ascii="Arial;sans-serif" w:hAnsi="Arial;sans-serif"/>
          <w:b/>
          <w:color w:val="000000"/>
          <w:sz w:val="20"/>
        </w:rPr>
        <w:t>(Millions of Dollars)</w:t>
      </w:r>
    </w:p>
    <w:tbl>
      <w:tblPr>
        <w:tblW w:w="9657" w:type="dxa"/>
        <w:jc w:val="left"/>
        <w:tblInd w:w="0" w:type="dxa"/>
        <w:tblLayout w:type="fixed"/>
        <w:tblCellMar>
          <w:top w:w="28" w:type="dxa"/>
          <w:left w:w="28" w:type="dxa"/>
          <w:bottom w:w="28" w:type="dxa"/>
          <w:right w:w="28" w:type="dxa"/>
        </w:tblCellMar>
      </w:tblPr>
      <w:tblGrid>
        <w:gridCol w:w="2204"/>
        <w:gridCol w:w="1935"/>
        <w:gridCol w:w="1951"/>
        <w:gridCol w:w="196"/>
        <w:gridCol w:w="631"/>
        <w:gridCol w:w="109"/>
        <w:gridCol w:w="109"/>
        <w:gridCol w:w="109"/>
        <w:gridCol w:w="109"/>
        <w:gridCol w:w="196"/>
        <w:gridCol w:w="556"/>
        <w:gridCol w:w="109"/>
        <w:gridCol w:w="109"/>
        <w:gridCol w:w="109"/>
        <w:gridCol w:w="109"/>
        <w:gridCol w:w="196"/>
        <w:gridCol w:w="766"/>
        <w:gridCol w:w="154"/>
      </w:tblGrid>
      <w:tr>
        <w:trPr/>
        <w:tc>
          <w:tcPr>
            <w:tcW w:w="2204"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earnings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earnings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disposal of business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Impairment of 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intangibles and production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Discovery Family Channel investment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Inventory obsolescence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non-cash items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 net of acquired and disposed balances: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production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accounts payable and 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net deemed repatriation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 to 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 to software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(settlement) proceeds from sale of business, net of cash transferred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Maturity of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(utilized) provided by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Repayments of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repayments of other short-term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transactions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related to tax withholding for 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financing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utilized by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increase in cash,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cash equivalents and restricted cash, 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information</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taxes paid,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val="false"/>
          <w:color w:val="000000"/>
          <w:sz w:val="16"/>
        </w:rPr>
      </w:pPr>
      <w:r>
        <w:rPr>
          <w:rFonts w:ascii="Arial;sans-serif" w:hAnsi="Arial;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2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28" w:before="0" w:after="0"/>
        <w:jc w:val="center"/>
        <w:rPr>
          <w:rFonts w:ascii="Arial;sans-serif" w:hAnsi="Arial;sans-serif"/>
          <w:b/>
          <w:color w:val="000000"/>
          <w:sz w:val="20"/>
        </w:rPr>
      </w:pPr>
      <w:r>
        <w:rPr>
          <w:rFonts w:ascii="Arial;sans-serif" w:hAnsi="Arial;sans-serif"/>
          <w:b/>
          <w:color w:val="000000"/>
          <w:sz w:val="20"/>
        </w:rPr>
        <w:t>Consolidated Statements of Shareholders’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w:t>
      </w:r>
    </w:p>
    <w:tbl>
      <w:tblPr>
        <w:tblW w:w="11677" w:type="dxa"/>
        <w:jc w:val="center"/>
        <w:tblInd w:w="0" w:type="dxa"/>
        <w:tblLayout w:type="fixed"/>
        <w:tblCellMar>
          <w:top w:w="28" w:type="dxa"/>
          <w:left w:w="28" w:type="dxa"/>
          <w:bottom w:w="28" w:type="dxa"/>
          <w:right w:w="28" w:type="dxa"/>
        </w:tblCellMar>
      </w:tblPr>
      <w:tblGrid>
        <w:gridCol w:w="565"/>
        <w:gridCol w:w="497"/>
        <w:gridCol w:w="499"/>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302"/>
        <w:gridCol w:w="880"/>
        <w:gridCol w:w="169"/>
        <w:gridCol w:w="109"/>
        <w:gridCol w:w="109"/>
        <w:gridCol w:w="109"/>
        <w:gridCol w:w="196"/>
        <w:gridCol w:w="706"/>
        <w:gridCol w:w="109"/>
        <w:gridCol w:w="109"/>
        <w:gridCol w:w="109"/>
        <w:gridCol w:w="109"/>
        <w:gridCol w:w="347"/>
        <w:gridCol w:w="825"/>
        <w:gridCol w:w="194"/>
        <w:gridCol w:w="109"/>
        <w:gridCol w:w="109"/>
        <w:gridCol w:w="109"/>
        <w:gridCol w:w="236"/>
        <w:gridCol w:w="833"/>
        <w:gridCol w:w="132"/>
        <w:gridCol w:w="109"/>
        <w:gridCol w:w="109"/>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Common</w:t>
              <w:br/>
              <w:t>Stock</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Additional</w:t>
              <w:br/>
              <w:t>Paid-in</w:t>
              <w:br/>
              <w:t>Capital</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Retained</w:t>
              <w:br/>
              <w:t>Earnings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Accumulated</w:t>
              <w:br/>
              <w:t>Other</w:t>
              <w:br/>
              <w:t>Comprehensive</w:t>
              <w:br/>
              <w:t>Loss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Treasury</w:t>
              <w:br/>
              <w:t>Stock</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Non-controlling Interests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Total</w:t>
              <w:br/>
              <w:t>Shareholders’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December 25, 2022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earnings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(1,487.8)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transactions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 paid to noncontrolling owners and other foreign exchange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Buyout of redeemable noncontrolling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December 31, 2023</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earnings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transactions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December 29, 2024</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(246.4)</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earnings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(318.2)</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earnings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December 28,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ind w:left="0" w:right="0" w:hanging="540"/>
        <w:jc w:val="left"/>
        <w:rPr/>
      </w:pPr>
      <w:r>
        <w:rPr>
          <w:rFonts w:ascii="Arial;sans-serif" w:hAnsi="Arial;sans-serif"/>
          <w:b/>
          <w:color w:val="000000"/>
          <w:sz w:val="20"/>
        </w:rPr>
        <w:t>(1)    </w:t>
      </w:r>
      <w:r>
        <w:rPr>
          <w:rFonts w:ascii="Arial;sans-serif" w:hAnsi="Arial;sans-serif"/>
          <w:b/>
          <w:color w:val="000000"/>
          <w:sz w:val="20"/>
          <w:u w:val="single"/>
        </w:rPr>
        <w:t>Summary of Significant Accounting Policies</w:t>
      </w:r>
    </w:p>
    <w:p>
      <w:pPr>
        <w:pStyle w:val="TextBody"/>
        <w:bidi w:val="0"/>
        <w:spacing w:lineRule="auto" w:line="288" w:before="120" w:after="283"/>
        <w:jc w:val="left"/>
        <w:rPr/>
      </w:pPr>
      <w:r>
        <w:rPr>
          <w:rFonts w:ascii="Arial;sans-serif" w:hAnsi="Arial;sans-serif"/>
          <w:b/>
          <w:i/>
          <w:color w:val="225CAB"/>
          <w:sz w:val="20"/>
        </w:rPr>
        <w:t xml:space="preserve">Overview: </w:t>
      </w:r>
      <w:r>
        <w:rPr>
          <w:rFonts w:ascii="Arial;sans-serif" w:hAnsi="Arial;sans-serif"/>
          <w:b w:val="false"/>
          <w:color w:val="000000"/>
          <w:sz w:val="20"/>
        </w:rPr>
        <w:t xml:space="preserve">Hasbro, Inc., a Rhode Island corporation, and its consolidated subsidiaries are referred to in these consolidated financial statements and notes as “we,” “our,” “us,” the “Company” or “Hasbro.”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three reportable segments consist of: Consumer Products, Wizards of the Coast and Digital Gaming, and Entertainment. Corporate and Other, which does not meet the criteria to be an operating segment, provides management and administrative services to the Company's principal reporting segments.</w:t>
      </w:r>
    </w:p>
    <w:p>
      <w:pPr>
        <w:pStyle w:val="TextBody"/>
        <w:bidi w:val="0"/>
        <w:spacing w:lineRule="auto" w:line="288" w:before="120" w:after="283"/>
        <w:jc w:val="left"/>
        <w:rPr/>
      </w:pPr>
      <w:r>
        <w:rPr>
          <w:rFonts w:ascii="Arial;sans-serif" w:hAnsi="Arial;sans-serif"/>
          <w:b/>
          <w:i/>
          <w:color w:val="225CAB"/>
          <w:sz w:val="20"/>
        </w:rPr>
        <w:t>Principles of Consolidation:</w:t>
      </w:r>
      <w:r>
        <w:rPr>
          <w:color w:val="000000"/>
        </w:rPr>
        <w:t xml:space="preserve"> </w:t>
      </w:r>
      <w:r>
        <w:rPr>
          <w:rFonts w:ascii="Arial;sans-serif" w:hAnsi="Arial;sans-serif"/>
          <w:b w:val="false"/>
          <w:color w:val="000000"/>
          <w:sz w:val="20"/>
        </w:rPr>
        <w:t>The consolidated financial statements include the accounts of Hasbro, Inc. and all majority-owned subsidiaries. Investments representing 20% to 50% ownership interests in other companies are accounted for using the equity method. For those majority-owned subsidiaries that are not 100% owned by Hasbro, the interests of the minority owners are accounted for as noncontrolling interests. All intercompany balances and transactions have been eliminated.</w:t>
      </w:r>
    </w:p>
    <w:p>
      <w:pPr>
        <w:pStyle w:val="TextBody"/>
        <w:bidi w:val="0"/>
        <w:spacing w:lineRule="auto" w:line="288" w:before="120" w:after="283"/>
        <w:jc w:val="left"/>
        <w:rPr/>
      </w:pPr>
      <w:r>
        <w:rPr>
          <w:rFonts w:ascii="Arial;sans-serif" w:hAnsi="Arial;sans-serif"/>
          <w:b/>
          <w:i/>
          <w:color w:val="225CAB"/>
          <w:sz w:val="20"/>
        </w:rPr>
        <w:t xml:space="preserve">Basis of Presentation: </w:t>
      </w:r>
      <w:r>
        <w:rPr>
          <w:rFonts w:ascii="Arial;sans-serif" w:hAnsi="Arial;sans-serif"/>
          <w:b w:val="false"/>
          <w:color w:val="000000"/>
          <w:sz w:val="20"/>
        </w:rPr>
        <w:t>Hasbro’s fiscal year ends on the last Sunday in December. The fiscal years ended December 28, 2025 and December 29, 2024 were fifty-two week periods. The fiscal year ended December 31, 2023 was a fifty-three week period. Certain amounts have been reclassified to conform to current year presentation.</w:t>
      </w:r>
    </w:p>
    <w:p>
      <w:pPr>
        <w:pStyle w:val="TextBody"/>
        <w:bidi w:val="0"/>
        <w:spacing w:lineRule="auto" w:line="288" w:before="120" w:after="283"/>
        <w:jc w:val="left"/>
        <w:rPr/>
      </w:pPr>
      <w:r>
        <w:rPr>
          <w:rFonts w:ascii="Arial;sans-serif" w:hAnsi="Arial;sans-serif"/>
          <w:b/>
          <w:i/>
          <w:color w:val="225CAB"/>
          <w:sz w:val="20"/>
        </w:rPr>
        <w:t xml:space="preserve">Use of Estimates: </w:t>
      </w:r>
      <w:r>
        <w:rPr>
          <w:rFonts w:ascii="Arial;sans-serif" w:hAnsi="Arial;sans-serif"/>
          <w:b w:val="false"/>
          <w:color w:val="000000"/>
          <w:sz w:val="20"/>
        </w:rPr>
        <w:t>The consolidated financial statements have been prepared in accordance with U.S. generally accepted accounting principles ("GAAP") and necessarily include amounts based on estimates and assumptions by management. Actual results could differ from those amounts. Significant estimates include amounts for income taxes, litigation, valuation of goodwill and other long-term assets, and inventory and accounts receivable exposures.</w:t>
      </w:r>
    </w:p>
    <w:p>
      <w:pPr>
        <w:pStyle w:val="TextBody"/>
        <w:bidi w:val="0"/>
        <w:spacing w:lineRule="auto" w:line="288" w:before="120" w:after="283"/>
        <w:jc w:val="left"/>
        <w:rPr/>
      </w:pPr>
      <w:r>
        <w:rPr>
          <w:rFonts w:ascii="Arial;sans-serif" w:hAnsi="Arial;sans-serif"/>
          <w:b/>
          <w:i/>
          <w:color w:val="225CAB"/>
          <w:sz w:val="20"/>
        </w:rPr>
        <w:t xml:space="preserve">Sale of Non-core Entertainment One Film and TV Business: </w:t>
      </w:r>
      <w:r>
        <w:rPr>
          <w:rFonts w:ascii="Arial;sans-serif" w:hAnsi="Arial;sans-serif"/>
          <w:b w:val="false"/>
          <w:color w:val="000000"/>
          <w:sz w:val="20"/>
        </w:rPr>
        <w:t>On December 27, 2023, the Company completed the sale of its Entertainment One film and television business ("eOne Film and TV") to Lions Gate Entertainment Corp., Lions Gate Entertainment Inc. and Lions Gate International Motion Pictures S.à.r.l (collectively "Lionsgate"), pursuant to the terms of an Equity Purchase Agreement dated August 3, 2023. Refer to Note 3, Sale of Entertainment One Film and TV Business, for additional information.</w:t>
      </w:r>
    </w:p>
    <w:p>
      <w:pPr>
        <w:pStyle w:val="TextBody"/>
        <w:bidi w:val="0"/>
        <w:spacing w:lineRule="auto" w:line="288" w:before="120" w:after="283"/>
        <w:jc w:val="left"/>
        <w:rPr/>
      </w:pPr>
      <w:r>
        <w:rPr>
          <w:rFonts w:ascii="Arial;sans-serif" w:hAnsi="Arial;sans-serif"/>
          <w:b/>
          <w:i/>
          <w:color w:val="225CAB"/>
          <w:sz w:val="20"/>
        </w:rPr>
        <w:t xml:space="preserve">Other Adjustments: </w:t>
      </w:r>
      <w:r>
        <w:rPr>
          <w:rFonts w:ascii="Arial;sans-serif" w:hAnsi="Arial;sans-serif"/>
          <w:b w:val="false"/>
          <w:color w:val="000000"/>
          <w:sz w:val="20"/>
        </w:rPr>
        <w:t xml:space="preserve">During 2024, the Company corrected prior period errors associated with an $18.1 million benefit related to the reversal of share-based compensation expense for the Company's stock performance awards that should have been recorded during fiscal year 2023 (recorded in Selling, distribution and administration on the Consolidated Statements of Operations), a $31.1 million expense and associated liability related to historical environmental liabilities in accordance with the Financial Accounting Standards Board ("FASB") Accounting Standard Codification ("ASC") Topic 410, </w:t>
      </w:r>
      <w:r>
        <w:rPr>
          <w:rFonts w:ascii="Arial;sans-serif" w:hAnsi="Arial;sans-serif"/>
          <w:b w:val="false"/>
          <w:i/>
          <w:color w:val="000000"/>
          <w:sz w:val="20"/>
        </w:rPr>
        <w:t>Asset Retirement and Environmental Obligations</w:t>
      </w:r>
      <w:r>
        <w:rPr>
          <w:color w:val="000000"/>
        </w:rPr>
        <w:t xml:space="preserve"> </w:t>
      </w:r>
      <w:r>
        <w:rPr>
          <w:rFonts w:ascii="Arial;sans-serif" w:hAnsi="Arial;sans-serif"/>
          <w:b w:val="false"/>
          <w:color w:val="000000"/>
          <w:sz w:val="20"/>
        </w:rPr>
        <w:t>(recorded in Selling, distribution and administration on the Consolidated Statements of Operations), and a $26.7 million benefit related to an over-accrual of vendor commitment liabilities (recorded in Cost of sales on the Consolidated Statements of Operations). The recording of these items was not considered to be material, individually or in the aggregate, to the Company's prior year consolidated financial statements.</w:t>
      </w:r>
    </w:p>
    <w:p>
      <w:pPr>
        <w:pStyle w:val="TextBody"/>
        <w:bidi w:val="0"/>
        <w:spacing w:lineRule="auto" w:line="288" w:before="120" w:after="283"/>
        <w:jc w:val="left"/>
        <w:rPr/>
      </w:pPr>
      <w:r>
        <w:rPr>
          <w:rFonts w:ascii="Arial;sans-serif" w:hAnsi="Arial;sans-serif"/>
          <w:b/>
          <w:i/>
          <w:color w:val="225CAB"/>
          <w:sz w:val="20"/>
        </w:rPr>
        <w:t xml:space="preserve">Cash, Cash Equivalents and Restricted Cash: </w:t>
      </w:r>
      <w:r>
        <w:rPr>
          <w:rFonts w:ascii="Arial;sans-serif" w:hAnsi="Arial;sans-serif"/>
          <w:b w:val="false"/>
          <w:color w:val="000000"/>
          <w:sz w:val="20"/>
        </w:rPr>
        <w:t xml:space="preserve">Cash and cash equivalents, including restricted cash, include all cash balances and highly liquid investments purchased with an initial maturity to the Company of three months or less. </w:t>
      </w:r>
    </w:p>
    <w:p>
      <w:pPr>
        <w:pStyle w:val="TextBody"/>
        <w:bidi w:val="0"/>
        <w:spacing w:lineRule="auto" w:line="288" w:before="120" w:after="283"/>
        <w:jc w:val="left"/>
        <w:rPr/>
      </w:pPr>
      <w:r>
        <w:rPr>
          <w:rFonts w:ascii="Arial;sans-serif" w:hAnsi="Arial;sans-serif"/>
          <w:b/>
          <w:i/>
          <w:color w:val="225CAB"/>
          <w:sz w:val="20"/>
        </w:rPr>
        <w:t xml:space="preserve">Accounts Receivable and Allowance for Credit Losses: </w:t>
      </w:r>
      <w:r>
        <w:rPr>
          <w:rFonts w:ascii="Arial;sans-serif" w:hAnsi="Arial;sans-serif"/>
          <w:b w:val="false"/>
          <w:color w:val="000000"/>
          <w:sz w:val="20"/>
        </w:rPr>
        <w:t>Accounts receivable represent amounts due from customers in the ordinary course of business and are recorded at the invoiced amount and do not bear interest. Receivables are presented net of allowances for credit losses in the Company’s accompanying Consolidated Balance Sheets. Credit is granted to customers predominantly on an unsecured basis. Credit limits and payment terms are established based on extensive evaluations made on an ongoing basis throughout the fiscal year with regard to the financial performance, cash generation, financing availability and liquidity status of each customer. The Company evaluates the collectability of its accounts receivable and determines the appropriate allowance for credit losses based on a combination of factors such as assessment of the business environment, customers’ financial condition, historical collection experience, accounts receivable aging, customer disputes and future expected losses. Refer to Note 2, Revenue Recognition, for additional information related to the allowance for credit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pPr>
      <w:r>
        <w:rPr>
          <w:rFonts w:ascii="Arial;sans-serif" w:hAnsi="Arial;sans-serif"/>
          <w:b/>
          <w:i/>
          <w:color w:val="225CAB"/>
          <w:sz w:val="20"/>
        </w:rPr>
        <w:t xml:space="preserve">Inventories: </w:t>
      </w:r>
      <w:r>
        <w:rPr>
          <w:rFonts w:ascii="Arial;sans-serif" w:hAnsi="Arial;sans-serif"/>
          <w:b w:val="false"/>
          <w:color w:val="000000"/>
          <w:sz w:val="20"/>
        </w:rPr>
        <w:t>Inventories are valued at the lower of cost or net realizable value using the first-in, first-out method. Based upon a consideration of quantities on hand, actual and projected sales volume, anticipated product selling price and product lines planned to be discontinued, slow-moving and obsolete inventory is written down to its estimated net realizable value. As of December 28, 2025 and December 29, 2024, substantially all inventory is comprised of finished goods.</w:t>
      </w:r>
    </w:p>
    <w:p>
      <w:pPr>
        <w:pStyle w:val="TextBody"/>
        <w:bidi w:val="0"/>
        <w:spacing w:lineRule="auto" w:line="288" w:before="120" w:after="283"/>
        <w:jc w:val="left"/>
        <w:rPr/>
      </w:pPr>
      <w:r>
        <w:rPr>
          <w:rFonts w:ascii="Arial;sans-serif" w:hAnsi="Arial;sans-serif"/>
          <w:b/>
          <w:i/>
          <w:color w:val="225CAB"/>
          <w:sz w:val="20"/>
        </w:rPr>
        <w:t xml:space="preserve">Equity Method Investment: </w:t>
      </w:r>
      <w:r>
        <w:rPr>
          <w:rFonts w:ascii="Arial;sans-serif" w:hAnsi="Arial;sans-serif"/>
          <w:b w:val="false"/>
          <w:color w:val="000000"/>
          <w:sz w:val="20"/>
        </w:rPr>
        <w:t>For the Company’s equity method investments, only the Company’s investment in and amounts due to and from the equity method investment are included in the Consolidated Balance Sheets. The Company’s share of the equity method investment’s earnings (losses) are included in Other (income) expense, net in the Consolidated Statements of Operations, along with any cash distributions received in excess of the carrying value of the investment. Dividends, cash distributions, loans or other cash received from the equity method investment, additional cash investments or other cash paid to the investee are included in the Consolidated Statements of Cash Flows. The Company reviews its equity method investments for impairment on a periodic basis. If it has been determined that the fair value of the equity investment is less than its related carrying value and that this decline is other-than-temporary, the carrying value of the investment is adjusted downward to reflect these declines in value. Refer to Note 9, Equity Method Investment, for additional information.</w:t>
      </w:r>
    </w:p>
    <w:p>
      <w:pPr>
        <w:pStyle w:val="TextBody"/>
        <w:bidi w:val="0"/>
        <w:spacing w:lineRule="auto" w:line="288" w:before="120" w:after="283"/>
        <w:jc w:val="left"/>
        <w:rPr/>
      </w:pPr>
      <w:r>
        <w:rPr>
          <w:rFonts w:ascii="Arial;sans-serif" w:hAnsi="Arial;sans-serif"/>
          <w:b/>
          <w:i/>
          <w:color w:val="225CAB"/>
          <w:sz w:val="20"/>
        </w:rPr>
        <w:t xml:space="preserve">Noncontrolling Interests: </w:t>
      </w:r>
      <w:r>
        <w:rPr>
          <w:rFonts w:ascii="Arial;sans-serif" w:hAnsi="Arial;sans-serif"/>
          <w:b w:val="false"/>
          <w:color w:val="000000"/>
          <w:sz w:val="20"/>
        </w:rPr>
        <w:t xml:space="preserve">The financial results and position of noncontrolling interests in entities that meet the criteria for consolidation are included in their entirety in the Company’s Consolidated Statements of Operations and Consolidated Balance Sheets. The Company's remaining non-redeemable noncontrolling interests as of December 28, 2025 and December 29, 2024 includes the following: </w:t>
      </w:r>
    </w:p>
    <w:tbl>
      <w:tblPr>
        <w:tblW w:w="10205" w:type="dxa"/>
        <w:jc w:val="left"/>
        <w:tblInd w:w="0" w:type="dxa"/>
        <w:tblLayout w:type="fixed"/>
        <w:tblCellMar>
          <w:top w:w="28" w:type="dxa"/>
          <w:left w:w="28" w:type="dxa"/>
          <w:bottom w:w="28" w:type="dxa"/>
          <w:right w:w="28" w:type="dxa"/>
        </w:tblCellMar>
      </w:tblPr>
      <w:tblGrid>
        <w:gridCol w:w="726"/>
        <w:gridCol w:w="637"/>
        <w:gridCol w:w="647"/>
        <w:gridCol w:w="109"/>
        <w:gridCol w:w="109"/>
        <w:gridCol w:w="109"/>
        <w:gridCol w:w="597"/>
        <w:gridCol w:w="597"/>
        <w:gridCol w:w="599"/>
        <w:gridCol w:w="109"/>
        <w:gridCol w:w="109"/>
        <w:gridCol w:w="109"/>
        <w:gridCol w:w="499"/>
        <w:gridCol w:w="495"/>
        <w:gridCol w:w="481"/>
        <w:gridCol w:w="109"/>
        <w:gridCol w:w="109"/>
        <w:gridCol w:w="109"/>
        <w:gridCol w:w="397"/>
        <w:gridCol w:w="397"/>
        <w:gridCol w:w="398"/>
        <w:gridCol w:w="109"/>
        <w:gridCol w:w="109"/>
        <w:gridCol w:w="109"/>
        <w:gridCol w:w="718"/>
        <w:gridCol w:w="704"/>
        <w:gridCol w:w="1005"/>
      </w:tblGrid>
      <w:tr>
        <w:trPr/>
        <w:tc>
          <w:tcPr>
            <w:tcW w:w="72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Name</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Country of Incorporation</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Ownership Interest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Proportion Held</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Principal Activity</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Astley Baker Davies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England and Wales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Ownership of intellectual property</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7"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i/>
          <w:color w:val="225CAB"/>
          <w:sz w:val="20"/>
        </w:rPr>
        <w:t xml:space="preserve">Property, Plant and Equipment, Net: </w:t>
      </w:r>
      <w:r>
        <w:rPr>
          <w:rFonts w:ascii="Arial;sans-serif" w:hAnsi="Arial;sans-serif"/>
          <w:b w:val="false"/>
          <w:color w:val="000000"/>
          <w:sz w:val="20"/>
        </w:rPr>
        <w:t>Property, plant and equipment, net are stated at cost less accumulated depreciation. Depreciation is computed using accelerated and straight-line methods to depreciate the cost of property, plant and equipment over their estimated useful lives. The principal lives, in years, used in determining depreciation rates of various assets are: land improvements 15 to 19, buildings and improvements 14 to 25 and machinery and equipment (including computer hardware and software) 3 to 12. Depreciation expense is classified in the Consolidated Statements of Operations based on the nature of the property and equipment being depreciated. Tools, dies and molds are depreciated over their useful lives, which is generally 3 years, using an accelerated method. The Company generally owns all tools, dies and molds related to its products. Refer to Note 6, Property, Plant and Equipment, for additional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Property, plant and equipment, net is reviewed for impairment whenever events or circumstances indicate the carrying value may not be recoverable. Recoverability is measured by a comparison of the carrying amount of the asset or related asset group to future undiscounted cash flows expected to be generated by the asset or asset group. If such assets are considered to be impaired, the impairment to be recognized would be measured by the amount by which the carrying value of the assets exceeds their fair value wherein the fair value is the appraised value. Furthermore, assets to be disposed of are carried at the lower of the net book value or their estimated fair value less disposal costs.</w:t>
      </w:r>
    </w:p>
    <w:p>
      <w:pPr>
        <w:pStyle w:val="TextBody"/>
        <w:bidi w:val="0"/>
        <w:spacing w:lineRule="auto" w:line="288" w:before="120" w:after="283"/>
        <w:jc w:val="left"/>
        <w:rPr/>
      </w:pPr>
      <w:r>
        <w:rPr>
          <w:rFonts w:ascii="Arial;sans-serif" w:hAnsi="Arial;sans-serif"/>
          <w:b/>
          <w:i/>
          <w:color w:val="225CAB"/>
          <w:sz w:val="20"/>
        </w:rPr>
        <w:t xml:space="preserve">Software as a Service Arrangements: </w:t>
      </w:r>
      <w:r>
        <w:rPr>
          <w:rFonts w:ascii="Arial;sans-serif" w:hAnsi="Arial;sans-serif"/>
          <w:b w:val="false"/>
          <w:color w:val="000000"/>
          <w:sz w:val="20"/>
        </w:rPr>
        <w:t>The Company incurs costs to implement software as a service arrangements that are hosted by third party vendors. Implementation costs associated with software as a service arrangements are capitalized when incurred during the application development phase. Amortization is calculated on a straight-line basis over the contractual term of the arrangement. Capitalized amounts related to such arrangements are recorded within Prepaid expense and other current assets and Other assets in the Consolidated Balance Sheets.</w:t>
      </w:r>
    </w:p>
    <w:p>
      <w:pPr>
        <w:pStyle w:val="TextBody"/>
        <w:bidi w:val="0"/>
        <w:spacing w:lineRule="auto" w:line="288" w:before="120" w:after="283"/>
        <w:jc w:val="left"/>
        <w:rPr/>
      </w:pPr>
      <w:r>
        <w:rPr>
          <w:rFonts w:ascii="Arial;sans-serif" w:hAnsi="Arial;sans-serif"/>
          <w:b/>
          <w:i/>
          <w:color w:val="225CAB"/>
          <w:sz w:val="20"/>
        </w:rPr>
        <w:t xml:space="preserve">Software Development Costs: </w:t>
      </w:r>
      <w:r>
        <w:rPr>
          <w:rFonts w:ascii="Arial;sans-serif" w:hAnsi="Arial;sans-serif"/>
          <w:b w:val="false"/>
          <w:color w:val="000000"/>
          <w:sz w:val="20"/>
        </w:rPr>
        <w:t>Capitalized software development costs include direct costs incurred for both internally developed titles as well as payments to third-party software developers under development agreements. Software development costs are capitalized within Other assets in the Company’s accompanying Consolidated Balance Sheets. Cash outflows associated with the capitalization of software development costs are presented as an investing activity in the Company's accompanying Consolidated Statement of Cash Flows. Substantially all of our capitalized software development costs are included within the Wizards of the Coast and Digital Gaming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capitalize internal software development costs (including specifically identifiable payroll expense and incentive compensation costs, as well as third-party production and other content costs), subsequent to establishing technological feasibility of a software title. Technological feasibility of a product includes the completion of both technical design documentation and game design documentation. Management exercises judgment to assess when technological feasibility has been established. For titles where proven technology exists, this may occur early in the development cycle. Technological feasibility is evaluated on a title-by-title basis. Prior to establishing technological feasibility of a title, any costs incurred by third-party developers are recorded as product development expenses.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enter into agreements with third-party developers that require us to make payments for game development and production services. In exchange for our payments, we receive the exclusive publishing and distribution rights to the finished game title. Subsequent to establishing technological feasibility of a product, we capitalize all development and production service payments to third-party developers as software development costs. When we contract with third-party developers, we generally select those that have proven technology and experience in the genre of the software being developed, which often allows for the establishment of technological feasibility early in the development cycle.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development of certain software titles qualify for government grants and tax incentives that are earned on qualified production spend. These grants and incentives either reduce the cost basis of our capitalized software development costs or product development expense, depending on if the associated titles have met the technological feasibility criteria.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Amortization of capitalized software development costs and licenses commence when a title is available for general release and is recorded on a title-by-title basis in Cost of sales in the Consolidated Statements of Operations. For capitalized software development costs, annual amortization is calculated using (1) the proportion of current year revenue to the total revenue expected to be recorded over the life of the title or (2) the straight-line method over the remaining estimated life of the title, whichever is greater. As of December 28, 2025, none of the titles for which we have capitalized software development costs have begun amortization.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evaluate the future recoverability of capitalized software development costs on a quarterly basis. For titles that have been released to the general public, recoverability is primarily assessed based on the title's actual performance. For titles that are scheduled to be released in the future, recoverability is evaluated based on the expected performance of the specific titles to which the cost relates. We use a number of criteria in the evaluation of expected performance, including historical performance of comparable titles developed with comparable technology, market performance of comparable titles, orders for the title prior to its release, general market conditions, and past performance of the franchise. When we determine that capitalized costs of the title are unlikely to be recovered by product sales, an impairment of software development costs capitalized is charged in the period in which such determination is made. Refer to Note 7, Software Development Costs, for additional information.</w:t>
      </w:r>
    </w:p>
    <w:p>
      <w:pPr>
        <w:pStyle w:val="TextBody"/>
        <w:bidi w:val="0"/>
        <w:spacing w:lineRule="auto" w:line="288" w:before="120" w:after="283"/>
        <w:jc w:val="left"/>
        <w:rPr/>
      </w:pPr>
      <w:r>
        <w:rPr>
          <w:rFonts w:ascii="Arial;sans-serif" w:hAnsi="Arial;sans-serif"/>
          <w:b/>
          <w:i/>
          <w:color w:val="225CAB"/>
          <w:sz w:val="20"/>
        </w:rPr>
        <w:t xml:space="preserve">Goodwill and Other Intangible Assets, Net: </w:t>
      </w:r>
      <w:r>
        <w:rPr>
          <w:rFonts w:ascii="Arial;sans-serif" w:hAnsi="Arial;sans-serif"/>
          <w:b w:val="false"/>
          <w:color w:val="000000"/>
          <w:sz w:val="20"/>
        </w:rPr>
        <w:t>Goodwill results from acquisitions the Company has made over time. Substantially all of the Company's other intangible assets consist of the cost of acquired product rights. In establishing the value of such rights, the Company considers existing trademarks, copyrights, patents, license agreements and other product-related rights. These rights were valued on their acquisition dates based on the anticipated future cash flows from the underlying product lines. The Company also has certain intangible assets related to the Tonka and Milton Bradley acquisitions that have indefinite lives.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Goodwill and intangible assets deemed to have indefinite lives are not amortized and are tested for impairment at least annually. The annual goodwill test begins with a qualitative assessment, where qualitative factors and their impact on critical inputs are assessed to determine whether it is more likely than not that the fair value of a reporting unit is less than its carrying value. If the Company determines that a reporting unit has an indication of impairment based on the qualitative assessment, a quantitative impairment assessment is performed.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Company's intangible assets having definite lives are being amortized over remaining periods ranging from 2 to 12 years using the straight-line method. The Company reviews intangible assets with definite lives for impairment whenever events or changes in circumstances indicate the carrying value may not be recoverable. Recoverability is measured by a comparison of the carrying amount of the asset to future undiscounted cash flows expected to be generated by the asset or asset group. If such assets were considered to be impaired, the impairment to be recognized would be measured by the amount by which the carrying value of the assets exceeds their fair value wherein that fair value is determined based on discounted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76" w:before="120" w:after="283"/>
        <w:jc w:val="left"/>
        <w:rPr/>
      </w:pPr>
      <w:r>
        <w:rPr>
          <w:rFonts w:ascii="Arial;sans-serif" w:hAnsi="Arial;sans-serif"/>
          <w:b w:val="false"/>
          <w:color w:val="000000"/>
          <w:sz w:val="20"/>
        </w:rPr>
        <w:t xml:space="preserve">The Company's reporting units are determined in accordance with the provisions of ASC Topic 350, </w:t>
      </w:r>
      <w:r>
        <w:rPr>
          <w:rFonts w:ascii="Arial;sans-serif" w:hAnsi="Arial;sans-serif"/>
          <w:b w:val="false"/>
          <w:i/>
          <w:color w:val="000000"/>
          <w:sz w:val="20"/>
        </w:rPr>
        <w:t>Intangibles - Goodwill and Other.</w:t>
      </w:r>
      <w:r>
        <w:rPr>
          <w:color w:val="000000"/>
        </w:rPr>
        <w:t xml:space="preserve"> </w:t>
      </w:r>
      <w:r>
        <w:rPr>
          <w:rFonts w:ascii="Arial;sans-serif" w:hAnsi="Arial;sans-serif"/>
          <w:b w:val="false"/>
          <w:color w:val="000000"/>
          <w:sz w:val="20"/>
        </w:rPr>
        <w:t>The Company performs its annual impairment testing of goodwill and definite-lived intangible assets during the fourth quarter of each year. Refer to Note 8, Goodwill and Intangible Assets, for additional information on the results of the Company’s impairment tests.</w:t>
      </w:r>
    </w:p>
    <w:p>
      <w:pPr>
        <w:pStyle w:val="TextBody"/>
        <w:bidi w:val="0"/>
        <w:spacing w:lineRule="auto" w:line="288" w:before="120" w:after="283"/>
        <w:jc w:val="left"/>
        <w:rPr/>
      </w:pPr>
      <w:r>
        <w:rPr>
          <w:rFonts w:ascii="Arial;sans-serif" w:hAnsi="Arial;sans-serif"/>
          <w:b/>
          <w:i/>
          <w:color w:val="225CAB"/>
          <w:sz w:val="20"/>
        </w:rPr>
        <w:t xml:space="preserve">Financial Instruments: </w:t>
      </w:r>
      <w:r>
        <w:rPr>
          <w:rFonts w:ascii="Arial;sans-serif" w:hAnsi="Arial;sans-serif"/>
          <w:b w:val="false"/>
          <w:color w:val="000000"/>
          <w:sz w:val="20"/>
        </w:rPr>
        <w:t>Hasbro’s financial instruments include cash and cash equivalents, accounts receivable, short-term borrowings, accounts payable and certain accrued liabilities. As of December 28, 2025, the carrying cost of these instruments approximated their fair value. The Company’s financial instruments as of December 28, 2025 also include long-term borrowings (refer to Note 12, Long-Term Debt and Other Financing, for carrying cost and related fair values) as well as certain assets and liabilities measured at fair value (refer to Note 15, Fair Value of Financial Instruments and Note 19, Derivative Financial Instruments).</w:t>
      </w:r>
    </w:p>
    <w:p>
      <w:pPr>
        <w:pStyle w:val="TextBody"/>
        <w:bidi w:val="0"/>
        <w:spacing w:lineRule="auto" w:line="288" w:before="120" w:after="283"/>
        <w:jc w:val="left"/>
        <w:rPr/>
      </w:pPr>
      <w:r>
        <w:rPr>
          <w:rFonts w:ascii="Arial;sans-serif" w:hAnsi="Arial;sans-serif"/>
          <w:b/>
          <w:i/>
          <w:color w:val="225CAB"/>
          <w:sz w:val="20"/>
        </w:rPr>
        <w:t xml:space="preserve">Revenue Recognition: </w:t>
      </w:r>
      <w:r>
        <w:rPr>
          <w:rFonts w:ascii="Arial;sans-serif" w:hAnsi="Arial;sans-serif"/>
          <w:b w:val="false"/>
          <w:color w:val="000000"/>
          <w:sz w:val="20"/>
        </w:rPr>
        <w:t>Revenue is recognized when control of the promised goods is transferred to the customers or licensees, in an amount that reflects the consideration the Company expects to be entitled to in exchange for transferring those goods. The Company accounts for a contract when it has approval and commitment from both parties, the rights of the parties are identified, payment terms are identified, the contract has commercial substance, and collectability of consideration is probable.</w:t>
      </w:r>
    </w:p>
    <w:p>
      <w:pPr>
        <w:pStyle w:val="TextBody"/>
        <w:bidi w:val="0"/>
        <w:spacing w:lineRule="auto" w:line="288" w:before="120" w:after="283"/>
        <w:jc w:val="left"/>
        <w:rPr/>
      </w:pPr>
      <w:r>
        <w:rPr>
          <w:rFonts w:ascii="Arial;sans-serif" w:hAnsi="Arial;sans-serif"/>
          <w:b w:val="false"/>
          <w:color w:val="000000"/>
          <w:sz w:val="20"/>
        </w:rPr>
        <w:t>The majority of the Company’s revenues are derived from sales of finished products to customers. Revenues from sales of finished products to customers accounted for 81%</w:t>
      </w:r>
      <w:r>
        <w:rPr>
          <w:rFonts w:ascii="Times New Roman;serif" w:hAnsi="Times New Roman;serif"/>
          <w:b w:val="false"/>
          <w:color w:val="000000"/>
          <w:sz w:val="20"/>
        </w:rPr>
        <w:t xml:space="preserve">, </w:t>
      </w:r>
      <w:r>
        <w:rPr>
          <w:rFonts w:ascii="Arial;sans-serif" w:hAnsi="Arial;sans-serif"/>
          <w:b w:val="false"/>
          <w:color w:val="000000"/>
          <w:sz w:val="20"/>
        </w:rPr>
        <w:t>79% and 75% of the Company’s revenues for the fiscal years ended 2025</w:t>
      </w:r>
      <w:r>
        <w:rPr>
          <w:rFonts w:ascii="Times New Roman;serif" w:hAnsi="Times New Roman;serif"/>
          <w:b w:val="false"/>
          <w:color w:val="000000"/>
          <w:sz w:val="20"/>
        </w:rPr>
        <w:t xml:space="preserve">, </w:t>
      </w:r>
      <w:r>
        <w:rPr>
          <w:rFonts w:ascii="Arial;sans-serif" w:hAnsi="Arial;sans-serif"/>
          <w:b w:val="false"/>
          <w:color w:val="000000"/>
          <w:sz w:val="20"/>
        </w:rPr>
        <w:t>2024 and 2023, respectively. When determining whether control of the finished products has transferred to the customer, the Company considers any future performance obligations. Generally, the Company has no post-shipment obligation on sales of finished products to customers and revenues from product sales are recognized upon passing of title to the customer, which is generally at the time of shipment but can vary based on international commerce terms ("incoterms"). Any shipping and handling activities that are performed by the Company, whether before or after a customer has obtained control of the products, are considered activities to fulfill our obligation to transfer the products, and are recorded as incurred within Selling, distribution, and administration expenses. The Company offers various discounts, rebates, allowances, returns, and markdowns to its customers (collectively, “allowances”), all of which are considered when determining the transaction price. Certain allowances are fixed and determinable at the time of sale and are recorded at the time of sale as a reduction to revenues. Other allowances can vary depending on future outcomes such as customer sales volume (“variable consideration”). The Company estimates the amount of variable consideration using the expected value method. In estimating the amount of variable consideration using the expected value method, the Company considers various factors including but not limited to: customer terms, historical experience, any expected deviations from historical experience, and existing or expected market conditions. The Company then records an estimate of variable consideration as a reduction to revenues at the time of sale. The Company adjusts its estimate of variable consideration at least quarterly or when facts and circumstances used in the estimation process may change. Historically, adjustments to estimated variable consideration have not been material.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enters into contracts to license its intellectual property, which consists of its brands, in various channels including but not limited to: consumer products such as apparel or home goods, within formats such as online and digital games, within venues such as theme parks, or within formats such as television and film. The licensees generally pay the Company a sales-based royalty, usage-based royalty, or a combination of both, for use of the brands, in some cases subject to minimum guaranteed amounts or fixed fees. The license of the Company’s brands provide access to the intellectual property over the term of the license, generally without any other performance obligation of the Company other than keeping the intellectual property active, and is therefore considered a right-to-access license of symbolic intellectual property. The Company records sales-based or usage-based royalty revenues for right-to-access licenses at the occurrence of the licensees’ subsequent sale or usage. When the arrangement includes a minimum guarantee, the Company records the minimum guarantee on a ratable basis over the term of the license period and does not record the sales-based or usage-based royalty revenues until they exceed the minimum guarantee.</w:t>
      </w:r>
    </w:p>
    <w:p>
      <w:pPr>
        <w:pStyle w:val="TextBody"/>
        <w:bidi w:val="0"/>
        <w:spacing w:lineRule="auto" w:line="288" w:before="120" w:after="283"/>
        <w:jc w:val="left"/>
        <w:rPr/>
      </w:pPr>
      <w:r>
        <w:rPr>
          <w:rFonts w:ascii="Arial;sans-serif" w:hAnsi="Arial;sans-serif"/>
          <w:b w:val="false"/>
          <w:color w:val="000000"/>
          <w:sz w:val="20"/>
        </w:rPr>
        <w:t>The Company also produces, sells and licenses television and film content for distribution to third parties in formats that include broadcast, digital streaming, transactional and theatrical. These are intellectual property licenses where the licensees pay either a fixed fee for the content license</w:t>
      </w:r>
      <w:r>
        <w:rPr>
          <w:color w:val="000000"/>
        </w:rPr>
        <w:t xml:space="preserve"> </w:t>
      </w:r>
      <w:r>
        <w:rPr>
          <w:rFonts w:ascii="Arial;sans-serif" w:hAnsi="Arial;sans-serif"/>
          <w:b w:val="false"/>
          <w:color w:val="000000"/>
          <w:sz w:val="20"/>
        </w:rPr>
        <w:t xml:space="preserve">or a variable fee in the form of a sales-based royalty. The content that the Company delivers to its licensees typically has stand-alone functionality, generally without any other performance obligation of the Company, and is therefore considered a right-to-use license of functional intellectual property. The Company records revenues for right-to-use licenses once the license period has commenced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licensee has the ability to use the delivered content. In arrangements where the licensee pays the Company a fixed fee for multiple seasons or multiple series of programming, arrangement fees are recorded as revenues based upon their relative fair values. The Company also earns advertising revenues from certain content made available on free to consumer, streaming video on demand platforms where the Company earns a portion of the advertising revenues earned by the service provider. The performance obligation is met and revenue is recorded when the user accesses the Company’s content through the streaming platform. </w:t>
      </w:r>
    </w:p>
    <w:p>
      <w:pPr>
        <w:pStyle w:val="TextBody"/>
        <w:bidi w:val="0"/>
        <w:spacing w:lineRule="auto" w:line="288" w:before="120" w:after="283"/>
        <w:jc w:val="left"/>
        <w:rPr/>
      </w:pPr>
      <w:r>
        <w:rPr>
          <w:rFonts w:ascii="Arial;sans-serif" w:hAnsi="Arial;sans-serif"/>
          <w:b w:val="false"/>
          <w:color w:val="000000"/>
          <w:sz w:val="20"/>
        </w:rPr>
        <w:t xml:space="preserve">The Company develops and hosts digital games featuring its brands within the games, such as </w:t>
      </w:r>
      <w:r>
        <w:rPr>
          <w:rFonts w:ascii="Arial;sans-serif" w:hAnsi="Arial;sans-serif"/>
          <w:b w:val="false"/>
          <w:i/>
          <w:color w:val="000000"/>
          <w:sz w:val="20"/>
        </w:rPr>
        <w:t xml:space="preserve">Magic: The Gathering Arena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D&amp;D Beyond</w:t>
      </w:r>
      <w:r>
        <w:rPr>
          <w:rFonts w:ascii="Arial;sans-serif" w:hAnsi="Arial;sans-serif"/>
          <w:b w:val="false"/>
          <w:color w:val="000000"/>
          <w:sz w:val="20"/>
        </w:rPr>
        <w:t>. The Company does not charge a fee to the end users for the download of the games or the ability to play the games. The end users make in-application purchases of virtual currencies, with such purchased virtual currencies to be used in the games. In addition, the Company offers a subscription service that provides access to a variety of added benefits, typically for a recurring monthly, semi-annual, or annual fee. The Company records revenues from in-application purchases based on either the usage patterns of the players or the player’s estimated life, depending on the nature of the game item purchased in exchange for virtual currency. For items recognized over the player's estimated life, the Company currently recognizes digital game's revenues ratably within six months of purchase, while revenue received from subscription services is recognized ratably over the subscription term. The Company controls all aspects of the digital goods delivered to the consumer.</w:t>
      </w:r>
    </w:p>
    <w:p>
      <w:pPr>
        <w:pStyle w:val="TextBody"/>
        <w:bidi w:val="0"/>
        <w:spacing w:lineRule="auto" w:line="288" w:before="120" w:after="283"/>
        <w:jc w:val="left"/>
        <w:rPr/>
      </w:pPr>
      <w:r>
        <w:rPr>
          <w:rFonts w:ascii="Arial;sans-serif" w:hAnsi="Arial;sans-serif"/>
          <w:b/>
          <w:i/>
          <w:color w:val="225CAB"/>
          <w:sz w:val="20"/>
        </w:rPr>
        <w:t xml:space="preserve">Costs of Sales: </w:t>
      </w:r>
      <w:r>
        <w:rPr>
          <w:rFonts w:ascii="Arial;sans-serif" w:hAnsi="Arial;sans-serif"/>
          <w:b w:val="false"/>
          <w:color w:val="000000"/>
          <w:sz w:val="20"/>
        </w:rPr>
        <w:t>Cost of sales primarily consists of purchased materials, labor, tooling, manufacturing overheads and other inventory-related costs such as obsolescence.</w:t>
      </w:r>
    </w:p>
    <w:p>
      <w:pPr>
        <w:pStyle w:val="TextBody"/>
        <w:bidi w:val="0"/>
        <w:spacing w:lineRule="auto" w:line="288" w:before="120" w:after="283"/>
        <w:jc w:val="left"/>
        <w:rPr/>
      </w:pPr>
      <w:r>
        <w:rPr>
          <w:rFonts w:ascii="Arial;sans-serif" w:hAnsi="Arial;sans-serif"/>
          <w:b/>
          <w:i/>
          <w:color w:val="225CAB"/>
          <w:sz w:val="20"/>
        </w:rPr>
        <w:t xml:space="preserve">Investment in Productions and Program Cost Amortization: </w:t>
      </w:r>
      <w:r>
        <w:rPr>
          <w:rFonts w:ascii="Arial;sans-serif" w:hAnsi="Arial;sans-serif"/>
          <w:b w:val="false"/>
          <w:color w:val="000000"/>
          <w:sz w:val="20"/>
        </w:rPr>
        <w:t>The Company incurs costs in connection with the production of digital content, television programming and live action movies. The majority of these costs are capitalized by the Company as they are incurred and amortized using the individual-film-forecast method, whereby these costs are amortized in the proportion that the current year’s revenues bear to management’s estimate of total ultimate revenues as of the beginning of such period related to the program. Ultimate revenue estimates are periodically reviewed and adjustments, if any, will result in changes to amortization rates and estimated accruals for residuals and participations. Ultimate revenue includes estimates over a period not to exceed ten years following the date of release of the production. These capitalized costs are reported at the lower of cost, less accumulated amortization, or fair value, and reviewed for impairment when an event or change in circumstances occurs that indicates that impairment may exist. The fair value is determined using a discounted cash flow model which is primarily based on management’s future revenue and cost estimates. Certain of these agreements require the Company to pay minimum guaranteed advances ("MGs") for participations and residuals. MGs are recognized in the Consolidated Balance Sheets when a liability arises, usually on delivery of the television or film program to the Company. The current portion of MGs are recorded as Accounts payable and Accrued liabilities and the long-term portion are recorded as Other liabilities.</w:t>
      </w:r>
    </w:p>
    <w:p>
      <w:pPr>
        <w:pStyle w:val="TextBody"/>
        <w:bidi w:val="0"/>
        <w:spacing w:lineRule="auto" w:line="276" w:before="120" w:after="283"/>
        <w:jc w:val="left"/>
        <w:rPr/>
      </w:pPr>
      <w:r>
        <w:rPr>
          <w:rFonts w:ascii="Arial;sans-serif" w:hAnsi="Arial;sans-serif"/>
          <w:b/>
          <w:i/>
          <w:color w:val="225CAB"/>
          <w:sz w:val="20"/>
        </w:rPr>
        <w:t xml:space="preserve">Royalties: </w:t>
      </w:r>
      <w:r>
        <w:rPr>
          <w:rFonts w:ascii="Arial;sans-serif" w:hAnsi="Arial;sans-serif"/>
          <w:b w:val="false"/>
          <w:color w:val="000000"/>
          <w:sz w:val="20"/>
        </w:rPr>
        <w:t>The Company enters into license agreements with strategic partners, inventors, designers and others for the use of intellectual properties in its products. In addition, the Company enters into minimum guaranteed royalty arrangements related to the purchase of film and television rights for content to be delivered in the future. These agreements may call for payment in advance or future payment of minimum guaranteed amounts. Amounts paid in advance are recorded in Prepaid expenses and other current assets and charged to expense when the related revenue is recognized in the Consolidated Statements of Operations. If all or a portion of the minimum guaranteed amounts appear not to be recoverable through future use of the rights obtained under the license, the non-recoverable portion of the guaranty is charged to expense at that time.</w:t>
      </w:r>
    </w:p>
    <w:p>
      <w:pPr>
        <w:pStyle w:val="TextBody"/>
        <w:bidi w:val="0"/>
        <w:spacing w:lineRule="auto" w:line="288" w:before="120" w:after="283"/>
        <w:jc w:val="left"/>
        <w:rPr/>
      </w:pPr>
      <w:r>
        <w:rPr>
          <w:rFonts w:ascii="Arial;sans-serif" w:hAnsi="Arial;sans-serif"/>
          <w:b/>
          <w:i/>
          <w:color w:val="225CAB"/>
          <w:sz w:val="20"/>
        </w:rPr>
        <w:t xml:space="preserve">Advertising: </w:t>
      </w:r>
      <w:r>
        <w:rPr>
          <w:rFonts w:ascii="Arial;sans-serif" w:hAnsi="Arial;sans-serif"/>
          <w:b w:val="false"/>
          <w:color w:val="000000"/>
          <w:sz w:val="20"/>
        </w:rPr>
        <w:t>Production costs of commercials are expensed in the fiscal year during which the production is first aired. The costs of other advertising and promotion programs are expensed in the fiscal year incurred.</w:t>
      </w:r>
    </w:p>
    <w:p>
      <w:pPr>
        <w:pStyle w:val="TextBody"/>
        <w:bidi w:val="0"/>
        <w:spacing w:lineRule="auto" w:line="288" w:before="120" w:after="283"/>
        <w:jc w:val="left"/>
        <w:rPr/>
      </w:pPr>
      <w:r>
        <w:rPr>
          <w:rFonts w:ascii="Arial;sans-serif" w:hAnsi="Arial;sans-serif"/>
          <w:b/>
          <w:i/>
          <w:color w:val="225CAB"/>
          <w:sz w:val="20"/>
        </w:rPr>
        <w:t xml:space="preserve">Shipping and Handling: </w:t>
      </w:r>
      <w:r>
        <w:rPr>
          <w:rFonts w:ascii="Arial;sans-serif" w:hAnsi="Arial;sans-serif"/>
          <w:b w:val="false"/>
          <w:color w:val="000000"/>
          <w:sz w:val="20"/>
        </w:rPr>
        <w:t>The Company expenses costs related to the shipment and handling of goods to customers as incurred. In 2025, 2024 and 2023, these costs were $207.8 million, $199.2 million and $225.6 million, respectively, and are included in Selling, distribution and administration expenses in the Company’s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pPr>
      <w:r>
        <w:rPr>
          <w:rFonts w:ascii="Arial;sans-serif" w:hAnsi="Arial;sans-serif"/>
          <w:b/>
          <w:i/>
          <w:color w:val="225CAB"/>
          <w:sz w:val="20"/>
        </w:rPr>
        <w:t xml:space="preserve">Operating Leases: </w:t>
      </w:r>
      <w:r>
        <w:rPr>
          <w:rFonts w:ascii="Arial;sans-serif" w:hAnsi="Arial;sans-serif"/>
          <w:b w:val="false"/>
          <w:color w:val="000000"/>
          <w:sz w:val="20"/>
        </w:rPr>
        <w:t xml:space="preserve">The Company leases certain property, vehicles and other equipment through operating leases. Operating lease right-of-use assets are recorded within Property, plant and equipment and the related liabilities recorded within Accrued liabilities and Other liabilities on the Company’s Consolidated Balance Sheets. The Company has no material finance leases.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Operating lease assets represent the Company’s right-to-use the underlying asset for the lease term and lease liabilities represent an obligation to make lease payments according to the terms of the lease. Operating lease assets and liabilities are recognized at the inception of the lease agreement based on the estimated present value of lease payments over the lease term, using our incremental borrowing rate based on information available on the lease commencement date. The Company capitalizes non-lease components for equipment leases, but expenses non-lease components as incurred for real estate leases. Leases with an expected term of 12 months or less are not capitalized. Lease expense under such leases is recorded straight-line over the life of the lease. Refer to Note 18, Leases, for further details on the Company's operating leases.</w:t>
      </w:r>
    </w:p>
    <w:p>
      <w:pPr>
        <w:pStyle w:val="TextBody"/>
        <w:bidi w:val="0"/>
        <w:spacing w:lineRule="auto" w:line="288" w:before="120" w:after="283"/>
        <w:jc w:val="left"/>
        <w:rPr/>
      </w:pPr>
      <w:r>
        <w:rPr>
          <w:rFonts w:ascii="Arial;sans-serif" w:hAnsi="Arial;sans-serif"/>
          <w:b/>
          <w:i/>
          <w:color w:val="225CAB"/>
          <w:sz w:val="20"/>
        </w:rPr>
        <w:t xml:space="preserve">Income Taxes: </w:t>
      </w:r>
      <w:r>
        <w:rPr>
          <w:rFonts w:ascii="Arial;sans-serif" w:hAnsi="Arial;sans-serif"/>
          <w:b w:val="false"/>
          <w:color w:val="000000"/>
          <w:sz w:val="20"/>
        </w:rPr>
        <w:t>Hasbro uses the asset and liability approach for financial accounting and reporting of income taxes. Deferred income taxes reflect the net tax effect of temporary differences between the carrying amount of assets and liabilities for financial reporting purposes and the amounts used for income tax purposes. Deferred taxes are measured using rates expected to apply to taxable income in years in which those temporary differences are expected to reverse. The effect of a change in tax rates on deferred tax assets and liabilities is recognized in income in the period that includes the enactment date.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recognizes deferred tax assets to the extent it believes that these assets are more likely than not to be realized. In making such a determination, all available positive and negative evidence is considered, including future reversals of existing taxable temporary differences, projected future taxable income, tax-planning strategies, and results of recent operations. The assumptions utilized in determining future taxable income require significant judgment and are consistent with the plans and estimates used to manage the underlying businesses. Actual operating results in future years could differ from current assumptions, judgments and estimates. However, the Company believes that it is more likely than not that most of the deferred tax assets recorded on our Consolidated Balance Sheets will ultimately be realized. To the extent we consider it is more likely than not that a deferred tax asset will not be recovered, a valuation allowance is established. If it is determined that our deferred tax assets will be realizable in the future in excess of their net recorded amount, an adjustment would be made to the deferred tax asset valuation allowance, which would reduce the provision for 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uses a two-step process for the measurement of uncertain tax positions that have been taken or are expected to be taken in a tax return. The first step is determination of whether the tax position should be recognized in the consolidated financial statements. The second step determines the measurement of the tax position. The Company records potential interest and penalties on uncertain tax positions as a component of Income tax expense.</w:t>
      </w:r>
    </w:p>
    <w:p>
      <w:pPr>
        <w:pStyle w:val="TextBody"/>
        <w:bidi w:val="0"/>
        <w:spacing w:lineRule="auto" w:line="288" w:before="120" w:after="283"/>
        <w:jc w:val="left"/>
        <w:rPr/>
      </w:pPr>
      <w:r>
        <w:rPr>
          <w:rFonts w:ascii="Arial;sans-serif" w:hAnsi="Arial;sans-serif"/>
          <w:b/>
          <w:i/>
          <w:color w:val="225CAB"/>
          <w:sz w:val="20"/>
        </w:rPr>
        <w:t xml:space="preserve">Foreign Currency Translation: </w:t>
      </w:r>
      <w:r>
        <w:rPr>
          <w:rFonts w:ascii="Arial;sans-serif" w:hAnsi="Arial;sans-serif"/>
          <w:b w:val="false"/>
          <w:color w:val="000000"/>
          <w:sz w:val="20"/>
        </w:rPr>
        <w:t>Foreign currency assets and liabilities are translated into U.S. dollars at period-end exchange rates, and revenues, costs and expenses are translated at weighted average exchange rates during each reporting period. Net earnings include gains or losses resulting from foreign currency transactions, totaling a net gain of $22.4 million in 2025, and, when required, translation gains and losses resulting from the use of the U.S. dollar as the functional currency in highly inflationary economies. Other gains and losses resulting from translation of financial statements are a component of Other comprehensive earnings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pPr>
      <w:r>
        <w:rPr>
          <w:rFonts w:ascii="Arial;sans-serif" w:hAnsi="Arial;sans-serif"/>
          <w:b/>
          <w:i/>
          <w:color w:val="225CAB"/>
          <w:sz w:val="20"/>
        </w:rPr>
        <w:t xml:space="preserve">Pension Plans, Postretirement and Postemployment Benefits: </w:t>
      </w:r>
      <w:r>
        <w:rPr>
          <w:rFonts w:ascii="Arial;sans-serif" w:hAnsi="Arial;sans-serif"/>
          <w:b w:val="false"/>
          <w:color w:val="000000"/>
          <w:sz w:val="20"/>
        </w:rPr>
        <w:t>Pension expense and related amounts in the Consolidated Balance Sheets are based on actuarial computations of current and future benefits. The assumed discount rate for pension and postretirement benefit plans is determined by considering yield curves constructed of a large population of high-quality corporate bonds and reflects the matching of the plans' liability cash flows to the yield curves. Actual results that differ from the actuarial assumptions are accumulated and, if outside a certain corridor, amortized over future periods and therefore affect recognized expense in future periods. The corridor used for this purpose is equal to 10% of the greater of plan liabilities or market asset values, and future periods vary by plan, but generally equal the actuarial determined average expected future working lifetime of active plan participants. The Company’s policy is to fund amounts which are required by applicable regulations and which are tax deductible. The estimated amounts of future payments to be made under other retirement programs are being accrued currently over the period of active employment and are also included in pension expense. Hasbro also has a contributory postretirement health and life insurance plan covering substantially all employees who retired under any of its United States defined benefit pension plans prior to January 1, 2020, and meet certain age and length of service requirements.</w:t>
      </w:r>
    </w:p>
    <w:p>
      <w:pPr>
        <w:pStyle w:val="TextBody"/>
        <w:bidi w:val="0"/>
        <w:spacing w:lineRule="auto" w:line="288" w:before="120" w:after="283"/>
        <w:jc w:val="left"/>
        <w:rPr/>
      </w:pPr>
      <w:r>
        <w:rPr>
          <w:rFonts w:ascii="Arial;sans-serif" w:hAnsi="Arial;sans-serif"/>
          <w:b/>
          <w:i/>
          <w:color w:val="225CAB"/>
          <w:sz w:val="20"/>
        </w:rPr>
        <w:t xml:space="preserve">Share-Based Compensation: </w:t>
      </w:r>
      <w:r>
        <w:rPr>
          <w:rFonts w:ascii="Arial;sans-serif" w:hAnsi="Arial;sans-serif"/>
          <w:b w:val="false"/>
          <w:color w:val="000000"/>
          <w:sz w:val="20"/>
        </w:rPr>
        <w:t>The Company has a share-based employee compensation plan for employees and non-employee members of the Company’s Board of Directors. Under this plan the Company may grant stock options at or above the fair market value of the Company’s stock, as well as restricted stock, restricted stock units and contingent stock performance awards. All awards are measured at fair value at the date of the grant and amortized as expense on a straight-line basis over the requisite service period of the award. For awards contingent upon Company performance, the measurement of the expense for these awards is based on the Company’s current estimate of its performance over the performance period. The Company recognizes forfeitures as incurred. Refer to Note 16, Share-Based Awards, for further discussion.</w:t>
      </w:r>
    </w:p>
    <w:p>
      <w:pPr>
        <w:pStyle w:val="TextBody"/>
        <w:bidi w:val="0"/>
        <w:spacing w:lineRule="auto" w:line="288" w:before="120" w:after="283"/>
        <w:jc w:val="left"/>
        <w:rPr/>
      </w:pPr>
      <w:r>
        <w:rPr>
          <w:rFonts w:ascii="Arial;sans-serif" w:hAnsi="Arial;sans-serif"/>
          <w:b/>
          <w:i/>
          <w:color w:val="225CAB"/>
          <w:sz w:val="20"/>
        </w:rPr>
        <w:t xml:space="preserve">Dividend Equivalent Units: </w:t>
      </w:r>
      <w:r>
        <w:rPr>
          <w:rFonts w:ascii="Arial;sans-serif" w:hAnsi="Arial;sans-serif"/>
          <w:b w:val="false"/>
          <w:color w:val="000000"/>
          <w:sz w:val="20"/>
        </w:rPr>
        <w:t>Beginning with employee stock incentive awards granted in 2022, the payment of cash dividends to shareholders also results in the crediting of dividend equivalent units (“DEUs”) to holders of restricted stock units ("RSUs") and contingent stock performance awards ("PSUs") granted under the Company's Restated 2003 Stock Incentive Plan, as amended, for employees as defined and described in Note 16, Share-Based Awards. The DEUs are credited as additional RSUs or PSUs and settled concurrently with the vesting of associated awards. DEUs are forfeited in the event the underlying RSUs or PSU's do not vest. The dividend equivalent value of forfeitable DEUs is treated as a reduction of Retained earnings or, if the Company is in a retained deficit position, as a reduction of Additional paid-in capital.</w:t>
      </w:r>
    </w:p>
    <w:p>
      <w:pPr>
        <w:pStyle w:val="TextBody"/>
        <w:bidi w:val="0"/>
        <w:spacing w:lineRule="auto" w:line="288" w:before="120" w:after="283"/>
        <w:jc w:val="left"/>
        <w:rPr/>
      </w:pPr>
      <w:r>
        <w:rPr>
          <w:rFonts w:ascii="Arial;sans-serif" w:hAnsi="Arial;sans-serif"/>
          <w:b/>
          <w:i/>
          <w:color w:val="225CAB"/>
          <w:sz w:val="20"/>
        </w:rPr>
        <w:t xml:space="preserve">Risk Management Contracts: </w:t>
      </w:r>
      <w:r>
        <w:rPr>
          <w:rFonts w:ascii="Arial;sans-serif" w:hAnsi="Arial;sans-serif"/>
          <w:b w:val="false"/>
          <w:color w:val="000000"/>
          <w:sz w:val="20"/>
        </w:rPr>
        <w:t>Hasbro uses foreign currency forward and option contracts to mitigate the impact of currency rate fluctuations on firmly committed and projected future foreign currency transactions. These over-the-counter contracts, which hedge future purchases of inventory, product sales, as well as other cross-border currency requirements not denominated in the functional currency of the business unit, are primarily denominated in United States, Canadian and Hong Kong dollars as well as Euros and British pound sterling. All contracts are entered into with a number of counterparties, all of which are major financial institutions. The Company believes that a default by a counterparty would not have a material adverse effect on the financial condition of the Company. Hasbro does not enter into derivative financial instruments for speculative purposes.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At the inception of the contracts, Hasbro designates its derivative financial instruments as either cash flow or fair value hedges. The Company formally documents all relationships between hedging instruments and hedged items as well as its risk management objectives and strategies for undertaking various hedge transactions. All hedges designated as cash flow hedges are linked to forecasted transactions and the Company assesses, both at the inception of the hedge and on an ongoing basis, the effectiveness of the derivative financial instruments used in hedging transactions in offsetting changes in the cash flows of the forecasted transaction. </w:t>
      </w:r>
    </w:p>
    <w:p>
      <w:pPr>
        <w:pStyle w:val="TextBody"/>
        <w:bidi w:val="0"/>
        <w:spacing w:lineRule="auto" w:line="276" w:before="120" w:after="283"/>
        <w:jc w:val="left"/>
        <w:rPr>
          <w:rFonts w:ascii="Arial;sans-serif" w:hAnsi="Arial;sans-serif"/>
          <w:b w:val="false"/>
          <w:color w:val="000000"/>
          <w:sz w:val="20"/>
        </w:rPr>
      </w:pPr>
      <w:r>
        <w:rPr>
          <w:rFonts w:ascii="Arial;sans-serif" w:hAnsi="Arial;sans-serif"/>
          <w:b w:val="false"/>
          <w:color w:val="000000"/>
          <w:sz w:val="20"/>
        </w:rPr>
        <w:t xml:space="preserve">The Company records all derivative financial instruments, such as foreign currency exchange contracts, on the Consolidated Balance Sheets at fair value. Changes in the fair values that are designated as cash flow hedges are deferred and recorded as a component of Accumulated other comprehensive loss (“AOCL”) until the hedged transactions occur and are then recognized in the Consolidated Statements of Operations. The Company’s foreign currency contracts hedging anticipated cash flows are designated as cash flow hedges. When it is determined that a derivative financial instrument is not highly effective as a hedge, the Company discontinues hedge accounting prospectively. Any gain or loss deferred through that date remains in AOCL until the forecasted transaction occurs, at which time it is reclassified to the Consolidated Statements of Operations. To the extent the transaction is no longer deemed probable of occurring, hedge accounting treatment is discontinued and amounts deferred would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76" w:before="120" w:after="283"/>
        <w:jc w:val="left"/>
        <w:rPr>
          <w:rFonts w:ascii="Arial;sans-serif" w:hAnsi="Arial;sans-serif"/>
          <w:b w:val="false"/>
          <w:color w:val="000000"/>
          <w:sz w:val="20"/>
        </w:rPr>
      </w:pPr>
      <w:r>
        <w:rPr>
          <w:rFonts w:ascii="Arial;sans-serif" w:hAnsi="Arial;sans-serif"/>
          <w:b w:val="false"/>
          <w:color w:val="000000"/>
          <w:sz w:val="20"/>
        </w:rPr>
        <w:t>reclassified to the Consolidated Statements of Operations. In the event hedge accounting requirements are not met, gains and losses on such instruments are included in the Consolidated Statements of Operations. The Company uses derivative financial instruments to economically hedge intercompany loans denominated in foreign currencies. The Company does not use hedge accounting for these contracts as changes in the fair value of these contracts are substantially offset by changes in the fair value of the intercompany loans.</w:t>
      </w:r>
    </w:p>
    <w:p>
      <w:pPr>
        <w:pStyle w:val="TextBody"/>
        <w:bidi w:val="0"/>
        <w:spacing w:lineRule="auto" w:line="276" w:before="120" w:after="283"/>
        <w:jc w:val="left"/>
        <w:rPr>
          <w:rFonts w:ascii="Arial;sans-serif" w:hAnsi="Arial;sans-serif"/>
          <w:b/>
          <w:i/>
          <w:color w:val="225CAB"/>
          <w:sz w:val="20"/>
        </w:rPr>
      </w:pPr>
      <w:r>
        <w:rPr>
          <w:rFonts w:ascii="Arial;sans-serif" w:hAnsi="Arial;sans-serif"/>
          <w:b/>
          <w:i/>
          <w:color w:val="225CAB"/>
          <w:sz w:val="20"/>
        </w:rPr>
        <w:t>Recent Accounting Pronouncements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Recently Adopted Accounting Pronouncements</w:t>
      </w:r>
    </w:p>
    <w:p>
      <w:pPr>
        <w:pStyle w:val="TextBody"/>
        <w:bidi w:val="0"/>
        <w:spacing w:lineRule="auto" w:line="288" w:before="120" w:after="283"/>
        <w:jc w:val="left"/>
        <w:rPr/>
      </w:pPr>
      <w:r>
        <w:rPr>
          <w:rFonts w:ascii="Arial;sans-serif" w:hAnsi="Arial;sans-serif"/>
          <w:b w:val="false"/>
          <w:color w:val="000000"/>
          <w:sz w:val="20"/>
        </w:rPr>
        <w:t xml:space="preserve">In December 2023, the FASB issued Accounting Standard Update ("ASU") 2023-09, </w:t>
      </w:r>
      <w:r>
        <w:rPr>
          <w:rFonts w:ascii="Arial;sans-serif" w:hAnsi="Arial;sans-serif"/>
          <w:b w:val="false"/>
          <w:i/>
          <w:color w:val="000000"/>
          <w:sz w:val="20"/>
        </w:rPr>
        <w:t>Income Taxes (Topic 740): Improvements to Income Tax Disclosures</w:t>
      </w:r>
      <w:r>
        <w:rPr>
          <w:rFonts w:ascii="Arial;sans-serif" w:hAnsi="Arial;sans-serif"/>
          <w:b w:val="false"/>
          <w:color w:val="000000"/>
          <w:sz w:val="20"/>
        </w:rPr>
        <w:t>. The amendments in this update enhance the transparency and decision usefulness of income tax disclosures. This amendment requires public companies to disclose specific categories in the rate reconciliation and provide additional information for reconciling items that meet a quantitative threshold. Additionally, under the amendment, entities are required to disclose the amount of income taxes paid disaggregated by federal, state and foreign taxes, as well as disaggregated by material individual jurisdictions. Finally, the amendment requires entities to disclose income from continuing operations before income tax expense disaggregated between domestic and foreign and income tax expense from continuing operations disaggregated by federal, state and foreign. The new standard is effective for fiscal years beginning after December 15, 2024. The Company adopted this standard as part of this Annual Report. Refer to Note 13, Income Taxes, for the revised disclosures consistent with the new standard.</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Accounting Standards Issued But Not Yet Adopted</w:t>
      </w:r>
    </w:p>
    <w:p>
      <w:pPr>
        <w:pStyle w:val="TextBody"/>
        <w:bidi w:val="0"/>
        <w:spacing w:lineRule="auto" w:line="288" w:before="120" w:after="283"/>
        <w:jc w:val="left"/>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Statement—Reporting Comprehensive Income—Expense Disaggregation Disclosures</w:t>
      </w:r>
      <w:r>
        <w:rPr>
          <w:rFonts w:ascii="Arial;sans-serif" w:hAnsi="Arial;sans-serif"/>
          <w:b w:val="false"/>
          <w:color w:val="000000"/>
          <w:sz w:val="20"/>
        </w:rPr>
        <w:t>. The new standard requires enhanced additional disclosures related to certain expense categories. The new standard is effective for fiscal years beginning after December 15, 2026. We are assessing the effect on our 2027 annual consolidated financial statement disclosures; however, adoption will not impact our consolidated balance sheets or income statements.</w:t>
      </w:r>
    </w:p>
    <w:p>
      <w:pPr>
        <w:pStyle w:val="TextBody"/>
        <w:bidi w:val="0"/>
        <w:spacing w:lineRule="auto" w:line="288" w:before="120" w:after="283"/>
        <w:jc w:val="left"/>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Intangibles—Goodwill and Other—</w:t>
      </w:r>
    </w:p>
    <w:p>
      <w:pPr>
        <w:pStyle w:val="TextBody"/>
        <w:bidi w:val="0"/>
        <w:spacing w:lineRule="auto" w:line="288" w:before="0" w:after="0"/>
        <w:jc w:val="left"/>
        <w:rPr/>
      </w:pPr>
      <w:r>
        <w:rPr>
          <w:rFonts w:ascii="Arial;sans-serif" w:hAnsi="Arial;sans-serif"/>
          <w:b w:val="false"/>
          <w:i/>
          <w:color w:val="000000"/>
          <w:sz w:val="20"/>
        </w:rPr>
        <w:t>Internal-Use Software (Subtopic 350-40)</w:t>
      </w:r>
      <w:r>
        <w:rPr>
          <w:rFonts w:ascii="Arial;sans-serif" w:hAnsi="Arial;sans-serif"/>
          <w:b w:val="false"/>
          <w:color w:val="000000"/>
          <w:sz w:val="20"/>
        </w:rPr>
        <w:t>. The standard removes all references to the previously existing software development project stages and require entities to start capitalizing software costs when management has authorized and committed funding to a software project and it is probable that the project will be completed with its intended functionality. The new standard is effective for fiscal years beginning after December 15, 2027. Early adoption is permitted and can be applied prospectively, retrospectively, or utilizing a modified transition approach. We are currently assessing the impact of this ASU on our consolidated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All other ASUs issued but not yet adopted were assessed and determined to be not applicable or are not expected to have a material impact on our consolidated financial statements or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540"/>
        <w:jc w:val="left"/>
        <w:rPr/>
      </w:pPr>
      <w:r>
        <w:rPr>
          <w:rFonts w:ascii="Arial;sans-serif" w:hAnsi="Arial;sans-serif"/>
          <w:b/>
          <w:color w:val="000000"/>
          <w:sz w:val="20"/>
        </w:rPr>
        <w:t>(2)    </w:t>
      </w:r>
      <w:r>
        <w:rPr>
          <w:rFonts w:ascii="Arial;sans-serif" w:hAnsi="Arial;sans-serif"/>
          <w:b/>
          <w:color w:val="000000"/>
          <w:sz w:val="20"/>
          <w:u w:val="single"/>
        </w:rPr>
        <w:t>Revenue Recognition</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Contract Assets and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the ordinary course of business, the Company enters into contracts to license certain of the Company’s intellectual property, providing licensees right-to-use or access such intellectual property for use in the production and sale of consumer products and digital game development, location-based entertainment, and for use within content for distribution over streaming platforms and for television and film. The Company also licenses owned television and film content for distribution to third parties in formats that include broadcast, digital streaming and theatrical. Through these arrangements, the Company may receive advanced royalty payments from licensees, either in advance of a licensees’ subsequent sales to customers or prior to the completion of the Company’s performance obligation. In addition, the Wizards of the Coast and Digital Gaming segment may receive advanced payments from end users of its digital games at the time of the initial purchase, through in-application purchases or through subscription services. The Company defers revenues on all licensee and digital gaming advanced payments until the respective performance obligations are satisfied.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records the aggregate deferred revenues as contract liabilities, with the current portion recorded within Accrued liabilities and the long-term portion recorded within Other liabilities in the Company’s Consolidated Balance Sheets. The Company records contract assets, primarily related to (1) minimum guarantees being recognized in advance of contractual invoicing, which are recognized ratably over the terms of the respective license periods, and (2) film and television distribution revenues recorded for content delivered, where payment will occur over the license term. The current portion of contract assets is recorded in Prepaid expenses and other current assets and the long-term portion is recorded within Other assets.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opening and closing balances of contract assets and contract liabilities are as follows:</w:t>
      </w:r>
    </w:p>
    <w:tbl>
      <w:tblPr>
        <w:tblW w:w="5401" w:type="dxa"/>
        <w:jc w:val="left"/>
        <w:tblInd w:w="0" w:type="dxa"/>
        <w:tblLayout w:type="fixed"/>
        <w:tblCellMar>
          <w:top w:w="28" w:type="dxa"/>
          <w:left w:w="28" w:type="dxa"/>
          <w:bottom w:w="28" w:type="dxa"/>
          <w:right w:w="28" w:type="dxa"/>
        </w:tblCellMar>
      </w:tblPr>
      <w:tblGrid>
        <w:gridCol w:w="933"/>
        <w:gridCol w:w="822"/>
        <w:gridCol w:w="825"/>
        <w:gridCol w:w="211"/>
        <w:gridCol w:w="646"/>
        <w:gridCol w:w="109"/>
        <w:gridCol w:w="208"/>
        <w:gridCol w:w="208"/>
        <w:gridCol w:w="210"/>
        <w:gridCol w:w="211"/>
        <w:gridCol w:w="646"/>
        <w:gridCol w:w="109"/>
        <w:gridCol w:w="109"/>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006EBF" w:val="clear"/>
            <w:tcMar>
              <w:top w:w="0" w:type="dxa"/>
              <w:left w:w="0" w:type="dxa"/>
              <w:bottom w:w="0" w:type="dxa"/>
              <w:right w:w="0" w:type="dxa"/>
            </w:tcMar>
            <w:vAlign w:val="center"/>
          </w:tcPr>
          <w:p>
            <w:pPr>
              <w:pStyle w:val="TableContents"/>
              <w:bidi w:val="0"/>
              <w:spacing w:lineRule="auto" w:line="288" w:before="0" w:after="283"/>
              <w:ind w:left="0" w:right="0" w:firstLine="540"/>
              <w:jc w:val="left"/>
              <w:rPr>
                <w:rFonts w:ascii="Arial;sans-serif" w:hAnsi="Arial;sans-serif"/>
                <w:b w:val="false"/>
                <w:color w:val="FFFFFF"/>
                <w:sz w:val="20"/>
              </w:rPr>
            </w:pPr>
            <w:r>
              <w:rPr>
                <w:rFonts w:ascii="Arial;sans-serif" w:hAnsi="Arial;sans-serif"/>
                <w:b w:val="false"/>
                <w:color w:val="FFFFFF"/>
                <w:sz w:val="20"/>
              </w:rPr>
              <w:t>(In millions)</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2025</w:t>
            </w:r>
          </w:p>
        </w:tc>
        <w:tc>
          <w:tcPr>
            <w:tcW w:w="626" w:type="dxa"/>
            <w:gridSpan w:val="3"/>
            <w:tcBorders/>
            <w:shd w:fill="006EB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Contract Assets: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end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Contract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end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increase in contract assets during 2025 and 2024 is primarily the result of an increase in the amount of revenues recognized in advance of contractual invoicing, offset by the impact of previously unbilled revenues that were invoiced throughout the period within the ordinary course of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change in contract liabilities during 2025 and 2024 is primarily the result of an increase in the amount of advanced payments received from customers relating to performance obligations that had not yet been satisfied, offset by $218.0 million and $134.2 million of revenues recognized that were included in the beginning contract liabilities balance as of December 29, 2024 and December 31, 2023, respectively.</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Unsatisfied Performance Obligations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28, 2025, revenue for unsatisfied performance obligations expected to be recognized in the future is $965.4 million, primarily for intellectual property to be made available in the future under existing agreements with merchandise and co-branding licensees and television station affiliates. Of this amount, we expect to recognize approximately $223.5 million in 2026, $164.5 million in 2027, $128.9 million in 2028, and $448.5 million thereafter. These amounts include only fixed consideration or minimum guarantees and do not include amounts related to (i) contracts with an original expected term of one year or less or (ii) licenses of intellectual property that are solely based on the sales of the licensee.</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Accounts Receivable and Allowance for Credit Losses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balance for Accounts receivable on the Consolidated Balance Sheets as of December 28, 2025 and December 29, 2024 are primarily derived from contracts with customers. A summary of the related allowance for credit losses activity is as follows:</w:t>
      </w:r>
    </w:p>
    <w:tbl>
      <w:tblPr>
        <w:tblW w:w="5198" w:type="dxa"/>
        <w:jc w:val="left"/>
        <w:tblInd w:w="0" w:type="dxa"/>
        <w:tblLayout w:type="fixed"/>
        <w:tblCellMar>
          <w:top w:w="28" w:type="dxa"/>
          <w:left w:w="28" w:type="dxa"/>
          <w:bottom w:w="28" w:type="dxa"/>
          <w:right w:w="28" w:type="dxa"/>
        </w:tblCellMar>
      </w:tblPr>
      <w:tblGrid>
        <w:gridCol w:w="1014"/>
        <w:gridCol w:w="894"/>
        <w:gridCol w:w="897"/>
        <w:gridCol w:w="211"/>
        <w:gridCol w:w="541"/>
        <w:gridCol w:w="109"/>
        <w:gridCol w:w="208"/>
        <w:gridCol w:w="208"/>
        <w:gridCol w:w="210"/>
        <w:gridCol w:w="211"/>
        <w:gridCol w:w="541"/>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006EBF" w:val="clear"/>
            <w:tcMar>
              <w:top w:w="0" w:type="dxa"/>
              <w:left w:w="0" w:type="dxa"/>
              <w:bottom w:w="0" w:type="dxa"/>
              <w:right w:w="0" w:type="dxa"/>
            </w:tcMar>
            <w:vAlign w:val="center"/>
          </w:tcPr>
          <w:p>
            <w:pPr>
              <w:pStyle w:val="TableContents"/>
              <w:bidi w:val="0"/>
              <w:spacing w:lineRule="auto" w:line="288" w:before="0" w:after="283"/>
              <w:ind w:left="0" w:right="0" w:firstLine="540"/>
              <w:jc w:val="left"/>
              <w:rPr>
                <w:rFonts w:ascii="Arial;sans-serif" w:hAnsi="Arial;sans-serif"/>
                <w:b w:val="false"/>
                <w:color w:val="FFFFFF"/>
                <w:sz w:val="20"/>
              </w:rPr>
            </w:pPr>
            <w:r>
              <w:rPr>
                <w:rFonts w:ascii="Arial;sans-serif" w:hAnsi="Arial;sans-serif"/>
                <w:b w:val="false"/>
                <w:color w:val="FFFFFF"/>
                <w:sz w:val="20"/>
              </w:rPr>
              <w:t>(In millions)</w:t>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2025</w:t>
            </w:r>
          </w:p>
        </w:tc>
        <w:tc>
          <w:tcPr>
            <w:tcW w:w="626" w:type="dxa"/>
            <w:gridSpan w:val="3"/>
            <w:tcBorders/>
            <w:shd w:fill="006EB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906"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2024</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Provisions/charges to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charged off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60" w:after="283"/>
        <w:jc w:val="center"/>
        <w:rPr/>
      </w:pPr>
      <w:r>
        <w:rPr/>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00" w:after="283"/>
        <w:jc w:val="left"/>
        <w:rPr>
          <w:rFonts w:ascii="Arial;sans-serif" w:hAnsi="Arial;sans-serif"/>
          <w:b w:val="false"/>
          <w:i/>
          <w:color w:val="000000"/>
          <w:sz w:val="20"/>
          <w:u w:val="single"/>
        </w:rPr>
      </w:pPr>
      <w:r>
        <w:rPr>
          <w:rFonts w:ascii="Arial;sans-serif" w:hAnsi="Arial;sans-serif"/>
          <w:b w:val="false"/>
          <w:i/>
          <w:color w:val="000000"/>
          <w:sz w:val="20"/>
          <w:u w:val="single"/>
        </w:rPr>
        <w:t>Disaggregation of revenues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disaggregates its revenues from contracts with customers by reportable segment: Wizards of the Coast and Digital Gaming, Consumer Products, and Entertainment. The Company further disaggregates revenues within its Wizards of the Coast and Digital Gaming segment by category: Tabletop Gaming and Digital and Licensed Gaming; within its Consumer Products segment by major geographic region: North America, Europe, Latin America, and Asia Pacific; and within its Entertainment segment by category: Family Brands and Film and TV. Finally, the Company disaggregates its revenues into three brand portfolios: Grow Brands, Optimize Brands, and Reinvent Brands. We believe these collectively depict how the nature, amount, timing and uncertainty of revenue and cash flows are affected by economic factors.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2025, 2024, and 2023 the Company’s largest customers were Amazon.com, Inc. and Wal-Mart, Inc. with sales to each of these customers amounting to 11% and 9% of consolidated net revenues in 2025, respectively. In 2024, sales to these customers amounted to 11% and 12%, respectively, of consolidated net revenues. In 2023, sales to each of these customers amounted to 11% of consolidated net revenues. Net revenues from the Company’s major customers are reported within the Wizards of the Coast and Digital Gaming segment, Consumer Products segment, and the Entertainment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consolidated Wizards of the Coast and Digital Gaming segment net revenues by category:</w:t>
      </w:r>
    </w:p>
    <w:tbl>
      <w:tblPr>
        <w:tblW w:w="6702" w:type="dxa"/>
        <w:jc w:val="left"/>
        <w:tblInd w:w="0" w:type="dxa"/>
        <w:tblLayout w:type="fixed"/>
        <w:tblCellMar>
          <w:top w:w="28" w:type="dxa"/>
          <w:left w:w="28" w:type="dxa"/>
          <w:bottom w:w="28" w:type="dxa"/>
          <w:right w:w="28" w:type="dxa"/>
        </w:tblCellMar>
      </w:tblPr>
      <w:tblGrid>
        <w:gridCol w:w="947"/>
        <w:gridCol w:w="828"/>
        <w:gridCol w:w="835"/>
        <w:gridCol w:w="211"/>
        <w:gridCol w:w="811"/>
        <w:gridCol w:w="109"/>
        <w:gridCol w:w="109"/>
        <w:gridCol w:w="109"/>
        <w:gridCol w:w="109"/>
        <w:gridCol w:w="211"/>
        <w:gridCol w:w="811"/>
        <w:gridCol w:w="109"/>
        <w:gridCol w:w="109"/>
        <w:gridCol w:w="109"/>
        <w:gridCol w:w="109"/>
        <w:gridCol w:w="211"/>
        <w:gridCol w:w="811"/>
        <w:gridCol w:w="154"/>
      </w:tblGrid>
      <w:tr>
        <w:trPr/>
        <w:tc>
          <w:tcPr>
            <w:tcW w:w="94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2023</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Tabletop Gaming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and Licensed Gaming</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
        <w:jc w:val="left"/>
        <w:rPr>
          <w:rFonts w:ascii="Arial;sans-serif" w:hAnsi="Arial;sans-serif"/>
          <w:b w:val="false"/>
          <w:color w:val="000000"/>
          <w:sz w:val="20"/>
        </w:rPr>
      </w:pPr>
      <w:r>
        <w:rPr>
          <w:rFonts w:ascii="Arial;sans-serif" w:hAnsi="Arial;sans-serif"/>
          <w:b w:val="false"/>
          <w:color w:val="000000"/>
          <w:sz w:val="20"/>
        </w:rPr>
        <w:t>The following table represents consolidated Consumer Products segment net revenues by major geographic region:</w:t>
      </w:r>
    </w:p>
    <w:tbl>
      <w:tblPr>
        <w:tblW w:w="5457" w:type="dxa"/>
        <w:jc w:val="left"/>
        <w:tblInd w:w="0" w:type="dxa"/>
        <w:tblLayout w:type="fixed"/>
        <w:tblCellMar>
          <w:top w:w="28" w:type="dxa"/>
          <w:left w:w="28" w:type="dxa"/>
          <w:bottom w:w="28" w:type="dxa"/>
          <w:right w:w="28" w:type="dxa"/>
        </w:tblCellMar>
      </w:tblPr>
      <w:tblGrid>
        <w:gridCol w:w="495"/>
        <w:gridCol w:w="433"/>
        <w:gridCol w:w="437"/>
        <w:gridCol w:w="211"/>
        <w:gridCol w:w="811"/>
        <w:gridCol w:w="109"/>
        <w:gridCol w:w="109"/>
        <w:gridCol w:w="109"/>
        <w:gridCol w:w="109"/>
        <w:gridCol w:w="211"/>
        <w:gridCol w:w="811"/>
        <w:gridCol w:w="109"/>
        <w:gridCol w:w="109"/>
        <w:gridCol w:w="109"/>
        <w:gridCol w:w="109"/>
        <w:gridCol w:w="211"/>
        <w:gridCol w:w="811"/>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2023</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consolidated Entertainment segment net revenues by category:</w:t>
      </w:r>
    </w:p>
    <w:tbl>
      <w:tblPr>
        <w:tblW w:w="4797" w:type="dxa"/>
        <w:jc w:val="left"/>
        <w:tblInd w:w="0" w:type="dxa"/>
        <w:tblLayout w:type="fixed"/>
        <w:tblCellMar>
          <w:top w:w="28" w:type="dxa"/>
          <w:left w:w="28" w:type="dxa"/>
          <w:bottom w:w="28" w:type="dxa"/>
          <w:right w:w="28" w:type="dxa"/>
        </w:tblCellMar>
      </w:tblPr>
      <w:tblGrid>
        <w:gridCol w:w="511"/>
        <w:gridCol w:w="448"/>
        <w:gridCol w:w="451"/>
        <w:gridCol w:w="211"/>
        <w:gridCol w:w="541"/>
        <w:gridCol w:w="109"/>
        <w:gridCol w:w="109"/>
        <w:gridCol w:w="109"/>
        <w:gridCol w:w="109"/>
        <w:gridCol w:w="211"/>
        <w:gridCol w:w="541"/>
        <w:gridCol w:w="109"/>
        <w:gridCol w:w="109"/>
        <w:gridCol w:w="109"/>
        <w:gridCol w:w="109"/>
        <w:gridCol w:w="211"/>
        <w:gridCol w:w="646"/>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2023</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Family Brands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Film and TV </w:t>
            </w:r>
            <w:r>
              <w:rPr>
                <w:rFonts w:ascii="Arial;sans-serif" w:hAnsi="Arial;sans-serif"/>
                <w:b w:val="false"/>
                <w:color w:val="000000"/>
                <w:sz w:val="13"/>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Arial;sans-serif" w:hAnsi="Arial;sans-serif"/>
          <w:b w:val="false"/>
          <w:i/>
          <w:color w:val="000000"/>
          <w:sz w:val="10"/>
        </w:rPr>
        <w:t xml:space="preserve">(1) </w:t>
      </w:r>
      <w:r>
        <w:rPr>
          <w:rFonts w:ascii="Arial;sans-serif" w:hAnsi="Arial;sans-serif"/>
          <w:b w:val="false"/>
          <w:i/>
          <w:color w:val="000000"/>
          <w:sz w:val="16"/>
        </w:rPr>
        <w:t>Net revenues for Film and TV in 2023 include amounts associated with the Company's eOne Film and TV business that was sold to Lionsgate during 2023, as discussed in Note 3, Sale of Entertainment One Film and TV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consolidated net revenues by brand portfolio:</w:t>
      </w:r>
    </w:p>
    <w:tbl>
      <w:tblPr>
        <w:tblW w:w="7136" w:type="dxa"/>
        <w:jc w:val="left"/>
        <w:tblInd w:w="0" w:type="dxa"/>
        <w:tblLayout w:type="fixed"/>
        <w:tblCellMar>
          <w:top w:w="28" w:type="dxa"/>
          <w:left w:w="28" w:type="dxa"/>
          <w:bottom w:w="28" w:type="dxa"/>
          <w:right w:w="28" w:type="dxa"/>
        </w:tblCellMar>
      </w:tblPr>
      <w:tblGrid>
        <w:gridCol w:w="1104"/>
        <w:gridCol w:w="966"/>
        <w:gridCol w:w="974"/>
        <w:gridCol w:w="211"/>
        <w:gridCol w:w="811"/>
        <w:gridCol w:w="109"/>
        <w:gridCol w:w="109"/>
        <w:gridCol w:w="109"/>
        <w:gridCol w:w="109"/>
        <w:gridCol w:w="211"/>
        <w:gridCol w:w="811"/>
        <w:gridCol w:w="109"/>
        <w:gridCol w:w="109"/>
        <w:gridCol w:w="109"/>
        <w:gridCol w:w="109"/>
        <w:gridCol w:w="211"/>
        <w:gridCol w:w="811"/>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2023</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Grow Brands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Optimize Brands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Reinvent Brands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Non-Hasbro Branded Film and TV</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ind w:left="0" w:right="0" w:hanging="540"/>
        <w:jc w:val="left"/>
        <w:rPr/>
      </w:pPr>
      <w:r>
        <w:rPr>
          <w:rFonts w:ascii="Arial;sans-serif" w:hAnsi="Arial;sans-serif"/>
          <w:b/>
          <w:color w:val="000000"/>
          <w:sz w:val="20"/>
        </w:rPr>
        <w:t>(3)    </w:t>
      </w:r>
      <w:r>
        <w:rPr>
          <w:rFonts w:ascii="Arial;sans-serif" w:hAnsi="Arial;sans-serif"/>
          <w:b/>
          <w:color w:val="000000"/>
          <w:sz w:val="20"/>
          <w:u w:val="single"/>
        </w:rPr>
        <w:t>Sale of Entertainment One Film and TV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December 27, 2023, the Company completed the sale of eOne Film and TV to Lionsgate, pursuant to the terms of an Equity Purchase Agreement dated August 3, 2023, among Hasbro and Lionsgate for a purchase price of $375.0 million in cash, subject to certain purchase price adjustments plus the assumption by Lionsgate of production financing loans. The Equity Purchase Agreement also included a holdback amount that was retained by Lionsgate upon the execution of the sale but remained recoverable by Hasbro if certain terms were not satisfied by Lionsgate within 30 days of the first anniversary of the agreement.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year ended December 28, 2025, the Company was informed by Lionsgate of the satisfaction of the requirements under the agreement and the final holdback amount was settled, resulting in a $25.0 million Loss on disposal of business on the Consolidated Statements of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year ended December 29, 2024, the Company recorded a $37.4 million Loss on disposal of business on the Consolidated Statements of Operations associated with certain purchase price and related adjustments.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year ended December 31, 2023, the Company recorded a $539.0 million Loss on disposal of business on the Consolidated Statements of Operations based on the value of the net assets held by eOne Film and TV, which included goodwill and intangible assets. The Company also recorded pre-tax cash transaction expenses of $35.1 million within Selling, distribution and administration expense on the Consolidated Statements of Operations for the year ended December 31, 2023.</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Prior to the sale of eOne Film and TV in 2023, the operations of eOne Film and TV did not meet the criteria to be presented as discontinued operations in accordance with GAAP and eOne Film and TV did not represent an individually significant component of the Company’s business. As a result, income from operations before income taxes, attributable to eOne Film and TV, was recorded in the Company's Consolidated Statements of Operations, within the Entertainment segment, through the sale transaction closing date. The Loss before income taxes attributable to eOne Film and TV through the date of the transaction was $371.6 million for fiscal year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(4)    </w:t>
      </w:r>
      <w:r>
        <w:rPr>
          <w:rFonts w:ascii="Arial;sans-serif" w:hAnsi="Arial;sans-serif"/>
          <w:b/>
          <w:color w:val="000000"/>
          <w:sz w:val="20"/>
          <w:u w:val="single"/>
        </w:rPr>
        <w:t>Earnings Per Common Share</w:t>
      </w:r>
    </w:p>
    <w:p>
      <w:pPr>
        <w:pStyle w:val="TextBody"/>
        <w:bidi w:val="0"/>
        <w:spacing w:lineRule="auto" w:line="288" w:before="120" w:after="283"/>
        <w:jc w:val="left"/>
        <w:rPr/>
      </w:pPr>
      <w:r>
        <w:rPr>
          <w:rFonts w:ascii="Arial;sans-serif" w:hAnsi="Arial;sans-serif"/>
          <w:b w:val="false"/>
          <w:color w:val="000000"/>
          <w:sz w:val="20"/>
        </w:rPr>
        <w:t xml:space="preserve">The Company computes earnings per share ("EPS") in accordance with ASC Topic 260, </w:t>
      </w:r>
      <w:r>
        <w:rPr>
          <w:rFonts w:ascii="Arial;sans-serif" w:hAnsi="Arial;sans-serif"/>
          <w:b w:val="false"/>
          <w:i/>
          <w:color w:val="000000"/>
          <w:sz w:val="20"/>
        </w:rPr>
        <w:t>Earnings per Share</w:t>
      </w:r>
      <w:r>
        <w:rPr>
          <w:rFonts w:ascii="Arial;sans-serif" w:hAnsi="Arial;sans-serif"/>
          <w:b w:val="false"/>
          <w:color w:val="000000"/>
          <w:sz w:val="20"/>
        </w:rPr>
        <w:t xml:space="preserve">. Basic net earnings per share is computed by dividing net earnings by the weighted average number of shares outstanding for the year as well as awards that have not been issued but all contingencies have been met. </w:t>
      </w:r>
    </w:p>
    <w:p>
      <w:pPr>
        <w:pStyle w:val="TextBody"/>
        <w:bidi w:val="0"/>
        <w:spacing w:lineRule="auto" w:line="288" w:before="120" w:after="283"/>
        <w:jc w:val="left"/>
        <w:rPr/>
      </w:pPr>
      <w:r>
        <w:rPr>
          <w:rFonts w:ascii="Arial;sans-serif" w:hAnsi="Arial;sans-serif"/>
          <w:b w:val="false"/>
          <w:color w:val="000000"/>
          <w:sz w:val="20"/>
        </w:rPr>
        <w:t>Diluted net earnings per share is similar except that the weighted average number of shares outstanding is increased by dilutive securities, and net earnings are adjusted, if necessary, for certain amounts related to dilutive securities. Dilutive securities include shares issuable upon exercise of stock options for which the market price exceeds the exercise price, less shares which could have been purchased by the Company with the related proceeds. Dilutive securities also include shares issuable under restricted stock unit award agreements. Options and restricted stock unit awards totaling 4.2 million, 1.6 million and 2.5 million for 2025, 2024, and 2023, respectively, were excluded from the calculation of diluted earnings per share because to include them would have been antidilutive. Of the fiscal 2025 and 2023 amounts, 3.6 million and 1.6 million shares would have been included in the calculation of diluted shares had the Company not had a net loss for the years ended December 28, 2025 and December 31, 2023, respectively. Assuming that these awards and options were included, under the treasury stock method, they would have resulted in an additional 1.5 million and 0.2 million shares being included in the diluted earnings per share calculation for the years ended December 28, 2025 and December 31, 2023, respectively</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sets forth the reconciliation of basic and diluted earnings per share:</w:t>
      </w:r>
    </w:p>
    <w:tbl>
      <w:tblPr>
        <w:tblW w:w="9852" w:type="dxa"/>
        <w:jc w:val="left"/>
        <w:tblInd w:w="0" w:type="dxa"/>
        <w:tblLayout w:type="fixed"/>
        <w:tblCellMar>
          <w:top w:w="28" w:type="dxa"/>
          <w:left w:w="28" w:type="dxa"/>
          <w:bottom w:w="28" w:type="dxa"/>
          <w:right w:w="28" w:type="dxa"/>
        </w:tblCellMar>
      </w:tblPr>
      <w:tblGrid>
        <w:gridCol w:w="2158"/>
        <w:gridCol w:w="1902"/>
        <w:gridCol w:w="1910"/>
        <w:gridCol w:w="211"/>
        <w:gridCol w:w="706"/>
        <w:gridCol w:w="109"/>
        <w:gridCol w:w="109"/>
        <w:gridCol w:w="109"/>
        <w:gridCol w:w="109"/>
        <w:gridCol w:w="211"/>
        <w:gridCol w:w="646"/>
        <w:gridCol w:w="109"/>
        <w:gridCol w:w="109"/>
        <w:gridCol w:w="109"/>
        <w:gridCol w:w="109"/>
        <w:gridCol w:w="211"/>
        <w:gridCol w:w="871"/>
        <w:gridCol w:w="154"/>
      </w:tblGrid>
      <w:tr>
        <w:trPr/>
        <w:tc>
          <w:tcPr>
            <w:tcW w:w="2158"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20"/>
              </w:rPr>
            </w:pPr>
            <w:r>
              <w:rPr>
                <w:rFonts w:ascii="Arial;sans-serif" w:hAnsi="Arial;sans-serif"/>
                <w:b w:val="false"/>
                <w:color w:val="FFFFFF"/>
                <w:sz w:val="20"/>
              </w:rPr>
              <w:t>(In millions, except per share data)</w:t>
            </w:r>
          </w:p>
        </w:tc>
        <w:tc>
          <w:tcPr>
            <w:tcW w:w="1353" w:type="dxa"/>
            <w:gridSpan w:val="6"/>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2025</w:t>
            </w:r>
          </w:p>
        </w:tc>
        <w:tc>
          <w:tcPr>
            <w:tcW w:w="1293" w:type="dxa"/>
            <w:gridSpan w:val="6"/>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2024</w:t>
            </w:r>
          </w:p>
        </w:tc>
        <w:tc>
          <w:tcPr>
            <w:tcW w:w="1236"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2023</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(loss) earnings attributable to Hasbro, Inc.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shares outstanding</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Effect of dilutive securities - Options and other share-based awards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Equivalent shares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(loss) earnings attributable to Hasbro, Inc. per common share</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540"/>
        <w:jc w:val="left"/>
        <w:rPr/>
      </w:pPr>
      <w:r>
        <w:rPr>
          <w:rFonts w:ascii="Arial;sans-serif" w:hAnsi="Arial;sans-serif"/>
          <w:b/>
          <w:color w:val="000000"/>
          <w:sz w:val="20"/>
        </w:rPr>
        <w:t>(5)    </w:t>
      </w:r>
      <w:r>
        <w:rPr>
          <w:rFonts w:ascii="Arial;sans-serif" w:hAnsi="Arial;sans-serif"/>
          <w:b/>
          <w:color w:val="000000"/>
          <w:sz w:val="20"/>
          <w:u w:val="single"/>
        </w:rPr>
        <w:t>Other Comprehensive Earnings (Loss)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Components of other comprehensive earnings (loss) are presented within the Consolidated Statements of Comprehensive Earnings (Loss), net of tax. Income tax effects are released from Accumulated other comprehensive loss ("AOCL") at the effective tax rate during the period in which the components are released.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Changes in the components of AOCL are as follows:</w:t>
      </w:r>
    </w:p>
    <w:tbl>
      <w:tblPr>
        <w:tblW w:w="10205" w:type="dxa"/>
        <w:jc w:val="left"/>
        <w:tblInd w:w="0" w:type="dxa"/>
        <w:tblLayout w:type="fixed"/>
        <w:tblCellMar>
          <w:top w:w="28" w:type="dxa"/>
          <w:left w:w="28" w:type="dxa"/>
          <w:bottom w:w="28" w:type="dxa"/>
          <w:right w:w="28" w:type="dxa"/>
        </w:tblCellMar>
      </w:tblPr>
      <w:tblGrid>
        <w:gridCol w:w="1503"/>
        <w:gridCol w:w="1043"/>
        <w:gridCol w:w="961"/>
        <w:gridCol w:w="356"/>
        <w:gridCol w:w="735"/>
        <w:gridCol w:w="185"/>
        <w:gridCol w:w="109"/>
        <w:gridCol w:w="109"/>
        <w:gridCol w:w="109"/>
        <w:gridCol w:w="261"/>
        <w:gridCol w:w="669"/>
        <w:gridCol w:w="136"/>
        <w:gridCol w:w="109"/>
        <w:gridCol w:w="109"/>
        <w:gridCol w:w="109"/>
        <w:gridCol w:w="247"/>
        <w:gridCol w:w="510"/>
        <w:gridCol w:w="129"/>
        <w:gridCol w:w="109"/>
        <w:gridCol w:w="109"/>
        <w:gridCol w:w="109"/>
        <w:gridCol w:w="245"/>
        <w:gridCol w:w="752"/>
        <w:gridCol w:w="129"/>
        <w:gridCol w:w="109"/>
        <w:gridCol w:w="109"/>
        <w:gridCol w:w="109"/>
        <w:gridCol w:w="211"/>
        <w:gridCol w:w="669"/>
        <w:gridCol w:w="156"/>
      </w:tblGrid>
      <w:tr>
        <w:trPr/>
        <w:tc>
          <w:tcPr>
            <w:tcW w:w="150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(In millions)</w:t>
            </w:r>
          </w:p>
        </w:tc>
        <w:tc>
          <w:tcPr>
            <w:tcW w:w="127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Pension and</w:t>
              <w:br/>
              <w:t>Postretirement</w:t>
              <w:br/>
              <w:t>Amounts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Derivative</w:t>
              <w:br/>
              <w:t>Instruments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16"/>
              </w:rPr>
              <w:br/>
            </w:r>
            <w:r>
              <w:rPr>
                <w:rFonts w:ascii="Arial;sans-serif" w:hAnsi="Arial;sans-serif"/>
                <w:b/>
                <w:color w:val="FFFFFF"/>
                <w:sz w:val="16"/>
              </w:rPr>
              <w:t>Available</w:t>
              <w:br/>
              <w:t>for-Sale</w:t>
              <w:br/>
              <w:t>Securities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Foreign</w:t>
              <w:br/>
              <w:t>Currency</w:t>
              <w:br/>
              <w:t>Translation</w:t>
              <w:br/>
              <w:t>Adjustments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Total</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AOCL</w:t>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25, 2022</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earnings (loss) before reclassifications, before tax</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earnings (loss), before reclassifications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Reclassifications from AOCL to earnings, before tax</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Reclassifications from AOCL to earnings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comprehensive earnings (loss)</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31, 2023</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(180.4)</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tbl>
      <w:tblPr>
        <w:tblW w:w="10205" w:type="dxa"/>
        <w:jc w:val="left"/>
        <w:tblInd w:w="0" w:type="dxa"/>
        <w:tblLayout w:type="fixed"/>
        <w:tblCellMar>
          <w:top w:w="28" w:type="dxa"/>
          <w:left w:w="28" w:type="dxa"/>
          <w:bottom w:w="28" w:type="dxa"/>
          <w:right w:w="28" w:type="dxa"/>
        </w:tblCellMar>
      </w:tblPr>
      <w:tblGrid>
        <w:gridCol w:w="1275"/>
        <w:gridCol w:w="1108"/>
        <w:gridCol w:w="1123"/>
        <w:gridCol w:w="356"/>
        <w:gridCol w:w="735"/>
        <w:gridCol w:w="185"/>
        <w:gridCol w:w="109"/>
        <w:gridCol w:w="109"/>
        <w:gridCol w:w="109"/>
        <w:gridCol w:w="261"/>
        <w:gridCol w:w="669"/>
        <w:gridCol w:w="136"/>
        <w:gridCol w:w="109"/>
        <w:gridCol w:w="109"/>
        <w:gridCol w:w="109"/>
        <w:gridCol w:w="247"/>
        <w:gridCol w:w="510"/>
        <w:gridCol w:w="129"/>
        <w:gridCol w:w="109"/>
        <w:gridCol w:w="109"/>
        <w:gridCol w:w="109"/>
        <w:gridCol w:w="245"/>
        <w:gridCol w:w="752"/>
        <w:gridCol w:w="129"/>
        <w:gridCol w:w="109"/>
        <w:gridCol w:w="109"/>
        <w:gridCol w:w="109"/>
        <w:gridCol w:w="211"/>
        <w:gridCol w:w="669"/>
        <w:gridCol w:w="157"/>
      </w:tblGrid>
      <w:tr>
        <w:trPr/>
        <w:tc>
          <w:tcPr>
            <w:tcW w:w="127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0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(In millions)</w:t>
            </w:r>
          </w:p>
        </w:tc>
        <w:tc>
          <w:tcPr>
            <w:tcW w:w="127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Pension and</w:t>
              <w:br/>
              <w:t>Postretirement</w:t>
              <w:br/>
              <w:t>Amounts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Derivative</w:t>
              <w:br/>
              <w:t>Instruments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16"/>
              </w:rPr>
              <w:br/>
            </w:r>
            <w:r>
              <w:rPr>
                <w:rFonts w:ascii="Arial;sans-serif" w:hAnsi="Arial;sans-serif"/>
                <w:b/>
                <w:color w:val="FFFFFF"/>
                <w:sz w:val="16"/>
              </w:rPr>
              <w:t>Available</w:t>
              <w:br/>
              <w:t>for-Sale</w:t>
              <w:br/>
              <w:t>Securities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Foreign</w:t>
              <w:br/>
              <w:t>Currency</w:t>
              <w:br/>
              <w:t>Translation</w:t>
              <w:br/>
              <w:t>Adjustments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Total</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AOCL</w:t>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earnings before reclassifications, before tax</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earnings, before reclassifications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Reclassifications from AOCL to earnings, before tax</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Reclassifications from AOCL to earnings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earnings</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29, 2024</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(229.2)</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earnings (loss) before reclassifications, before tax</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earnings (loss), before reclassifications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Reclassifications from AOCL to earnings, before tax</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Reclassifications from AOCL to earnings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comprehensive earnings (loss)</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28, 2025</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(189.1)</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Gains (Losses) on Derivative Instruments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28, 2025, the Company had remaining net deferred losses on foreign currency forward contracts, net of tax, of $8.3 million in AOCL. These instruments hedge payments related to inventory purchased in the fourth quarter of 2025 or forecasted to be purchased in 2026, intercompany expenses expected to be paid or received during 2026 and cash receipts for sales made at the end of the fourth quarter of 2025 or forecasted to be made in 2026. These amounts will be reclassified into the Consolidated Statements of Operations upon the sale of the related inventory or recognition of the related sales or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to foreign currency forward contracts, the Company entered into hedging contracts on future interest payments related to the 5.10% Notes due 2044 (refer to Note 12, Long-Term Debt and Other Financing). At the date of debt issuance, these contracts were terminated and the fair value on the date of settlement was deferred in AOCL and is being amortized to interest expense over the life of the related notes using the effective interest rate method. As of December 28, 2025, deferred losses, net of tax, of $12.8 million related to these instruments remained in AOCL. For each of the years ending December 28, 2025, December 29, 2024, and December 31, 2023, losses, net of tax, of $0.7 million related to these hedging instruments were reclassified from AOCL to net earnings.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Of the amounts included in AOCL as of December 28, 2025, the Company expects net losses of approximately $7.2 million to be reclassified to the Consolidated Statements of Operations within the next 12 months. However, the amount ultimately realized in earnings is dependent on the fair value of the hedging instruments on the settlement dates.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Note 19, Derivative Financial Instruments, to the consolidated financial statements for additional discussion on reclassifications from AOCL to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ind w:left="0" w:right="0" w:hanging="540"/>
        <w:jc w:val="left"/>
        <w:rPr/>
      </w:pPr>
      <w:r>
        <w:rPr>
          <w:rFonts w:ascii="Arial;sans-serif" w:hAnsi="Arial;sans-serif"/>
          <w:b/>
          <w:color w:val="000000"/>
          <w:sz w:val="20"/>
        </w:rPr>
        <w:t>(6)    </w:t>
      </w:r>
      <w:r>
        <w:rPr>
          <w:rFonts w:ascii="Arial;sans-serif" w:hAnsi="Arial;sans-serif"/>
          <w:b/>
          <w:color w:val="000000"/>
          <w:sz w:val="20"/>
          <w:u w:val="single"/>
        </w:rPr>
        <w:t>Property, Plant and Equipment</w:t>
      </w:r>
    </w:p>
    <w:tbl>
      <w:tblPr>
        <w:tblW w:w="8284" w:type="dxa"/>
        <w:jc w:val="left"/>
        <w:tblInd w:w="0" w:type="dxa"/>
        <w:tblLayout w:type="fixed"/>
        <w:tblCellMar>
          <w:top w:w="28" w:type="dxa"/>
          <w:left w:w="28" w:type="dxa"/>
          <w:bottom w:w="28" w:type="dxa"/>
          <w:right w:w="28" w:type="dxa"/>
        </w:tblCellMar>
      </w:tblPr>
      <w:tblGrid>
        <w:gridCol w:w="2156"/>
        <w:gridCol w:w="1885"/>
        <w:gridCol w:w="1913"/>
        <w:gridCol w:w="214"/>
        <w:gridCol w:w="656"/>
        <w:gridCol w:w="109"/>
        <w:gridCol w:w="109"/>
        <w:gridCol w:w="109"/>
        <w:gridCol w:w="109"/>
        <w:gridCol w:w="214"/>
        <w:gridCol w:w="656"/>
        <w:gridCol w:w="154"/>
      </w:tblGrid>
      <w:tr>
        <w:trPr/>
        <w:tc>
          <w:tcPr>
            <w:tcW w:w="2156"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97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 and improvements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improvements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equipment and software</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Tools, dies and molds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plant and equipment, gross</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 and right-of-use asset amortization</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Expenditures for maintenance and repairs which do not materially extend the life of the assets are charged to operations as incurred. In 2025, 2024 and 2023 the Company recorded $69.5 million, $94.7 million and $127.7 million, respectively, of depreciation expense. Refer to Note 18, Leases, for additional discussion on right-of-use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(7)    </w:t>
      </w:r>
      <w:r>
        <w:rPr>
          <w:rFonts w:ascii="Arial;sans-serif" w:hAnsi="Arial;sans-serif"/>
          <w:b/>
          <w:color w:val="000000"/>
          <w:sz w:val="20"/>
          <w:u w:val="single"/>
        </w:rPr>
        <w:t>Software Development Costs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Capitalized software development costs include both direct costs for internally developed titles and payments to third-party software developers under development agreements that have been incurred by the Company subsequent to establishing the technological feasibility of a software title. Prior to establishing technological feasibility of a software title, any costs incurred are recorded as product development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28, 2025 and December 29, 2024, $385.6 million and $264.4 million, of software development costs were capitalized within Other assets in the Consolidated Balance Sheets, respectively.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Amortization and impairments of software titles that have been released are recorded within Cost of sales within the Consolidated Statements of Operations. The Company did not release any software titles during 2025, 2024 or 2023 that were previously capitalized on the Consolidated Balance Sheets, and therefore there was no amortization or impairments recognized in the Consolidated Statement of Operations. Write-offs of unreleased titles are recorded within Selling, distribution and administration. The Company did not write-off any unreleased titles in 2025 or 2023. Approximately $24.4 million of write-offs occurred during 2024, relating to the cancellation of two unreleased titles.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(8)    </w:t>
      </w:r>
      <w:r>
        <w:rPr>
          <w:rFonts w:ascii="Arial;sans-serif" w:hAnsi="Arial;sans-serif"/>
          <w:b/>
          <w:color w:val="000000"/>
          <w:sz w:val="20"/>
          <w:u w:val="single"/>
        </w:rPr>
        <w:t>Goodwill and Intangible Assets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Goodwill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Changes in the carrying amount of goodwill, by operating segment are as follows:</w:t>
      </w:r>
    </w:p>
    <w:tbl>
      <w:tblPr>
        <w:tblW w:w="10205" w:type="dxa"/>
        <w:jc w:val="left"/>
        <w:tblInd w:w="0" w:type="dxa"/>
        <w:tblLayout w:type="fixed"/>
        <w:tblCellMar>
          <w:top w:w="28" w:type="dxa"/>
          <w:left w:w="28" w:type="dxa"/>
          <w:bottom w:w="28" w:type="dxa"/>
          <w:right w:w="28" w:type="dxa"/>
        </w:tblCellMar>
      </w:tblPr>
      <w:tblGrid>
        <w:gridCol w:w="888"/>
        <w:gridCol w:w="730"/>
        <w:gridCol w:w="728"/>
        <w:gridCol w:w="629"/>
        <w:gridCol w:w="1927"/>
        <w:gridCol w:w="324"/>
        <w:gridCol w:w="109"/>
        <w:gridCol w:w="109"/>
        <w:gridCol w:w="109"/>
        <w:gridCol w:w="296"/>
        <w:gridCol w:w="1139"/>
        <w:gridCol w:w="152"/>
        <w:gridCol w:w="109"/>
        <w:gridCol w:w="109"/>
        <w:gridCol w:w="109"/>
        <w:gridCol w:w="268"/>
        <w:gridCol w:w="823"/>
        <w:gridCol w:w="140"/>
        <w:gridCol w:w="109"/>
        <w:gridCol w:w="109"/>
        <w:gridCol w:w="109"/>
        <w:gridCol w:w="211"/>
        <w:gridCol w:w="811"/>
        <w:gridCol w:w="158"/>
      </w:tblGrid>
      <w:tr>
        <w:trPr/>
        <w:tc>
          <w:tcPr>
            <w:tcW w:w="88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288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Wizards of the Coast and Digital Gaming</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Consumer Products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Entertainment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Total</w:t>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31, 2023</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371.7 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exchange translation</w:t>
            </w:r>
          </w:p>
        </w:tc>
        <w:tc>
          <w:tcPr>
            <w:tcW w:w="2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29, 2024</w:t>
            </w:r>
          </w:p>
        </w:tc>
        <w:tc>
          <w:tcPr>
            <w:tcW w:w="2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371.0 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2,278.2 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w:t>
            </w:r>
          </w:p>
        </w:tc>
        <w:tc>
          <w:tcPr>
            <w:tcW w:w="2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(1,021.9)</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exchange translation</w:t>
            </w:r>
          </w:p>
        </w:tc>
        <w:tc>
          <w:tcPr>
            <w:tcW w:w="2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28, 2025</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370.5 </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561.0 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325.2 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performs an annual impairment assessment on goodwill. This annual impairment assessment is performed in the fourth quarter of the Company’s fiscal year. During the fourth quarter of 2025, the Company performed a qualitative goodwill assessment with respect to each of its reporting units. Based on its qualitative assessments, the Company determined it is not more likely than not that the carrying values exceed the fair values for any of its reporting units. As a result, the Company concluded it was not necessary to perform a quantitative test for impairment of goodwill for any reporting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pPr>
      <w:r>
        <w:rPr>
          <w:rFonts w:ascii="Arial;sans-serif" w:hAnsi="Arial;sans-serif"/>
          <w:b w:val="false"/>
          <w:color w:val="000000"/>
          <w:sz w:val="20"/>
        </w:rPr>
        <w:t xml:space="preserve">In addition to the annual test, if an event occurs or circumstances change that indicate that the carrying value of a reporting unit may not be recoverable, the Company will perform an interim impairment test. Due to increased tariffs, including reciprocal tariffs announced by the U.S. government in April 2025, the escalation of ongoing trade policy disputes between international governments, the financial performance of certain reporting units being lower than previously forecasted, and other macroeconomic headwinds, during the second quarter of 2025, the Company noted downward revisions to operating income and cash flow forecasts for certain of its reporting units within the Consumer Products and Entertainment segments. As a result, during the second quarter of 2025, the Company performed an interim quantitative impairment test for the North America, Europe, Asia Pacific, and Latin America Consumer Products reporting units, as well as the Family Brands reporting unit within the Entertainment segment. Additionally, due to our ongoing transformation, we concluded that, as of the second quarter of 2025, the North America, Europe, Asia Pacific, and Latin America reporting units had similar economic characteristics and should be aggregated for purposes of testing goodwill for impairment. Our conclusion was based on a detailed analysis of the aggregation criteria set forth in ASC Topic 280, </w:t>
      </w:r>
      <w:r>
        <w:rPr>
          <w:rFonts w:ascii="Arial;sans-serif" w:hAnsi="Arial;sans-serif"/>
          <w:b w:val="false"/>
          <w:i/>
          <w:color w:val="000000"/>
          <w:sz w:val="20"/>
        </w:rPr>
        <w:t>Segment Reporting</w:t>
      </w:r>
      <w:r>
        <w:rPr>
          <w:rFonts w:ascii="Arial;sans-serif" w:hAnsi="Arial;sans-serif"/>
          <w:b w:val="false"/>
          <w:color w:val="000000"/>
          <w:sz w:val="20"/>
        </w:rPr>
        <w:t xml:space="preserve">, and in ASC Topic 350, </w:t>
      </w:r>
      <w:r>
        <w:rPr>
          <w:rFonts w:ascii="Arial;sans-serif" w:hAnsi="Arial;sans-serif"/>
          <w:b w:val="false"/>
          <w:i/>
          <w:color w:val="000000"/>
          <w:sz w:val="20"/>
        </w:rPr>
        <w:t>Intangibles - Goodwill and Other</w:t>
      </w:r>
      <w:r>
        <w:rPr>
          <w:rFonts w:ascii="Arial;sans-serif" w:hAnsi="Arial;sans-serif"/>
          <w:b w:val="false"/>
          <w:color w:val="000000"/>
          <w:sz w:val="20"/>
        </w:rPr>
        <w:t>. These reporting units serve similar clients and have similar products, and as of the second quarter of 2025 had similar sourcing and distribution methods that along with our ongoing transformation has resulted in similar economic characteristics.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result of the quantitative tests performed prior to and following the aggregation, the Company determined that the carrying values of our regional Consumer Products reporting units exceeded their expected fair values and recorded pre-tax non-cash impairment charges of $1,021.9 million within the Consolidated Statements of Operations for the fiscal year ended 2025. The fair values of North America and Europe were determined considering a discounted cash flow model which is primarily based on management’s future revenue and cost estimates, which included the estimated impact of tariff policies in effect and the related macroeconomic environment, and a discount rate. The fair values of the Asia Pacific and Latin America reporting units were determined considering a discounted cash flow model weighted equally with the market approach, which is primarily based on multiples of comparable public companies. No impairments were recorded related to the Family Brands reporting unit.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28, 2025, $325.2 million of goodwill is allocated to the Family Brands reporting unit. As of the date of the most recent quantitative test, which occurred during the second quarter of 2025, the fair value of our Family Brands reporting unit, within the Entertainment segment, exceeded the carrying value of that reporting unit by approximately 15%. The fair value of the Family Brands reporting unit was determined considering a discounted cash flow model weighted equally with the market approach, which is primarily based on multiples of comparable public companies. For the Family Brands reporting unit, critical assumptions included a discount rate approximating 9.5%, a terminal value revenue growth rate of 3.0%, and a terminal operating profit margin consistent with levels achieved in recent historical periods when excluding one-time impairment and disposal charges. Although we believe the assumptions and estimates made were reasonable and appropriate, these estimates are based on a number of factors including historical experience and information obtained from reporting unit management. Actual results could differ from these estimates, especially given uncertainty related to tariffs, global trade policy, and global macroeconomic conditions.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did not record a goodwill impairment charge in 2024. In 2023, the Company recorded $1,191.2 million of non-cash goodwill impairment charges related to the Family Brands and Film and TV reporting units within the Company's Entertainment segment, as the carrying value of the reporting units exceeded their expected fair value, as determined using a discounted cash flow model which was primarily based on management’s future revenue and cost estimates.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Other Intangible Assets,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represents a summary of the Company’s other intangible assets:</w:t>
      </w:r>
    </w:p>
    <w:tbl>
      <w:tblPr>
        <w:tblW w:w="5379" w:type="dxa"/>
        <w:jc w:val="left"/>
        <w:tblInd w:w="0" w:type="dxa"/>
        <w:tblLayout w:type="fixed"/>
        <w:tblCellMar>
          <w:top w:w="28" w:type="dxa"/>
          <w:left w:w="28" w:type="dxa"/>
          <w:bottom w:w="28" w:type="dxa"/>
          <w:right w:w="28" w:type="dxa"/>
        </w:tblCellMar>
      </w:tblPr>
      <w:tblGrid>
        <w:gridCol w:w="1115"/>
        <w:gridCol w:w="976"/>
        <w:gridCol w:w="984"/>
        <w:gridCol w:w="211"/>
        <w:gridCol w:w="646"/>
        <w:gridCol w:w="109"/>
        <w:gridCol w:w="109"/>
        <w:gridCol w:w="109"/>
        <w:gridCol w:w="109"/>
        <w:gridCol w:w="211"/>
        <w:gridCol w:w="646"/>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product rights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Amortizable intangible assets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rights with indefinite lives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intangibles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Certain intangible assets relating to rights obtained in the Company’s acquisition of Milton Bradley in 1984 and Tonka in 1991 are not amortized. These rights were determined to have indefinite lives and are included as product rights with indefinite lives in the table above. The Company tests these assets for impairment on an annual basis in the fourth quarter of each year or when an event occurs or circumstances change that indicate that the carrying value may not be recoverable. The Company completed its annual impairment tests of indefinite-lived intangible assets in the fourth quarter of 2025, concluding that there was no impairment of these assets. The Company did not record any impairments of its indefinite-lived intangible assets in 2025, 2024, or 2023.</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other intangible assets are amortized over their remaining useful lives, and accumulated amortization of these other intangibles is reflected in Other intangible assets, net in the accompanying Consolidated Balance Sheets. Other intangible assets are reviewed for indications of impairment whenever events or changes in circumstances indicate the carrying value may not be recoverable. The Company did not record any impairments of its definite-lived intangible assets in 2025 or 2024.</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2023, the Company recorded a non-cash intangible asset impairment charge of $65.0 million related to the eOne Trademark associated with the Film and TV reporting unit. Additionally, during 2023, the Company recorded a $51.0 million impairment charge related to the PJ MASKS definite-lived intangible asset based upon lower revenue forecasts for this intangible asset. Both charges were recorded in Selling, distribution and administration expense within the Consolidated Statements of Operations in the Entertainment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currently estimates amortization expense related to the above intangible assets for the next five years to be approximately:</w:t>
      </w:r>
    </w:p>
    <w:tbl>
      <w:tblPr>
        <w:tblW w:w="2245" w:type="dxa"/>
        <w:jc w:val="left"/>
        <w:tblInd w:w="0" w:type="dxa"/>
        <w:tblLayout w:type="fixed"/>
        <w:tblCellMar>
          <w:top w:w="28" w:type="dxa"/>
          <w:left w:w="28" w:type="dxa"/>
          <w:bottom w:w="28" w:type="dxa"/>
          <w:right w:w="28" w:type="dxa"/>
        </w:tblCellMar>
      </w:tblPr>
      <w:tblGrid>
        <w:gridCol w:w="408"/>
        <w:gridCol w:w="357"/>
        <w:gridCol w:w="360"/>
        <w:gridCol w:w="211"/>
        <w:gridCol w:w="646"/>
        <w:gridCol w:w="109"/>
        <w:gridCol w:w="154"/>
      </w:tblGrid>
      <w:tr>
        <w:trPr/>
        <w:tc>
          <w:tcPr>
            <w:tcW w:w="40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966"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(9)    </w:t>
      </w:r>
      <w:r>
        <w:rPr>
          <w:rFonts w:ascii="Arial;sans-serif" w:hAnsi="Arial;sans-serif"/>
          <w:b/>
          <w:color w:val="000000"/>
          <w:sz w:val="20"/>
          <w:u w:val="single"/>
        </w:rPr>
        <w:t>Equity Method Investment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owns an interest in a joint venture, Discovery Family Channel (“DFC”), with Warner Bros. Discovery, Inc. ("WBD"). The Company has determined that it does not meet the control requirements to consolidate DFC and accounts for the investment using the equity method of accounting. DFC was established to create a cable television network in the United States dedicated to high-quality children’s and family entertainment. In October 2009, the Company purchased an initial 50% share in DFC for a payment of $300.0 million and certain future tax payments based on the value of certain tax benefits expected to be received by the Company. On September 23, 2014, the Company and WBD amended their relationship with respect to DFC and WBD increased its equity interest in DFC to 60% while the Company retained a 40% equity interest in DFC.</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fourth quarter of 2024 and 2023, the Company reviewed its investment in DFC for an other than temporary decline in value of the investment due to decreases in forecasted revenues. The Company determined that the fair value of the Company's interest in the joint venture was less than its carrying value, and as such, recorded an impairment loss of $80.0 million and $1.3 million, respectively, which is included in Other (income) expense, net in the Consolidated Statements of Operations. The Company utilized the discounted cash flow method under the income approach to estimate the fair value of DFC, which requires assumptions and estimates that include: future annual cash flows, income tax rates, discount rates, estimated growth rates, and other market factors. Accelerating changes in the cable distribution industry, including technological changes and expanding options for digital content offerings, have resulted in the fragmentation of viewership, declines in subscribers to the traditional cable bundle, and pricing pressures. These factors led to the lower valuation of DFC as compared to its carrying value. As of December 28, 2025, the Company had no remaining investment balance for DFC. As of December 29, 2024, the Company’s investment in DFC had a balance of $5.6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share in the earnings of DFC for the years ended 2025, 2024 and 2023 totaled $1.8 million, $9.4 million and $10.9 million, respectively, and is included as a component of Other (income) expense, net in the Consolidated Statements of Operations. The Company did not enter into any other material transactions with DFC during 2025, 2024 and 2023.</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also has a related liability due to WBD under the existing tax sharing agreement. The balance of the associated liability, including imputed interest, was $0.3 million and $3.0 million as of December 28, 2025 and December 29, 2024, respectively, and is included as a component of Other liabilities in the accompanying Consolidated Balance Sheets. During 2025, 2024 and 2023, the Company made payments to WBD under this tax sharing agreement in the amount of $2.8 million, $6.7 million and $5.7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(10)    </w:t>
      </w:r>
      <w:r>
        <w:rPr>
          <w:rFonts w:ascii="Arial;sans-serif" w:hAnsi="Arial;sans-serif"/>
          <w:b/>
          <w:color w:val="000000"/>
          <w:sz w:val="20"/>
          <w:u w:val="single"/>
        </w:rPr>
        <w:t>Investments in Productions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Investments in productions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title basis and any portion of the unamortized amount that appears not to be recoverable from future net revenues is expensed as part of program cost amortization during the period the loss becomes evident.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unamortized investments in productions consisted of the following:</w:t>
      </w:r>
    </w:p>
    <w:tbl>
      <w:tblPr>
        <w:tblW w:w="6324" w:type="dxa"/>
        <w:jc w:val="left"/>
        <w:tblInd w:w="0" w:type="dxa"/>
        <w:tblLayout w:type="fixed"/>
        <w:tblCellMar>
          <w:top w:w="28" w:type="dxa"/>
          <w:left w:w="28" w:type="dxa"/>
          <w:bottom w:w="28" w:type="dxa"/>
          <w:right w:w="28" w:type="dxa"/>
        </w:tblCellMar>
      </w:tblPr>
      <w:tblGrid>
        <w:gridCol w:w="1496"/>
        <w:gridCol w:w="1309"/>
        <w:gridCol w:w="1320"/>
        <w:gridCol w:w="211"/>
        <w:gridCol w:w="541"/>
        <w:gridCol w:w="109"/>
        <w:gridCol w:w="109"/>
        <w:gridCol w:w="109"/>
        <w:gridCol w:w="109"/>
        <w:gridCol w:w="211"/>
        <w:gridCol w:w="646"/>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Investment in Films and Television Programs: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Individual monetization:</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Released, net of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production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Pre-production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individual monetization</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Film/TV group monetization: </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Released, net of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production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film/TV group monetization</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program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program cost amortization consisted of the following:</w:t>
      </w:r>
    </w:p>
    <w:tbl>
      <w:tblPr>
        <w:tblW w:w="6594" w:type="dxa"/>
        <w:jc w:val="left"/>
        <w:tblInd w:w="0" w:type="dxa"/>
        <w:tblLayout w:type="fixed"/>
        <w:tblCellMar>
          <w:top w:w="28" w:type="dxa"/>
          <w:left w:w="28" w:type="dxa"/>
          <w:bottom w:w="28" w:type="dxa"/>
          <w:right w:w="28" w:type="dxa"/>
        </w:tblCellMar>
      </w:tblPr>
      <w:tblGrid>
        <w:gridCol w:w="1044"/>
        <w:gridCol w:w="912"/>
        <w:gridCol w:w="924"/>
        <w:gridCol w:w="109"/>
        <w:gridCol w:w="109"/>
        <w:gridCol w:w="109"/>
        <w:gridCol w:w="211"/>
        <w:gridCol w:w="541"/>
        <w:gridCol w:w="109"/>
        <w:gridCol w:w="109"/>
        <w:gridCol w:w="109"/>
        <w:gridCol w:w="109"/>
        <w:gridCol w:w="211"/>
        <w:gridCol w:w="541"/>
        <w:gridCol w:w="109"/>
        <w:gridCol w:w="109"/>
        <w:gridCol w:w="109"/>
        <w:gridCol w:w="109"/>
        <w:gridCol w:w="211"/>
        <w:gridCol w:w="646"/>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2023</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Individual monetization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Film/TV group monetization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program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Based on management’s total revenue estimates as of December 28, 2025, the Company's expected future amortization expenses for capitalized programming costs over the next three years are as follows:</w:t>
      </w:r>
    </w:p>
    <w:tbl>
      <w:tblPr>
        <w:tblW w:w="7555" w:type="dxa"/>
        <w:jc w:val="left"/>
        <w:tblInd w:w="0" w:type="dxa"/>
        <w:tblLayout w:type="fixed"/>
        <w:tblCellMar>
          <w:top w:w="28" w:type="dxa"/>
          <w:left w:w="28" w:type="dxa"/>
          <w:bottom w:w="28" w:type="dxa"/>
          <w:right w:w="28" w:type="dxa"/>
        </w:tblCellMar>
      </w:tblPr>
      <w:tblGrid>
        <w:gridCol w:w="1272"/>
        <w:gridCol w:w="1112"/>
        <w:gridCol w:w="1126"/>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2026</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2027</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Released - Individual monetization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Released - Film/TV group monetization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future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ind w:left="0" w:right="0" w:hanging="540"/>
        <w:jc w:val="left"/>
        <w:rPr/>
      </w:pPr>
      <w:r>
        <w:rPr>
          <w:rFonts w:ascii="Arial;sans-serif" w:hAnsi="Arial;sans-serif"/>
          <w:b/>
          <w:color w:val="000000"/>
          <w:sz w:val="20"/>
        </w:rPr>
        <w:t>(11)    </w:t>
      </w:r>
      <w:r>
        <w:rPr>
          <w:rFonts w:ascii="Arial;sans-serif" w:hAnsi="Arial;sans-serif"/>
          <w:b/>
          <w:color w:val="000000"/>
          <w:sz w:val="20"/>
          <w:u w:val="single"/>
        </w:rPr>
        <w:t>Additional Balance Sheet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Components of accrued liabilities are as follows:</w:t>
      </w:r>
    </w:p>
    <w:tbl>
      <w:tblPr>
        <w:tblW w:w="5858" w:type="dxa"/>
        <w:jc w:val="left"/>
        <w:tblInd w:w="0" w:type="dxa"/>
        <w:tblLayout w:type="fixed"/>
        <w:tblCellMar>
          <w:top w:w="28" w:type="dxa"/>
          <w:left w:w="28" w:type="dxa"/>
          <w:bottom w:w="28" w:type="dxa"/>
          <w:right w:w="28" w:type="dxa"/>
        </w:tblCellMar>
      </w:tblPr>
      <w:tblGrid>
        <w:gridCol w:w="1170"/>
        <w:gridCol w:w="1023"/>
        <w:gridCol w:w="1031"/>
        <w:gridCol w:w="211"/>
        <w:gridCol w:w="811"/>
        <w:gridCol w:w="109"/>
        <w:gridCol w:w="109"/>
        <w:gridCol w:w="109"/>
        <w:gridCol w:w="109"/>
        <w:gridCol w:w="211"/>
        <w:gridCol w:w="811"/>
        <w:gridCol w:w="154"/>
      </w:tblGrid>
      <w:tr>
        <w:trPr/>
        <w:tc>
          <w:tcPr>
            <w:tcW w:w="117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royalties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 - current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and management incentives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taxes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vendor accruals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Freight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Supplier cancellation charges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liability - current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Defined contribution plans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fees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income taxes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Participation and residuals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 productions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20"/>
        </w:rPr>
        <w:t>Prepaid expenses and other current assets include the current contract assets of $142.4 million and $179.5 million as of December 28, 2025 and December 29, 2024</w:t>
      </w:r>
      <w:r>
        <w:rPr>
          <w:rFonts w:ascii="Arial;sans-serif" w:hAnsi="Arial;sans-serif"/>
          <w:b w:val="false"/>
          <w:color w:val="000000"/>
          <w:sz w:val="20"/>
          <w:shd w:fill="FFFFFF" w:val="clear"/>
        </w:rPr>
        <w:t>, respectively.</w:t>
        <w:br/>
        <w:br/>
      </w:r>
      <w:r>
        <w:rPr>
          <w:rFonts w:ascii="Arial;sans-serif" w:hAnsi="Arial;sans-serif"/>
          <w:b w:val="false"/>
          <w:color w:val="000000"/>
          <w:sz w:val="20"/>
        </w:rPr>
        <w:t>Other assets include deferred tax assets of $286.8 million and $424.6 million as of December 28, 2025 and December 29, 2024</w:t>
      </w:r>
      <w:r>
        <w:rPr>
          <w:rFonts w:ascii="Arial;sans-serif" w:hAnsi="Arial;sans-serif"/>
          <w:b w:val="false"/>
          <w:color w:val="000000"/>
          <w:sz w:val="20"/>
          <w:shd w:fill="FFFFFF" w:val="clear"/>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(12)    </w:t>
      </w:r>
      <w:r>
        <w:rPr>
          <w:rFonts w:ascii="Arial;sans-serif" w:hAnsi="Arial;sans-serif"/>
          <w:b/>
          <w:color w:val="000000"/>
          <w:sz w:val="20"/>
          <w:u w:val="single"/>
        </w:rPr>
        <w:t>Long-Term Debt and Other Financing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Components of Long-term debt are as follows:</w:t>
      </w:r>
    </w:p>
    <w:tbl>
      <w:tblPr>
        <w:tblW w:w="9015" w:type="dxa"/>
        <w:jc w:val="left"/>
        <w:tblInd w:w="0" w:type="dxa"/>
        <w:tblLayout w:type="fixed"/>
        <w:tblCellMar>
          <w:top w:w="28" w:type="dxa"/>
          <w:left w:w="28" w:type="dxa"/>
          <w:bottom w:w="28" w:type="dxa"/>
          <w:right w:w="28" w:type="dxa"/>
        </w:tblCellMar>
      </w:tblPr>
      <w:tblGrid>
        <w:gridCol w:w="1256"/>
        <w:gridCol w:w="1101"/>
        <w:gridCol w:w="1108"/>
        <w:gridCol w:w="211"/>
        <w:gridCol w:w="811"/>
        <w:gridCol w:w="109"/>
        <w:gridCol w:w="109"/>
        <w:gridCol w:w="109"/>
        <w:gridCol w:w="109"/>
        <w:gridCol w:w="211"/>
        <w:gridCol w:w="811"/>
        <w:gridCol w:w="109"/>
        <w:gridCol w:w="109"/>
        <w:gridCol w:w="109"/>
        <w:gridCol w:w="109"/>
        <w:gridCol w:w="211"/>
        <w:gridCol w:w="811"/>
        <w:gridCol w:w="109"/>
        <w:gridCol w:w="109"/>
        <w:gridCol w:w="109"/>
        <w:gridCol w:w="109"/>
        <w:gridCol w:w="211"/>
        <w:gridCol w:w="811"/>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2589" w:type="dxa"/>
            <w:gridSpan w:val="9"/>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r>
      <w:tr>
        <w:trPr/>
        <w:tc>
          <w:tcPr>
            <w:tcW w:w="3465"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Carrying</w:t>
              <w:br/>
              <w:t>Cost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Fair Value</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Carrying</w:t>
              <w:br/>
              <w:t>Cost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Fair Value</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3.90% Notes Due 2029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6.05% Notes Due 2034</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6.35% Notes Due 2040</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3.55% Notes Due 2026</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3.50% Notes Due 2027</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5.10% Notes Due 2044</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6.60% Debentures Due 2028</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Deferred debt expenses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portion of long-term debt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November 2019, in conjunction with the Company's acquisition of eOne, the Company issued an aggregate of $2.4 billion of senior unsecured debt securities (the "Notes") consisting of the following tranches: $300.0 million of notes due 2022 (the "2022 Notes") that bear interest at a fixed rate of 2.60%, $500.0 million of notes due 2024 (the "2024 Notes") that bear interest at a fixed rate of 3.00%, $675.0 million of notes due 2026 (the "2026 Notes") that bear interest at a fixed rate of 3.55%, and $900.0 million of notes due 2029 (the "2029 Notes") that bear interest at a fixed rate of 3.90%. Net proceeds from the issuance of the Notes, after deduction of $20.0 million of underwriting discount and fees, totaled $2.4 billion. These costs are being amortized over the life of the Notes outstanding, which range from five years to ten years from the date of issuance. During fiscal year 2021 and fiscal year 2024, the Company repaid in full its 2022 Notes and 2024 Notes, respectively.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Notes bear interest at the stated rates but may be subject to upward adjustment if the credit rating of the Company is reduced by Moody's or Standard &amp; Poor's. The adjustment can be from 0.25% to 2.00% based on the extent of the ratings decrease. The Company may redeem the Notes at its option at the greater of the principal amount of the Notes or the present value of the remaining scheduled payments discounted using the effective interest rate on applicable U.S. Treasury bills at the time of repurchase, plus 30 basis points (in the case of the 2026 Notes) or 35 basis points (in the case of the 2029 Notes). In addition, on and after August 19, 2029 for the 2029 Notes, such series of Notes will be redeemable, in whole at any time or in part from time to time, at the Company's option at a redemption price equal to 100% of the principal amount of the Notes to be redeemed plus any accrued and unpaid interest.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May 2024, the Company issued an aggregate $500.0 million of senior unsecured debt securities that bear a fixed interest rate of 6.05% due 2034 (the "2034 Notes"). In connection with the issuance of the 2034 Notes, the 2034 Notes were issued with an original issuance discount of $1.4 million and the Company capitalized $5.3 million of debt issuance costs. The original issuance discount and debt issuance costs are amortized over the term of the 2034 Notes.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2025, the Company repurchased $94.9 million of its 2026 Notes and $25.0 million of its 2027 Notes, recording a total gain on extinguishment of $1.7 million, which was recorded in Other (income) expense, net in the Consolidated Statements of Operations. During 2024, the Company repurchased $83.1 million of its 2026 Notes and recorded a gain on extinguishment of $1.8 million, which was recorded in Other (income) expense, net in the Consolidated Statements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borrowings have the following future contractual maturities:</w:t>
      </w:r>
    </w:p>
    <w:tbl>
      <w:tblPr>
        <w:tblW w:w="2420" w:type="dxa"/>
        <w:jc w:val="left"/>
        <w:tblInd w:w="0" w:type="dxa"/>
        <w:tblLayout w:type="fixed"/>
        <w:tblCellMar>
          <w:top w:w="28" w:type="dxa"/>
          <w:left w:w="28" w:type="dxa"/>
          <w:bottom w:w="28" w:type="dxa"/>
          <w:right w:w="28" w:type="dxa"/>
        </w:tblCellMar>
      </w:tblPr>
      <w:tblGrid>
        <w:gridCol w:w="451"/>
        <w:gridCol w:w="396"/>
        <w:gridCol w:w="397"/>
        <w:gridCol w:w="211"/>
        <w:gridCol w:w="811"/>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(In millions)</w:t>
            </w:r>
          </w:p>
        </w:tc>
        <w:tc>
          <w:tcPr>
            <w:tcW w:w="1176"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fair values of the Company’s long-term debt are considered Level 2 fair values (refer to Note 15, Fair Value of Financial Instruments, for further discussion of the fair value hierarchy) and are measured based on quoted prices at the end of the reporting periods in markets that are not active. The Company believes that this is the best information available for use in the fair value measurement.</w:t>
      </w:r>
    </w:p>
    <w:p>
      <w:pPr>
        <w:pStyle w:val="TextBody"/>
        <w:bidi w:val="0"/>
        <w:spacing w:lineRule="auto" w:line="288" w:before="120" w:after="283"/>
        <w:ind w:left="0" w:right="0" w:hanging="540"/>
        <w:jc w:val="left"/>
        <w:rPr>
          <w:rFonts w:ascii="Arial;sans-serif" w:hAnsi="Arial;sans-serif"/>
          <w:b/>
          <w:i/>
          <w:color w:val="000000"/>
          <w:sz w:val="20"/>
        </w:rPr>
      </w:pPr>
      <w:r>
        <w:rPr>
          <w:rFonts w:ascii="Arial;sans-serif" w:hAnsi="Arial;sans-serif"/>
          <w:b/>
          <w:i/>
          <w:color w:val="000000"/>
          <w:sz w:val="20"/>
        </w:rPr>
        <w:t>Other Financing Arrangements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28, 2025, Hasbro had available an unsecured revolving credit agreement (see Amended Revolving Credit Agreement below) in the amount of $1.25 billion and unsecured uncommitted lines of credit from various banks approximating $186.8 million. The Company had no outstanding short-term borrowings under, or supported by, these lines of credit as of December 28, 2025 and December 29, 2024. During 2025 and 2024, Hasbro’s working capital needs were primarily fulfilled by cash available and cash generated from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Company's third amended and restated revolving credit agreement with Bank of America, as administrative agent, swing line lender, a letter of credit issuer and a lender and certain other financial institutions, as lenders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thereto (the "Amended Revolving Credit Agreement") provides the Company with commitments having a maximum aggregate principal amount of $1.25 billion. The Amended Revolving Credit Agreement contains certain financial covenants setting forth leverage and coverage requirements, and certain other limitations typical of an investment grade facility, including with respect to liens, mergers and incurrence of indebtedness. It also provides for a potential additional incremental commitment increase of up to $500.0 million subject to agreement of the lenders.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Loans under the revolving credit facility bear interest, at the Company’s option, at either the Adjusted Term Benchmark Rate, the Base Rate, or the Daily Benchmark Rate (each determined in accordance with the Amended Revolving Credit Agreement). In each case there is also a spread added to the rate, which fluctuates based upon the more favorable of the Company’s long-term debt ratings and the Company’s leverage. The Company is also required to pay a commitment fee in respect to the unused commitments under the facility, the rate for which is also determined based upon the more favorable of the Company's long-term debt ratings and leverage. The Amended Revolving Credit Agreement has a maturity date of September 20, 2028.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Amended Revolving Credit Agreement contains affirmative and negative covenants typical of this type of facility, including: (a) restrictions on the Company’s and its domestic subsidiaries’ ability to allow liens on their assets, (b) restrictions on the incurrence of indebtedness, (c) restrictions on the Company’s and certain of its subsidiaries’ ability to engage in certain mergers, (d) the requirement that the Company maintain a Consolidated Interest Coverage Ratio of no less than 3.00:1.00 as of the end of any fiscal quarter and (e) the requirement that the Company maintain: a Consolidated Total Leverage Ratio of no more than (i) 3.50:1.00 for the quarter ended December 31, 2023, (ii) 4.00:1.00 for each of the quarters ended September 30, 2023 and December 31, 2023, (iii) 3.75:1.00 for each of the first, second and fourth fiscal quarters of each year (other than 2023) and (iv) 4.00:1:00 for the third fiscal quarter of each year (other than 2023).</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February 20, 2026, the Company amended and restated the Amended Revolving Credit Agreement which extended the maturity date through February 2031 and revised the aggregate principal amount to $1.1 billion. Substantially all of the other terms of the Amended Revolving Credit Agreement remain the same. The February 2026 Amended Revolving Credit Agreement contains affirmative and negative covenants typical of this type of facility, including: (a) restrictions on the Company’s and its domestic subsidiaries’ ability to allow liens on their assets, (b) restrictions on the incurrence of indebtedness, (c) restrictions on the Company’s and certain of its subsidiaries’ ability to engage in certain mergers, (d) the requirement that the Company maintain a Consolidated Interest Coverage Ratio of no less than 3.00:1.00 as of the end of any fiscal quarter and (e) the requirement that the Company maintain: a Consolidated Total Leverage Ratio of no more than (i) 3.75:1.00 for each of the first, second and fourth fiscal quarters of each year and (ii) 4.00:1:00 for the third fiscal quarter of each year.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was in compliance with all covenants under the Amended Revolving Credit Agreement as of and for the year ended December 28, 2025. The Company had no borrowings outstanding under this credit facility as of December 28,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June 2025, the Company entered into an uncommitted money market line of credit agreement (the “Money Market Credit Facility”) to provide the Company with access to short-term cash advances with an aggregate principal amount of up to $100.0 million. The Money Market Credit Facility is intended to support the Company’s short-term liquidity needs, including working capital and general corporate purposes.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Under the terms of the Money Market Credit Facility, each loan borrowing is subject to the lender’s sole and absolute discretion with no obligation to fund and bears interest at a variable rate agreed upon at the time of each borrowing. The Money Market Credit Facility has no commitment fee or termination fee. Each advance under the Money Market Credit Facility has a maturity date of less than 90 days from the borrowing date, and the Company may voluntarily prepay any outstanding advances without premium or penalty, subject to reimbursement of actual breakage costs, if any. The Money Market Credit Facility may be terminated by the lender at any time upon written notice and is subject to customary representations, warranties, and covenants. There was no outstanding balance as of December 28,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also has an agreement with a group of banks providing a commercial paper program (the “Program”). Under the Program, at the Company’s request and subject to market conditions, the banks may either purchase from the Company, or arrange for the sale by the Company of, unsecured commercial paper notes. Borrowings under the Program are supported by the aforementioned unsecured committed line of credit and the Company may issue notes from time to time up to an aggregate principal amount outstanding at any given time of $1.0 billion. The maturities of the notes may vary but may not exceed 397 days. The notes are sold under customary terms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commercial paper market and will be issued at a discount to par, or alternatively, will be sold at par and will bear varying interest rates based on a fixed or floating rate basis. The interest rates will vary based on market conditions and the ratings assigned to the notes by the credit rating agencies at the time of issuance. Subject to market conditions, the Company intends to utilize the Program as its primary short-term borrowing facility and does not intend to sell unsecured commercial paper notes in excess of the available amount under the revolving credit agreement. If, for any reason, the Company is unable to access the commercial paper market, the Company intends to use the revolving credit agreement to meet the Company's short-term liquidity needs. As of December 28, 2025 and December 29, 2024, the Company did not have any notes outstanding under the Program.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Hasbro had unused open letters of credit and related instruments of approximately $11.7 million and $11.3 million at December 28, 2025 and December 29, 2024, respectively.</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Supplier Finance Program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also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amount of obligations confirmed under the program that remain unpaid by the Company were $45.7 million, and $66.2 million as of December 28, 2025 and December 29, 2024, respectively. These obligations are presented within Accounts payable in our Consolidated Balance Sheets and the activity related to this program is reflected within the operating activities section of the Consolidated Statements of Cash Flows. A summary of the activity related to the obligations are as follows:</w:t>
      </w:r>
    </w:p>
    <w:tbl>
      <w:tblPr>
        <w:tblW w:w="5001" w:type="dxa"/>
        <w:jc w:val="left"/>
        <w:tblInd w:w="0" w:type="dxa"/>
        <w:tblLayout w:type="fixed"/>
        <w:tblCellMar>
          <w:top w:w="28" w:type="dxa"/>
          <w:left w:w="28" w:type="dxa"/>
          <w:bottom w:w="28" w:type="dxa"/>
          <w:right w:w="28" w:type="dxa"/>
        </w:tblCellMar>
      </w:tblPr>
      <w:tblGrid>
        <w:gridCol w:w="936"/>
        <w:gridCol w:w="819"/>
        <w:gridCol w:w="825"/>
        <w:gridCol w:w="109"/>
        <w:gridCol w:w="109"/>
        <w:gridCol w:w="109"/>
        <w:gridCol w:w="211"/>
        <w:gridCol w:w="541"/>
        <w:gridCol w:w="109"/>
        <w:gridCol w:w="109"/>
        <w:gridCol w:w="109"/>
        <w:gridCol w:w="109"/>
        <w:gridCol w:w="211"/>
        <w:gridCol w:w="541"/>
        <w:gridCol w:w="154"/>
      </w:tblGrid>
      <w:tr>
        <w:trP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2024</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ending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(13)    </w:t>
      </w:r>
      <w:r>
        <w:rPr>
          <w:rFonts w:ascii="Arial;sans-serif" w:hAnsi="Arial;sans-serif"/>
          <w:b/>
          <w:color w:val="000000"/>
          <w:sz w:val="20"/>
          <w:u w:val="single"/>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components of (Loss) earnings before income taxes, determined by tax jurisdiction, are as follows:</w:t>
      </w:r>
    </w:p>
    <w:tbl>
      <w:tblPr>
        <w:tblW w:w="7601" w:type="dxa"/>
        <w:jc w:val="left"/>
        <w:tblInd w:w="0" w:type="dxa"/>
        <w:tblLayout w:type="fixed"/>
        <w:tblCellMar>
          <w:top w:w="28" w:type="dxa"/>
          <w:left w:w="28" w:type="dxa"/>
          <w:bottom w:w="28" w:type="dxa"/>
          <w:right w:w="28" w:type="dxa"/>
        </w:tblCellMar>
      </w:tblPr>
      <w:tblGrid>
        <w:gridCol w:w="1349"/>
        <w:gridCol w:w="1181"/>
        <w:gridCol w:w="1189"/>
        <w:gridCol w:w="211"/>
        <w:gridCol w:w="706"/>
        <w:gridCol w:w="109"/>
        <w:gridCol w:w="109"/>
        <w:gridCol w:w="109"/>
        <w:gridCol w:w="109"/>
        <w:gridCol w:w="211"/>
        <w:gridCol w:w="646"/>
        <w:gridCol w:w="109"/>
        <w:gridCol w:w="109"/>
        <w:gridCol w:w="109"/>
        <w:gridCol w:w="109"/>
        <w:gridCol w:w="211"/>
        <w:gridCol w:w="871"/>
        <w:gridCol w:w="154"/>
      </w:tblGrid>
      <w:tr>
        <w:trPr/>
        <w:tc>
          <w:tcPr>
            <w:tcW w:w="134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1026"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2023</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(loss) earnings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(1,709.1)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Income taxes attributable to (Loss) earnings before income taxes are:</w:t>
      </w:r>
    </w:p>
    <w:tbl>
      <w:tblPr>
        <w:tblW w:w="6101" w:type="dxa"/>
        <w:jc w:val="left"/>
        <w:tblInd w:w="0" w:type="dxa"/>
        <w:tblLayout w:type="fixed"/>
        <w:tblCellMar>
          <w:top w:w="28" w:type="dxa"/>
          <w:left w:w="28" w:type="dxa"/>
          <w:bottom w:w="28" w:type="dxa"/>
          <w:right w:w="28" w:type="dxa"/>
        </w:tblCellMar>
      </w:tblPr>
      <w:tblGrid>
        <w:gridCol w:w="887"/>
        <w:gridCol w:w="775"/>
        <w:gridCol w:w="782"/>
        <w:gridCol w:w="211"/>
        <w:gridCol w:w="646"/>
        <w:gridCol w:w="109"/>
        <w:gridCol w:w="109"/>
        <w:gridCol w:w="109"/>
        <w:gridCol w:w="109"/>
        <w:gridCol w:w="211"/>
        <w:gridCol w:w="646"/>
        <w:gridCol w:w="109"/>
        <w:gridCol w:w="109"/>
        <w:gridCol w:w="109"/>
        <w:gridCol w:w="109"/>
        <w:gridCol w:w="211"/>
        <w:gridCol w:w="706"/>
        <w:gridCol w:w="154"/>
      </w:tblGrid>
      <w:tr>
        <w:trPr/>
        <w:tc>
          <w:tcPr>
            <w:tcW w:w="88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2023</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and local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and local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tax expense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2025 rate reconciliation between Income tax expense and statutory expectations, after the adoption of ASU 2023-09:</w:t>
      </w:r>
    </w:p>
    <w:tbl>
      <w:tblPr>
        <w:tblW w:w="8348" w:type="dxa"/>
        <w:jc w:val="left"/>
        <w:tblInd w:w="0" w:type="dxa"/>
        <w:tblLayout w:type="fixed"/>
        <w:tblCellMar>
          <w:top w:w="28" w:type="dxa"/>
          <w:left w:w="28" w:type="dxa"/>
          <w:bottom w:w="28" w:type="dxa"/>
          <w:right w:w="28" w:type="dxa"/>
        </w:tblCellMar>
      </w:tblPr>
      <w:tblGrid>
        <w:gridCol w:w="2051"/>
        <w:gridCol w:w="1800"/>
        <w:gridCol w:w="1804"/>
        <w:gridCol w:w="109"/>
        <w:gridCol w:w="109"/>
        <w:gridCol w:w="109"/>
        <w:gridCol w:w="211"/>
        <w:gridCol w:w="601"/>
        <w:gridCol w:w="109"/>
        <w:gridCol w:w="109"/>
        <w:gridCol w:w="109"/>
        <w:gridCol w:w="109"/>
        <w:gridCol w:w="299"/>
        <w:gridCol w:w="301"/>
        <w:gridCol w:w="518"/>
      </w:tblGrid>
      <w:tr>
        <w:trPr/>
        <w:tc>
          <w:tcPr>
            <w:tcW w:w="2051"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006EB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2025</w:t>
            </w:r>
          </w:p>
        </w:tc>
      </w:tr>
      <w:tr>
        <w:trPr/>
        <w:tc>
          <w:tcPr>
            <w:tcW w:w="5655"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(In millions)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Amount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Percent</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U.S. federal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State and local income taxes, net of federal income tax effect</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Foreign tax effects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Difference in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Quebec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Switzerland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Difference in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Canton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Swiss deferred tax asset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Nontaxable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Difference in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Withholding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Germany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Difference in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Pension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Difference in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Write-off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Nondeductible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tbl>
      <w:tblPr>
        <w:tblW w:w="9158" w:type="dxa"/>
        <w:jc w:val="left"/>
        <w:tblInd w:w="0" w:type="dxa"/>
        <w:tblLayout w:type="fixed"/>
        <w:tblCellMar>
          <w:top w:w="28" w:type="dxa"/>
          <w:left w:w="28" w:type="dxa"/>
          <w:bottom w:w="28" w:type="dxa"/>
          <w:right w:w="28" w:type="dxa"/>
        </w:tblCellMar>
      </w:tblPr>
      <w:tblGrid>
        <w:gridCol w:w="2288"/>
        <w:gridCol w:w="2010"/>
        <w:gridCol w:w="2017"/>
        <w:gridCol w:w="109"/>
        <w:gridCol w:w="109"/>
        <w:gridCol w:w="109"/>
        <w:gridCol w:w="211"/>
        <w:gridCol w:w="646"/>
        <w:gridCol w:w="109"/>
        <w:gridCol w:w="109"/>
        <w:gridCol w:w="109"/>
        <w:gridCol w:w="109"/>
        <w:gridCol w:w="351"/>
        <w:gridCol w:w="354"/>
        <w:gridCol w:w="518"/>
      </w:tblGrid>
      <w:tr>
        <w:trPr/>
        <w:tc>
          <w:tcPr>
            <w:tcW w:w="2288"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006EB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2025</w:t>
            </w:r>
          </w:p>
        </w:tc>
      </w:tr>
      <w:tr>
        <w:trPr/>
        <w:tc>
          <w:tcPr>
            <w:tcW w:w="6315"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(In millions)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Amount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Percent</w:t>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Difference in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Withholding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Netherlands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Difference in statutory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Nondeductible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Foreign Jurisdictions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Effect of cross-border tax laws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Subpart F inclusion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Global Intangible Low-Taxed Income (GILTI), net of Sec. 250 deduction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Foreign-derived intangible income (FDII) deduction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Withholding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Foreign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&amp; development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Changes in unrecognized tax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Nontaxable or nondeductible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(205.8)</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Officer's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Post-disposition tax refund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(212.1)</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State taxes in California , New York and Tennessee made up the majority (greater than 50%) of the tax effect in this category.</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reconciliation of the statutory United States federal income tax rate to Hasbro’s effective income tax rate during 2024 and 2023, prior to the adoption of ASU 2023-09:</w:t>
      </w:r>
    </w:p>
    <w:tbl>
      <w:tblPr>
        <w:tblW w:w="5905" w:type="dxa"/>
        <w:jc w:val="left"/>
        <w:tblInd w:w="0" w:type="dxa"/>
        <w:tblLayout w:type="fixed"/>
        <w:tblCellMar>
          <w:top w:w="28" w:type="dxa"/>
          <w:left w:w="28" w:type="dxa"/>
          <w:bottom w:w="28" w:type="dxa"/>
          <w:right w:w="28" w:type="dxa"/>
        </w:tblCellMar>
      </w:tblPr>
      <w:tblGrid>
        <w:gridCol w:w="1257"/>
        <w:gridCol w:w="1099"/>
        <w:gridCol w:w="1109"/>
        <w:gridCol w:w="109"/>
        <w:gridCol w:w="109"/>
        <w:gridCol w:w="109"/>
        <w:gridCol w:w="270"/>
        <w:gridCol w:w="271"/>
        <w:gridCol w:w="300"/>
        <w:gridCol w:w="109"/>
        <w:gridCol w:w="109"/>
        <w:gridCol w:w="109"/>
        <w:gridCol w:w="299"/>
        <w:gridCol w:w="301"/>
        <w:gridCol w:w="345"/>
      </w:tblGrid>
      <w:tr>
        <w:trPr/>
        <w:tc>
          <w:tcPr>
            <w:tcW w:w="125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2023</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Statutory income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State and local income taxes,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on international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Domestic tax on foreign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capital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Officers'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disposal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effective income tax rate for 2025 was (212.1)% compared to 20.7% for 2024. The change in the effective income tax rate was primarily driven by a non-cash impairment of goodwill recorded in 2025 with no material tax benefit. The increase in the provision for income taxes was primarily due to U.S. Global Intangible Low-Taxed Income ("GILTI") and Subpart F inclusions, as well as additional valuation allowances generated in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Components of deferred income tax expense (benefit) arise from various temporary differences and relate to items included in the Consolidated Statements of Operations as well as items recognized in Other comprehensive earnings (loss).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tax effects of temporary differences that give rise to significant portions of the deferred tax assets and liabilities as of December 28, 2025 and December 29, 2024 are as follows:</w:t>
      </w:r>
    </w:p>
    <w:tbl>
      <w:tblPr>
        <w:tblW w:w="6759" w:type="dxa"/>
        <w:jc w:val="left"/>
        <w:tblInd w:w="0" w:type="dxa"/>
        <w:tblLayout w:type="fixed"/>
        <w:tblCellMar>
          <w:top w:w="28" w:type="dxa"/>
          <w:left w:w="28" w:type="dxa"/>
          <w:bottom w:w="28" w:type="dxa"/>
          <w:right w:w="28" w:type="dxa"/>
        </w:tblCellMar>
      </w:tblPr>
      <w:tblGrid>
        <w:gridCol w:w="1615"/>
        <w:gridCol w:w="1414"/>
        <w:gridCol w:w="1426"/>
        <w:gridCol w:w="211"/>
        <w:gridCol w:w="646"/>
        <w:gridCol w:w="109"/>
        <w:gridCol w:w="109"/>
        <w:gridCol w:w="109"/>
        <w:gridCol w:w="109"/>
        <w:gridCol w:w="211"/>
        <w:gridCol w:w="646"/>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and credit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of long-lived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Accrued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Royalty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benefits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hedge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sharing agreement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research and experimentation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limitation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4605" cy="14605"/>
                <wp:effectExtent l="0" t="0" r="0" b="0"/>
                <wp:wrapNone/>
                <wp:docPr id="80" name="Frame80"/>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tbl>
      <w:tblPr>
        <w:tblW w:w="6759" w:type="dxa"/>
        <w:jc w:val="left"/>
        <w:tblInd w:w="0" w:type="dxa"/>
        <w:tblLayout w:type="fixed"/>
        <w:tblCellMar>
          <w:top w:w="28" w:type="dxa"/>
          <w:left w:w="28" w:type="dxa"/>
          <w:bottom w:w="28" w:type="dxa"/>
          <w:right w:w="28" w:type="dxa"/>
        </w:tblCellMar>
      </w:tblPr>
      <w:tblGrid>
        <w:gridCol w:w="1616"/>
        <w:gridCol w:w="1414"/>
        <w:gridCol w:w="1425"/>
        <w:gridCol w:w="211"/>
        <w:gridCol w:w="646"/>
        <w:gridCol w:w="109"/>
        <w:gridCol w:w="109"/>
        <w:gridCol w:w="109"/>
        <w:gridCol w:w="109"/>
        <w:gridCol w:w="211"/>
        <w:gridCol w:w="646"/>
        <w:gridCol w:w="154"/>
      </w:tblGrid>
      <w:tr>
        <w:trPr/>
        <w:tc>
          <w:tcPr>
            <w:tcW w:w="161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assets, gross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of long-lived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Capitalized research and experimentation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liabilities, gross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Valuation allowance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of December 28, 2025, the Company has loss and credit carryforwards of $451.5 million, compared to $426.6 million at December 29, 2024. The most significant amount of the loss and credit carryforwards as of December 28, 2025 and December 29, 2024 relates to U.S. capital losses of $338.4 million resulting from the sale of the eOne Film and TV business during 2023. Other significant loss and credit carryforwards relate to tax attributes of entities that have historically operated at losses in certain jurisdictions, as well as certain state tax attributes. The U.S. capital loss has a carryforward period of five years and will expire if not utilized before 2029. Some U.S. federal, state and international loss and credit carryforwards expire at various dates throughout 2026 while others have an indefinite carryforward period.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recoverability of these future tax deductions and credits is evaluated by assessing the adequacy of future expected taxable income, of the appropriate character, from all sources, including taxable income in prior carryback years, reversal of taxable temporary differences, forecasted operating earnings and available tax planning strategies. To the extent the Company does not consider it more likely than not that a deferred tax asset will be recovered, a valuation allowance is generally established. To the extent that a valuation allowance was established and it is subsequently determined that it is more likely than not that the deferred tax assets will be recovered, the change in the valuation allowance is recognized in the Consolidated Statements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a valuation allowance for certain net deferred tax assets at December 28, 2025 of $426.4 million, compared to $412.5 million at December 29, 2024. The change primarily pertains to adjustments to the U.S. capital loss resulting from the sale of the Company's eOne Film and TV business, for which the Company recorded a full valuation allowance as of December 28,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movement in the deferred tax valuation allowance is as follows:</w:t>
      </w:r>
    </w:p>
    <w:tbl>
      <w:tblPr>
        <w:tblW w:w="5947" w:type="dxa"/>
        <w:jc w:val="left"/>
        <w:tblInd w:w="0" w:type="dxa"/>
        <w:tblLayout w:type="fixed"/>
        <w:tblCellMar>
          <w:top w:w="28" w:type="dxa"/>
          <w:left w:w="28" w:type="dxa"/>
          <w:bottom w:w="28" w:type="dxa"/>
          <w:right w:w="28" w:type="dxa"/>
        </w:tblCellMar>
      </w:tblPr>
      <w:tblGrid>
        <w:gridCol w:w="1166"/>
        <w:gridCol w:w="1027"/>
        <w:gridCol w:w="1031"/>
        <w:gridCol w:w="211"/>
        <w:gridCol w:w="706"/>
        <w:gridCol w:w="109"/>
        <w:gridCol w:w="208"/>
        <w:gridCol w:w="208"/>
        <w:gridCol w:w="210"/>
        <w:gridCol w:w="211"/>
        <w:gridCol w:w="706"/>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006EBF" w:val="clear"/>
            <w:tcMar>
              <w:top w:w="0" w:type="dxa"/>
              <w:left w:w="0" w:type="dxa"/>
              <w:bottom w:w="0" w:type="dxa"/>
              <w:right w:w="0" w:type="dxa"/>
            </w:tcMar>
            <w:vAlign w:val="center"/>
          </w:tcPr>
          <w:p>
            <w:pPr>
              <w:pStyle w:val="TableContents"/>
              <w:bidi w:val="0"/>
              <w:spacing w:lineRule="auto" w:line="288" w:before="0" w:after="283"/>
              <w:ind w:left="0" w:right="0" w:firstLine="540"/>
              <w:jc w:val="left"/>
              <w:rPr>
                <w:rFonts w:ascii="Arial;sans-serif" w:hAnsi="Arial;sans-serif"/>
                <w:b w:val="false"/>
                <w:color w:val="FFFFFF"/>
                <w:sz w:val="20"/>
              </w:rPr>
            </w:pPr>
            <w:r>
              <w:rPr>
                <w:rFonts w:ascii="Arial;sans-serif" w:hAnsi="Arial;sans-serif"/>
                <w:b w:val="false"/>
                <w:color w:val="FFFFFF"/>
                <w:sz w:val="20"/>
              </w:rPr>
              <w:t>(In millions)</w:t>
            </w:r>
          </w:p>
        </w:tc>
        <w:tc>
          <w:tcPr>
            <w:tcW w:w="1026"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2025</w:t>
            </w:r>
          </w:p>
        </w:tc>
        <w:tc>
          <w:tcPr>
            <w:tcW w:w="626" w:type="dxa"/>
            <w:gridSpan w:val="3"/>
            <w:tcBorders/>
            <w:shd w:fill="006EB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1071"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2024</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Provisions/charges to income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Amounts charged to other accounts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impact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net deferred income taxes are recorded in the Consolidated Balance Sheets as follows:</w:t>
      </w:r>
    </w:p>
    <w:tbl>
      <w:tblPr>
        <w:tblW w:w="4718" w:type="dxa"/>
        <w:jc w:val="left"/>
        <w:tblInd w:w="0" w:type="dxa"/>
        <w:tblLayout w:type="fixed"/>
        <w:tblCellMar>
          <w:top w:w="28" w:type="dxa"/>
          <w:left w:w="28" w:type="dxa"/>
          <w:bottom w:w="28" w:type="dxa"/>
          <w:right w:w="28" w:type="dxa"/>
        </w:tblCellMar>
      </w:tblPr>
      <w:tblGrid>
        <w:gridCol w:w="875"/>
        <w:gridCol w:w="767"/>
        <w:gridCol w:w="772"/>
        <w:gridCol w:w="211"/>
        <w:gridCol w:w="646"/>
        <w:gridCol w:w="109"/>
        <w:gridCol w:w="109"/>
        <w:gridCol w:w="109"/>
        <w:gridCol w:w="109"/>
        <w:gridCol w:w="211"/>
        <w:gridCol w:w="64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has significant cash needs outside the U.S. and continues to consistently monitor and analyze its global working capital and cash requirements. However, we intend to repatriate substantially all of our accumulated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foreign earnings when appropriate. As of December 28, 2025, we have recorded $5.3 million of foreign withholding and U.S. state income tax liability. The Company has not finalized the timing of any actual cash distributions or the specific amounts and therefore we could still be subject to some additional foreign withholding taxes and U.S. state income taxes. We will record these additional tax effects, if any, in the period that we complete our analysis and are able to make a reasonable estimate.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reconciliation of unrecognized tax benefits, excluding potential interest and penalties is as follows:</w:t>
      </w:r>
    </w:p>
    <w:tbl>
      <w:tblPr>
        <w:tblW w:w="8172" w:type="dxa"/>
        <w:jc w:val="left"/>
        <w:tblInd w:w="0" w:type="dxa"/>
        <w:tblLayout w:type="fixed"/>
        <w:tblCellMar>
          <w:top w:w="28" w:type="dxa"/>
          <w:left w:w="28" w:type="dxa"/>
          <w:bottom w:w="28" w:type="dxa"/>
          <w:right w:w="28" w:type="dxa"/>
        </w:tblCellMar>
      </w:tblPr>
      <w:tblGrid>
        <w:gridCol w:w="1774"/>
        <w:gridCol w:w="1553"/>
        <w:gridCol w:w="1563"/>
        <w:gridCol w:w="211"/>
        <w:gridCol w:w="541"/>
        <w:gridCol w:w="109"/>
        <w:gridCol w:w="109"/>
        <w:gridCol w:w="109"/>
        <w:gridCol w:w="109"/>
        <w:gridCol w:w="211"/>
        <w:gridCol w:w="541"/>
        <w:gridCol w:w="109"/>
        <w:gridCol w:w="109"/>
        <w:gridCol w:w="109"/>
        <w:gridCol w:w="109"/>
        <w:gridCol w:w="211"/>
        <w:gridCol w:w="541"/>
        <w:gridCol w:w="154"/>
      </w:tblGrid>
      <w:tr>
        <w:trPr/>
        <w:tc>
          <w:tcPr>
            <w:tcW w:w="1774"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2023</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increases in current period tax positions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increases in prior period tax positions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decrease from disposition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decreases in prior period tax positions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Decreases related to settlements with tax authorities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Decreases from the expiration of statutes of limitations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Unrecognized tax benefits are recorded within Other liabilities, Prepaid expenses and Other current assets, and Other assets in the Company's Consolidated Balance Sheets. If recognized, these tax benefits may have affected our income tax provision for fiscal years 2025, 2024, and 2023 by approximately $47.0 million, $44.0 million, and $46.0 million, respectively.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2025, 2024, and 2023, the Company recognized $1.8 million, $2.9 million, and $5.8 million, respectively, of potential interest and penalties, which are included as a component of Income tax expense (benefit) on the Consolidated Statements of Operations. As of December 28, 2025, December 29, 2024, and December 31, 2023, the Company had accrued potential interest and penalties of $9.1 million, $7.7 million, and $6.2 million, respectively.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and its subsidiaries file income tax returns in the U.S. and various state and international jurisdictions. In the normal course of business, the Company is regularly audited by U.S. federal, state and local and international tax authorities in various tax jurisdictions. The Company is no longer subject to U.S. federal income tax examinations for years before 2017. With few exceptions, the Company is no longer subject to U.S. state or local and non-U.S. income tax examinations by tax authorities in its major jurisdictions for years before 2016. The Company is currently under income tax examination by the Internal Revenue Service for the tax years 2017 and 2018 and in several U.S. state and local and non-U.S. jurisdictions.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amount of cash taxes paid, net of refunds, by the Company during 2025 is as follows:</w:t>
      </w:r>
    </w:p>
    <w:tbl>
      <w:tblPr>
        <w:tblW w:w="4653" w:type="dxa"/>
        <w:jc w:val="left"/>
        <w:tblInd w:w="0" w:type="dxa"/>
        <w:tblLayout w:type="fixed"/>
        <w:tblCellMar>
          <w:top w:w="28" w:type="dxa"/>
          <w:left w:w="28" w:type="dxa"/>
          <w:bottom w:w="28" w:type="dxa"/>
          <w:right w:w="28" w:type="dxa"/>
        </w:tblCellMar>
      </w:tblPr>
      <w:tblGrid>
        <w:gridCol w:w="1203"/>
        <w:gridCol w:w="1051"/>
        <w:gridCol w:w="1061"/>
        <w:gridCol w:w="109"/>
        <w:gridCol w:w="109"/>
        <w:gridCol w:w="109"/>
        <w:gridCol w:w="211"/>
        <w:gridCol w:w="646"/>
        <w:gridCol w:w="154"/>
      </w:tblGrid>
      <w:tr>
        <w:trPr/>
        <w:tc>
          <w:tcPr>
            <w:tcW w:w="120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U.S. 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U.S. state and local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foreign jurisdictions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taxes paid,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i/>
          <w:color w:val="000000"/>
          <w:sz w:val="10"/>
        </w:rPr>
        <w:t xml:space="preserve">(1) </w:t>
      </w:r>
      <w:r>
        <w:rPr>
          <w:rFonts w:ascii="Arial;sans-serif" w:hAnsi="Arial;sans-serif"/>
          <w:b w:val="false"/>
          <w:i/>
          <w:color w:val="000000"/>
          <w:sz w:val="16"/>
        </w:rPr>
        <w:t>No single state or local jurisdiction accounts for more than 5% of the total income taxes paid.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are subject to income and other taxes in the U.S. (federal and state) and foreign jurisdictions. Changes to these laws or regulations may impact our tax liabilities. On July 4, 2025, the One Big Beautiful Bill Act ("OBBBA") was signed into law with certain provisions effective in 2025 and other provisions becoming effective in 2026. The OBBBA provisions include the restoration of full expensing for domestic research and development expenses, reinstatement of accelerated depreciation on qualified capital expenditures, and modifications to the international tax framework, among other items. The OBBBA also provides for an election to accelerate the deduction of the remaining unamortized domestic research and development expenses capitalized previously. For fiscal year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primary impact of the OBBBA to the Company was the accelerated expensing of domestic research and development costs which decreased our income eligible for foreign-derived intangible income ("FDII"), reduced our deferred tax assets, and reduced our current income tax liability. Other OBBBA changes did not have a material impact on the Company's consolidated financial statements in the current year, we are currently assessing the impact of OBBBA on the consolidated financial statements for future periods.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Tax laws are regularly being re-examined and evaluated globally. The Organisation for Economic Co-operation and Development ("OECD") has a framework to implement a global minimum corporate tax of 15% for companies with global revenues and profits above certain thresholds (referred to as "Pillar 2"), effective for tax years beginning in 2024. Many non-U.S. jurisdictions have enacted legislation into their domestic laws to align with the OECD's Pillar 2 framework. On January 5, 2026, the OECD introduced new guidance including a "Side-by-Side Safe Harbor" for U.S. and other multinational companies where domestic and international tax systems meet certain requirements to coexist with Pillar 2. Under the new guidance, US-parented companies would be exempt from certain aspects of the global minimum tax regime. The package includes a permanent simplified effective tax rate safe harbor and a substance-based tax incentive safe harbor. Additionally, the package extends the transitional country-by-country reporting safe harbor through to 2027. The updated model rules will need to be incorporated into local tax legislation to become effective. We will continue to evaluate the impacts of Pillar 2 in our non-U.S. tax jurisdictions. The Pillar 2 rules did not have a material impact on the Company's financial statements for 2024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(14)    </w:t>
      </w:r>
      <w:r>
        <w:rPr>
          <w:rFonts w:ascii="Arial;sans-serif" w:hAnsi="Arial;sans-serif"/>
          <w:b/>
          <w:color w:val="000000"/>
          <w:sz w:val="20"/>
          <w:u w:val="single"/>
        </w:rPr>
        <w:t>Capital Stock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has a long history of increasing shareholder value through its share repurchase program. As part of this initiative, the Company's Board of Directors adopted numerous shares repurchase authorizations. In February 2026, the Company announced that its Board of Directors authorized the repurchase of up to $1.0 billion in Common Stock. This authorization replaces and supersedes all prior approved share repurchase authorization and has no expiration date. The Company has no obligation to repurchase shares under the authorization and the time, actual number, and the value of the shares which are repurchased will depend on a number of factors, including the price of the Company’s common stock. No shares were repurchased during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(15)    </w:t>
      </w:r>
      <w:r>
        <w:rPr>
          <w:rFonts w:ascii="Arial;sans-serif" w:hAnsi="Arial;sans-serif"/>
          <w:b/>
          <w:color w:val="000000"/>
          <w:sz w:val="20"/>
          <w:u w:val="single"/>
        </w:rPr>
        <w:t>Fair Value of Financial Instruments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measures certain financial instruments at fair value. The fair value hierarchy consists of three levels: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1 fair values are based on quoted market prices in active markets for identical assets or liabilities that the entity has the ability to access;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2 fair values are those based on quoted prices for similar assets or liabilities, quoted prices in markets that are not active, or other inputs that are observable or can be corroborated by observable data for substantially the full term of the assets or liabilities;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3 fair values are based on inputs that are supported by little or no market activity and that are significant to the fair value of the assets or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have been no transfers between levels within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28, 2025 and December 29, 2024, the Company had the following assets and liabilities measured at fair value in its Consolidated Balance Sheets:</w:t>
      </w:r>
    </w:p>
    <w:tbl>
      <w:tblPr>
        <w:tblW w:w="7289" w:type="dxa"/>
        <w:jc w:val="left"/>
        <w:tblInd w:w="0" w:type="dxa"/>
        <w:tblLayout w:type="fixed"/>
        <w:tblCellMar>
          <w:top w:w="28" w:type="dxa"/>
          <w:left w:w="28" w:type="dxa"/>
          <w:bottom w:w="28" w:type="dxa"/>
          <w:right w:w="28" w:type="dxa"/>
        </w:tblCellMar>
      </w:tblPr>
      <w:tblGrid>
        <w:gridCol w:w="1033"/>
        <w:gridCol w:w="907"/>
        <w:gridCol w:w="909"/>
        <w:gridCol w:w="211"/>
        <w:gridCol w:w="646"/>
        <w:gridCol w:w="109"/>
        <w:gridCol w:w="109"/>
        <w:gridCol w:w="109"/>
        <w:gridCol w:w="109"/>
        <w:gridCol w:w="211"/>
        <w:gridCol w:w="646"/>
        <w:gridCol w:w="109"/>
        <w:gridCol w:w="109"/>
        <w:gridCol w:w="109"/>
        <w:gridCol w:w="109"/>
        <w:gridCol w:w="211"/>
        <w:gridCol w:w="436"/>
        <w:gridCol w:w="109"/>
        <w:gridCol w:w="109"/>
        <w:gridCol w:w="109"/>
        <w:gridCol w:w="109"/>
        <w:gridCol w:w="211"/>
        <w:gridCol w:w="406"/>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Fair</w:t>
              <w:br/>
              <w:t>Value</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Fair Value Measurements Using:</w:t>
            </w:r>
          </w:p>
        </w:tc>
      </w:tr>
      <w:tr>
        <w:trPr/>
        <w:tc>
          <w:tcPr>
            <w:tcW w:w="284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966" w:type="dxa"/>
            <w:gridSpan w:val="3"/>
            <w:vMerge w:val="continue"/>
            <w:tcBorders/>
            <w:shd w:fill="006EBF" w:val="clear"/>
            <w:tcMar>
              <w:top w:w="0" w:type="dxa"/>
              <w:left w:w="0" w:type="dxa"/>
              <w:bottom w:w="0" w:type="dxa"/>
              <w:right w:w="0" w:type="dxa"/>
            </w:tcMar>
            <w:vAlign w:val="center"/>
          </w:tcPr>
          <w:p>
            <w:pPr>
              <w:pStyle w:val="Normal"/>
              <w:bidi w:val="0"/>
              <w:jc w:val="left"/>
              <w:rPr/>
            </w:pPr>
            <w:r>
              <w:rPr/>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FFFFFF"/>
            </w:tcBorders>
            <w:shd w:fill="006EB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Level 1</w:t>
            </w:r>
          </w:p>
        </w:tc>
        <w:tc>
          <w:tcPr>
            <w:tcW w:w="327" w:type="dxa"/>
            <w:gridSpan w:val="3"/>
            <w:tcBorders>
              <w:top w:val="single" w:sz="8" w:space="0" w:color="FFFFFF"/>
            </w:tcBorders>
            <w:shd w:fill="006EB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FFFFFF"/>
            </w:tcBorders>
            <w:shd w:fill="006EB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Level 2</w:t>
            </w:r>
          </w:p>
        </w:tc>
        <w:tc>
          <w:tcPr>
            <w:tcW w:w="327" w:type="dxa"/>
            <w:gridSpan w:val="3"/>
            <w:tcBorders>
              <w:top w:val="single" w:sz="8" w:space="0" w:color="FFFFFF"/>
            </w:tcBorders>
            <w:shd w:fill="006EB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FFFFFF"/>
            </w:tcBorders>
            <w:shd w:fill="006EB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Level 3</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December 28, 2025</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Derivative financial instruments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Derivative financial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December 29, 2024</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Derivative financial instruments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Derivative financial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28, 2025, the Company held $106.0 million of available-for-sale securities, of which $105.4 million consisted of U.S. Treasury Bills. These investments are recorded at fair value within Short-term investments and Prepaid expenses and other current assets in the Company's Consolidated Balance Sheet, with an insignificant amount of unrealized gains and losses excluded from net income and deferred as components of Other comprehensive earnings (loss), net of related tax effects, until realized.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derivatives primarily consist of foreign currency forward and option contracts. The Company uses current forward rates of the respective foreign currencies to measure the fair value of these contracts. There were no changes in these valuation techniques during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(16)    </w:t>
      </w:r>
      <w:r>
        <w:rPr>
          <w:rFonts w:ascii="Arial;sans-serif" w:hAnsi="Arial;sans-serif"/>
          <w:b/>
          <w:color w:val="000000"/>
          <w:sz w:val="20"/>
          <w:u w:val="single"/>
        </w:rPr>
        <w:t>Share-Based Awards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reserved 6.5 million shares of its common stock for issuance upon exercise of options and other awards granted or to be granted under stock incentive plans for employees and for non-employee members of the Board of Directors (collectively, the “Plans”). These awards generally vest and are expensed in equal annual amounts over three years. The plans provide that options be granted at exercise prices not less than the market value of the underlying common stock on the date the option is granted and options and share awards are adjusted for such changes as stock splits and stock dividends. Options are exercisable for periods of no more than seven years after date of grant. Upon exercise in the case of stock options, grant in the case of restricted stock or vesting in the case of performance based contingent stock and restricted stock unit grants, shares are issued out of available treasury shares. The Company’s current plan permits the granting of awards in the form of stock, stock appreciation rights, stock awards and cash awards in addition to stock options.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Total compensation expense related to stock options, restricted stock units, including those awards made to non-employee members of its Board of Directors, and stock performance awards during 2025, 2024 and 2023 was $80.4 million, $50.8 million and $71.9 million, respectively, and $72.3 million, $43.6 million and $62.7 million, respectively, after tax effects. Total share-based compensation expense was recorded as follows:</w:t>
      </w:r>
    </w:p>
    <w:tbl>
      <w:tblPr>
        <w:tblW w:w="8861" w:type="dxa"/>
        <w:jc w:val="left"/>
        <w:tblInd w:w="0" w:type="dxa"/>
        <w:tblLayout w:type="fixed"/>
        <w:tblCellMar>
          <w:top w:w="28" w:type="dxa"/>
          <w:left w:w="28" w:type="dxa"/>
          <w:bottom w:w="28" w:type="dxa"/>
          <w:right w:w="28" w:type="dxa"/>
        </w:tblCellMar>
      </w:tblPr>
      <w:tblGrid>
        <w:gridCol w:w="2022"/>
        <w:gridCol w:w="1767"/>
        <w:gridCol w:w="1790"/>
        <w:gridCol w:w="211"/>
        <w:gridCol w:w="541"/>
        <w:gridCol w:w="109"/>
        <w:gridCol w:w="109"/>
        <w:gridCol w:w="109"/>
        <w:gridCol w:w="109"/>
        <w:gridCol w:w="211"/>
        <w:gridCol w:w="541"/>
        <w:gridCol w:w="109"/>
        <w:gridCol w:w="109"/>
        <w:gridCol w:w="109"/>
        <w:gridCol w:w="109"/>
        <w:gridCol w:w="211"/>
        <w:gridCol w:w="541"/>
        <w:gridCol w:w="154"/>
      </w:tblGrid>
      <w:tr>
        <w:trPr/>
        <w:tc>
          <w:tcPr>
            <w:tcW w:w="2022"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2023</w:t>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Selling, distribution and administration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share-based compensation expense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Total share-based compensation expense, net of performance adjustments, by award type is as follows:</w:t>
      </w:r>
    </w:p>
    <w:tbl>
      <w:tblPr>
        <w:tblW w:w="8861" w:type="dxa"/>
        <w:jc w:val="left"/>
        <w:tblInd w:w="0" w:type="dxa"/>
        <w:tblLayout w:type="fixed"/>
        <w:tblCellMar>
          <w:top w:w="28" w:type="dxa"/>
          <w:left w:w="28" w:type="dxa"/>
          <w:bottom w:w="28" w:type="dxa"/>
          <w:right w:w="28" w:type="dxa"/>
        </w:tblCellMar>
      </w:tblPr>
      <w:tblGrid>
        <w:gridCol w:w="2020"/>
        <w:gridCol w:w="1769"/>
        <w:gridCol w:w="1790"/>
        <w:gridCol w:w="211"/>
        <w:gridCol w:w="541"/>
        <w:gridCol w:w="109"/>
        <w:gridCol w:w="109"/>
        <w:gridCol w:w="109"/>
        <w:gridCol w:w="109"/>
        <w:gridCol w:w="211"/>
        <w:gridCol w:w="541"/>
        <w:gridCol w:w="109"/>
        <w:gridCol w:w="109"/>
        <w:gridCol w:w="109"/>
        <w:gridCol w:w="109"/>
        <w:gridCol w:w="211"/>
        <w:gridCol w:w="541"/>
        <w:gridCol w:w="154"/>
      </w:tblGrid>
      <w:tr>
        <w:trPr/>
        <w:tc>
          <w:tcPr>
            <w:tcW w:w="2020"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2023</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performance awards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Non-employee awards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share-based compensation expense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Stock Performance Awards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2025, 2024 and 2023, as part of its annual equity grant to executive officers and certain other employees, the Company issued contingent stock performance awards (the “Stock Performance Awards”). These awards provide the recipients with the ability to earn shares of the Company’s common stock based on the Company’s achievement of stated cumulative operating performance targets over the three fiscal years ended December 2027, December 2026, and December 2025 for the 2025, 2024 and 2023 awards, respectively. The 2023 Stock Performance Awards are measured based on achieving targets set for diluted earnings per share and return on invested capital ("ROIC"), in addition to a relative Total Shareholder Return ("TSR") modifier ranking as compared to the Standard &amp; Poor's ("S&amp;P") 500, to determine the number of shares earned at the end of the performance period. The 2024 and 2025 Stock Performance Awards are measured based on achieving targets set for diluted earnings per share, in addition to a TSR modifier ranking as compared to the S&amp;P 500, to determine the number of shares earned at the end of the performance period. The ultimate amount of the awards may vary from 0% to 250% of the target number of shares, depending on the cumulative results achieved.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Stock performance award activity during 2025 was as follows:</w:t>
      </w:r>
    </w:p>
    <w:tbl>
      <w:tblPr>
        <w:tblW w:w="7407" w:type="dxa"/>
        <w:jc w:val="left"/>
        <w:tblInd w:w="0" w:type="dxa"/>
        <w:tblLayout w:type="fixed"/>
        <w:tblCellMar>
          <w:top w:w="28" w:type="dxa"/>
          <w:left w:w="28" w:type="dxa"/>
          <w:bottom w:w="28" w:type="dxa"/>
          <w:right w:w="28" w:type="dxa"/>
        </w:tblCellMar>
      </w:tblPr>
      <w:tblGrid>
        <w:gridCol w:w="1133"/>
        <w:gridCol w:w="999"/>
        <w:gridCol w:w="1003"/>
        <w:gridCol w:w="250"/>
        <w:gridCol w:w="250"/>
        <w:gridCol w:w="251"/>
        <w:gridCol w:w="109"/>
        <w:gridCol w:w="109"/>
        <w:gridCol w:w="109"/>
        <w:gridCol w:w="666"/>
        <w:gridCol w:w="2040"/>
        <w:gridCol w:w="488"/>
      </w:tblGrid>
      <w:tr>
        <w:trPr/>
        <w:tc>
          <w:tcPr>
            <w:tcW w:w="113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 except per share data)</w:t>
            </w:r>
          </w:p>
        </w:tc>
        <w:tc>
          <w:tcPr>
            <w:tcW w:w="75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Shares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 xml:space="preserve">Weighted Average Fair Value on </w:t>
              <w:br/>
              <w:t>Grant Date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beginning of year</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61.07 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61.24 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71.70 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87.40 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end of year</w:t>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55.15 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Stock Performance Awards are valued at the market value of the underlying common stock at the dates of grant and are expensed over the performance period. On a periodic basis, the Company reviews the actual and forecasted performance of the Company against the stated targets for each award. The total expense is adjusted upward or downward based on the expected number of shares to be issued as defined in the respective stock performance award agreement. If minimum targets as detailed under the award are not met, no additional compensation expense will be recognized and any previously recognized compensation expense will be reversed. During 2025, 2024 and 2023, the Company recognized expense (income), net of performance adjustments, of $20.4 million, $(6.4) million and $15.8 million, respectively, relating to Stock Performance Awards. During 2024, the Company corrected a prior period error associated with a $18.1 million benefit related to the reversal of stock compensation expense for the Company's performance stock awards that should have been recorded during fiscal year 2023. Refer to Note 1, Summary of Significant Accounting Policies for additional information.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total fair value of stock performance awards vested during 2025, 2024 and 2023 was $3.1 million, $10.2 million and $7.7 million, respectively. As of December 28, 2025, the amount of total unrecognized compensation cost related to these awards is approximately $27.8 million and the weighted average period over which this will be expensed is 21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Restricted Stock Units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as part of its annual equity grant to executive officers and certain other employees, issues restricted stock or grants restricted stock units. These shares or units are nontransferable and subject to forfeiture or vesting for periods prescribed by the Company. These awards are valued at the market value of the underlying common stock at the date of grant and are subsequently amortized over the periods during which the restrictions lapse, generally three years. The total fair value of restricted stock units vested during 2025, 2024 and 2023 was $53.6 million, $47.3 million and $58.3 million, respectively. As of December 28, 2025, the amount of total unrecognized compensation cost related to restricted stock units is $92.0 million and the weighted average period over which this will be expensed is 24 months.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Restricted stock unit activity during 2025 was as follows:</w:t>
      </w:r>
    </w:p>
    <w:tbl>
      <w:tblPr>
        <w:tblW w:w="7407" w:type="dxa"/>
        <w:jc w:val="left"/>
        <w:tblInd w:w="0" w:type="dxa"/>
        <w:tblLayout w:type="fixed"/>
        <w:tblCellMar>
          <w:top w:w="28" w:type="dxa"/>
          <w:left w:w="28" w:type="dxa"/>
          <w:bottom w:w="28" w:type="dxa"/>
          <w:right w:w="28" w:type="dxa"/>
        </w:tblCellMar>
      </w:tblPr>
      <w:tblGrid>
        <w:gridCol w:w="1133"/>
        <w:gridCol w:w="999"/>
        <w:gridCol w:w="1003"/>
        <w:gridCol w:w="250"/>
        <w:gridCol w:w="250"/>
        <w:gridCol w:w="251"/>
        <w:gridCol w:w="109"/>
        <w:gridCol w:w="109"/>
        <w:gridCol w:w="109"/>
        <w:gridCol w:w="666"/>
        <w:gridCol w:w="2040"/>
        <w:gridCol w:w="488"/>
      </w:tblGrid>
      <w:tr>
        <w:trPr/>
        <w:tc>
          <w:tcPr>
            <w:tcW w:w="113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 except per share data)</w:t>
            </w:r>
          </w:p>
        </w:tc>
        <w:tc>
          <w:tcPr>
            <w:tcW w:w="75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Shares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 xml:space="preserve">Weighted-Average Fair Value on </w:t>
              <w:br/>
              <w:t>Grant Date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beginning of year</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56.04 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63.14 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55.86 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58.31 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end of year</w:t>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59.41 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Stock Options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Stock option activity during 2025 was as follows:</w:t>
      </w:r>
    </w:p>
    <w:tbl>
      <w:tblPr>
        <w:tblW w:w="7528" w:type="dxa"/>
        <w:jc w:val="left"/>
        <w:tblInd w:w="0" w:type="dxa"/>
        <w:tblLayout w:type="fixed"/>
        <w:tblCellMar>
          <w:top w:w="28" w:type="dxa"/>
          <w:left w:w="28" w:type="dxa"/>
          <w:bottom w:w="28" w:type="dxa"/>
          <w:right w:w="28" w:type="dxa"/>
        </w:tblCellMar>
      </w:tblPr>
      <w:tblGrid>
        <w:gridCol w:w="1133"/>
        <w:gridCol w:w="999"/>
        <w:gridCol w:w="1003"/>
        <w:gridCol w:w="280"/>
        <w:gridCol w:w="280"/>
        <w:gridCol w:w="281"/>
        <w:gridCol w:w="109"/>
        <w:gridCol w:w="109"/>
        <w:gridCol w:w="109"/>
        <w:gridCol w:w="673"/>
        <w:gridCol w:w="2059"/>
        <w:gridCol w:w="493"/>
      </w:tblGrid>
      <w:tr>
        <w:trPr/>
        <w:tc>
          <w:tcPr>
            <w:tcW w:w="113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 except per share data)</w:t>
            </w:r>
          </w:p>
        </w:tc>
        <w:tc>
          <w:tcPr>
            <w:tcW w:w="84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Options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Weighted-Average Exercise Price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beginning of year</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76.11 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55.78 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 or forfeited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88.48 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end of year</w:t>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72.07 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Exercisable, end of year</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75.93 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With respect to the 0.7 million outstanding options and 0.6 million options exercisable at December 28, 2025, the weighted average remaining contractual life of these options was 3.05 years and 2.42 years, respectively. The intrinsic value of the outstanding options and options exercisable at December 28, 2025 was $11.9 million and $7.8 million, respectively.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uses the Black-Scholes valuation model in determining the fair value of stock options. The expected life of the options used in this calculation is the period of time the options are expected to be outstanding and has been determined based on historical exercise experience. The weighted average fair value of options granted in fiscal 2024 and 2023 was $11.74 and $12.73, respectively. There were no options granted in fiscal 2025 and only a de minimis amount granted in 2024. The fair value of each option grant is estimated on the date of grant using the Black-Scholes option pricing model with the following weighted average assumptions used for grants in the fiscal years 2025, 2024, and 2023:</w:t>
      </w:r>
    </w:p>
    <w:tbl>
      <w:tblPr>
        <w:tblW w:w="4660" w:type="dxa"/>
        <w:jc w:val="left"/>
        <w:tblInd w:w="0" w:type="dxa"/>
        <w:tblLayout w:type="fixed"/>
        <w:tblCellMar>
          <w:top w:w="28" w:type="dxa"/>
          <w:left w:w="28" w:type="dxa"/>
          <w:bottom w:w="28" w:type="dxa"/>
          <w:right w:w="28" w:type="dxa"/>
        </w:tblCellMar>
      </w:tblPr>
      <w:tblGrid>
        <w:gridCol w:w="792"/>
        <w:gridCol w:w="697"/>
        <w:gridCol w:w="700"/>
        <w:gridCol w:w="109"/>
        <w:gridCol w:w="109"/>
        <w:gridCol w:w="175"/>
        <w:gridCol w:w="175"/>
        <w:gridCol w:w="176"/>
        <w:gridCol w:w="270"/>
        <w:gridCol w:w="271"/>
        <w:gridCol w:w="300"/>
        <w:gridCol w:w="270"/>
        <w:gridCol w:w="271"/>
        <w:gridCol w:w="345"/>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84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88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2023</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option life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years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intrinsic values, which represent the difference between the fair market value on the date of exercise and the exercise price of the option, for the options exercised in fiscal 2025 and 2024 were $2.8 million and $1.1 million, respectively. No options were exercised during fiscal 2023.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28, 2025, the amount of total unrecognized compensation cost related to stock options was $0.3 million and the weighted average period over which this will be expensed is 2 months.</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Non-Employee Awards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2025, 2024 and 2023, the Company granted 23,500, 30,700 and 28,000 shares of common stock, respectively, to its non-employee members of its Board of Directors. Of these shares, the receipt of 7,800 shares from the 2025 grant, 8,800 shares from the 2024 grant and 14,000 shares from the 2023 grant has been deferred to the date upon which the respective director ceases to be a member of the Company’s Board of Directors. These awards were valued at the market value of the underlying common stock at the date of grant and vested upon grant. In connection with these grants, compensation cost of $1.6 million, $1.8 million and $1.3 million was recorded in Selling, distribution and administration expense during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(17)    </w:t>
      </w:r>
      <w:r>
        <w:rPr>
          <w:rFonts w:ascii="Arial;sans-serif" w:hAnsi="Arial;sans-serif"/>
          <w:b/>
          <w:color w:val="000000"/>
          <w:sz w:val="20"/>
          <w:u w:val="single"/>
        </w:rPr>
        <w:t>Retirement Plans</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Pension and Postretirement Benefits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recognizes an asset or liability for each of its defined benefit pension plans equal to the difference between the projected benefit obligation of the plan and the fair value of the plan’s assets. Actuarial gains and losses and prior service costs that have not yet been included in income are recognized in the Consolidated Balance Sheets in AOCL. Reclassifications to earnings (losses) from AOCL related to pension and postretirement plans are recorded to Other (income) expense.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Expenses related to the Company’s defined benefit pension plans for 2025, 2024 and 2023 were approximately $4.7 million, $3.0 million and $4.0 million, respectively, and were recorded within Other (income) expense.</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United States Plans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sponsors a defined benefit retirement plan, which pays benefits to eligible employees at the time of retirement, using actuarial formulas based upon a participant’s years of credited service and compensation. The plan is closed and frozen to all employees. The Company also provides certain postretirement health care and life insurance benefits to eligible employees, primarily employees who retired prior to January 1, 2020. Amounts related to the defined benefit retirements plan and other postretirement plans recognized in the Company’s consolidated financial statements are determined on an actuarial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Reconciliations of the beginning and ending balances for the projected benefit obligation, the fair value of plan assets and the funded status are included below.</w:t>
      </w:r>
    </w:p>
    <w:tbl>
      <w:tblPr>
        <w:tblW w:w="10199" w:type="dxa"/>
        <w:jc w:val="left"/>
        <w:tblInd w:w="0" w:type="dxa"/>
        <w:tblLayout w:type="fixed"/>
        <w:tblCellMar>
          <w:top w:w="28" w:type="dxa"/>
          <w:left w:w="28" w:type="dxa"/>
          <w:bottom w:w="28" w:type="dxa"/>
          <w:right w:w="28" w:type="dxa"/>
        </w:tblCellMar>
      </w:tblPr>
      <w:tblGrid>
        <w:gridCol w:w="1991"/>
        <w:gridCol w:w="1741"/>
        <w:gridCol w:w="1757"/>
        <w:gridCol w:w="211"/>
        <w:gridCol w:w="601"/>
        <w:gridCol w:w="109"/>
        <w:gridCol w:w="109"/>
        <w:gridCol w:w="109"/>
        <w:gridCol w:w="109"/>
        <w:gridCol w:w="211"/>
        <w:gridCol w:w="601"/>
        <w:gridCol w:w="109"/>
        <w:gridCol w:w="109"/>
        <w:gridCol w:w="109"/>
        <w:gridCol w:w="109"/>
        <w:gridCol w:w="211"/>
        <w:gridCol w:w="601"/>
        <w:gridCol w:w="109"/>
        <w:gridCol w:w="109"/>
        <w:gridCol w:w="109"/>
        <w:gridCol w:w="109"/>
        <w:gridCol w:w="211"/>
        <w:gridCol w:w="601"/>
        <w:gridCol w:w="154"/>
      </w:tblGrid>
      <w:tr>
        <w:trPr/>
        <w:tc>
          <w:tcPr>
            <w:tcW w:w="199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Pension</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Postretirement</w:t>
            </w:r>
          </w:p>
        </w:tc>
      </w:tr>
      <w:tr>
        <w:trPr/>
        <w:tc>
          <w:tcPr>
            <w:tcW w:w="548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92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Change in Projected Benefit Obligation:</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Projected benefit obligation,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Actuarial loss (gain)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Benefits paid</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Curtailments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Projected benefit obligation,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Accumulated benefit obligation, end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Reconciliation of Funded Status:</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Projected benefit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plan assets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Funded status</w:t>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Unrecognized prior service credit</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Unrecognized net loss (earnings)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amount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Funded Status recorded on the Consolidated Balance Sheets:</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amount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Assumptions used to determine the year-end pension and postretirement benefit obligations are as follows:</w:t>
      </w:r>
    </w:p>
    <w:tbl>
      <w:tblPr>
        <w:tblW w:w="10205" w:type="dxa"/>
        <w:jc w:val="left"/>
        <w:tblInd w:w="0" w:type="dxa"/>
        <w:tblLayout w:type="fixed"/>
        <w:tblCellMar>
          <w:top w:w="28" w:type="dxa"/>
          <w:left w:w="28" w:type="dxa"/>
          <w:bottom w:w="28" w:type="dxa"/>
          <w:right w:w="28" w:type="dxa"/>
        </w:tblCellMar>
      </w:tblPr>
      <w:tblGrid>
        <w:gridCol w:w="2009"/>
        <w:gridCol w:w="1772"/>
        <w:gridCol w:w="1787"/>
        <w:gridCol w:w="684"/>
        <w:gridCol w:w="686"/>
        <w:gridCol w:w="760"/>
        <w:gridCol w:w="109"/>
        <w:gridCol w:w="109"/>
        <w:gridCol w:w="109"/>
        <w:gridCol w:w="663"/>
        <w:gridCol w:w="666"/>
        <w:gridCol w:w="851"/>
      </w:tblGrid>
      <w:tr>
        <w:trPr/>
        <w:tc>
          <w:tcPr>
            <w:tcW w:w="2009"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5568"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r>
      <w:tr>
        <w:trPr/>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Pension:</w:t>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Discount rate</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Mortality table</w:t>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PriH-2012/Scale MP - 2021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PriH-2012/Scale MP - 2021</w:t>
            </w:r>
          </w:p>
        </w:tc>
      </w:tr>
      <w:tr>
        <w:trPr/>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Postretirement:</w:t>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Discount rate</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5.42 </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5.74 </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Health care cost trend rate assumed for next year</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Rate to which the cost trend rate is assumed to decline (ultimate trend rate)</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Year that the rate reaches the ultimate trend rate</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presents detail of the components of the net periodic benefit cost:</w:t>
      </w:r>
    </w:p>
    <w:tbl>
      <w:tblPr>
        <w:tblW w:w="5636" w:type="dxa"/>
        <w:jc w:val="left"/>
        <w:tblInd w:w="0" w:type="dxa"/>
        <w:tblLayout w:type="fixed"/>
        <w:tblCellMar>
          <w:top w:w="28" w:type="dxa"/>
          <w:left w:w="28" w:type="dxa"/>
          <w:bottom w:w="28" w:type="dxa"/>
          <w:right w:w="28" w:type="dxa"/>
        </w:tblCellMar>
      </w:tblPr>
      <w:tblGrid>
        <w:gridCol w:w="1025"/>
        <w:gridCol w:w="818"/>
        <w:gridCol w:w="826"/>
        <w:gridCol w:w="211"/>
        <w:gridCol w:w="436"/>
        <w:gridCol w:w="109"/>
        <w:gridCol w:w="109"/>
        <w:gridCol w:w="109"/>
        <w:gridCol w:w="109"/>
        <w:gridCol w:w="211"/>
        <w:gridCol w:w="436"/>
        <w:gridCol w:w="109"/>
        <w:gridCol w:w="109"/>
        <w:gridCol w:w="109"/>
        <w:gridCol w:w="109"/>
        <w:gridCol w:w="211"/>
        <w:gridCol w:w="436"/>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75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2023</w:t>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Pension:</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actuarial loss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Postretirement:</w:t>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service credit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actuarial gain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Curtailment/settlement gain</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Assumptions used to determine net periodic benefit cost of the pension plans and postretirement plan is as follows:</w:t>
      </w:r>
    </w:p>
    <w:tbl>
      <w:tblPr>
        <w:tblW w:w="7662" w:type="dxa"/>
        <w:jc w:val="left"/>
        <w:tblInd w:w="0" w:type="dxa"/>
        <w:tblLayout w:type="fixed"/>
        <w:tblCellMar>
          <w:top w:w="28" w:type="dxa"/>
          <w:left w:w="28" w:type="dxa"/>
          <w:bottom w:w="28" w:type="dxa"/>
          <w:right w:w="28" w:type="dxa"/>
        </w:tblCellMar>
      </w:tblPr>
      <w:tblGrid>
        <w:gridCol w:w="1602"/>
        <w:gridCol w:w="1413"/>
        <w:gridCol w:w="1425"/>
        <w:gridCol w:w="270"/>
        <w:gridCol w:w="271"/>
        <w:gridCol w:w="300"/>
        <w:gridCol w:w="109"/>
        <w:gridCol w:w="109"/>
        <w:gridCol w:w="109"/>
        <w:gridCol w:w="270"/>
        <w:gridCol w:w="271"/>
        <w:gridCol w:w="300"/>
        <w:gridCol w:w="109"/>
        <w:gridCol w:w="109"/>
        <w:gridCol w:w="109"/>
        <w:gridCol w:w="270"/>
        <w:gridCol w:w="271"/>
        <w:gridCol w:w="345"/>
      </w:tblGrid>
      <w:tr>
        <w:trPr/>
        <w:tc>
          <w:tcPr>
            <w:tcW w:w="160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2023</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Pension:</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Discount rate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Postretirement:</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Discount rate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Health care cost trend rate assumed for next year</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Ultimate trend rate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that the rate reaches the ultimate trend rate</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fiscal 2026, the Company expects to make contributions of $2.9 million and $1.6 million for the defined benefit pension plans and post-retirement plans, respectively, primarily to fund benefit payments. Expected benefit payments under the defined benefit pension plans and the postretirement benefit plans for the next five years subsequent to 2025 and in the aggregate for the following five years are as follows:</w:t>
      </w:r>
    </w:p>
    <w:tbl>
      <w:tblPr>
        <w:tblW w:w="4438" w:type="dxa"/>
        <w:jc w:val="left"/>
        <w:tblInd w:w="0" w:type="dxa"/>
        <w:tblLayout w:type="fixed"/>
        <w:tblCellMar>
          <w:top w:w="28" w:type="dxa"/>
          <w:left w:w="28" w:type="dxa"/>
          <w:bottom w:w="28" w:type="dxa"/>
          <w:right w:w="28" w:type="dxa"/>
        </w:tblCellMar>
      </w:tblPr>
      <w:tblGrid>
        <w:gridCol w:w="625"/>
        <w:gridCol w:w="547"/>
        <w:gridCol w:w="552"/>
        <w:gridCol w:w="213"/>
        <w:gridCol w:w="547"/>
        <w:gridCol w:w="111"/>
        <w:gridCol w:w="109"/>
        <w:gridCol w:w="109"/>
        <w:gridCol w:w="109"/>
        <w:gridCol w:w="399"/>
        <w:gridCol w:w="825"/>
        <w:gridCol w:w="292"/>
      </w:tblGrid>
      <w:tr>
        <w:trPr/>
        <w:tc>
          <w:tcPr>
            <w:tcW w:w="62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87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Pension</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Postretirement</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2031 through 2035</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International Plans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Pension coverage for employees of the Company’s international subsidiaries is provided, to the extent deemed appropriate, through separate defined benefit and defined contribution plans. As of December 28, 2025 and December 29, 2024, the defined benefit plans had total projected benefit obligations of $79.2 million and $79.2 million, respectively, and fair values of plan assets of $73.9 million and $71.6 million, respectively. Substantially all of the plan assets are invested in equity and fixed income securities. The pension expense related to these plans was $2.2 million, $0.8 million and $1.3 million in 2025, 2024 and 2023, respectively. In fiscal year 2025, the Company expects an immaterial amount of unrecognized net losses, amortization of prior service costs and unrecognized transition obligation to be included as a component of net periodic benefit cost.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Expected benefit payments under the international defined benefit pension plans for the five years subsequent to 2025 and in the aggregate for the five years thereafter are as follows: 2026: $3.1 million; 2027: $3.3 million; 2028: $4.0 million; 2029: $3.7 million; 2030: $3.9 million; and 2031 through 2035: $22.4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Post-employment Benefits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also has several plans covering certain groups of employees, which may provide benefits to such employees following their period of active employment but prior to their retirement. These plans include certain severance plans which provide benefits to employees involuntarily terminated and certain plans which continue the Company’s health and life insurance contributions for employees who have left the Company under terms of its long-term disability plan.</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Defined Contribution Plans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maintains defined contribution savings plans for the benefit of its eligible employees. The expense recognized for these plans was $42.8 million, $39.5 million, and $40.9 million in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(18)    </w:t>
      </w:r>
      <w:r>
        <w:rPr>
          <w:rFonts w:ascii="Arial;sans-serif" w:hAnsi="Arial;sans-serif"/>
          <w:b/>
          <w:color w:val="000000"/>
          <w:sz w:val="20"/>
          <w:u w:val="single"/>
        </w:rPr>
        <w:t>Leases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has operating lease agreements for offices and certain types of equipment and vehicles. The operating leases have remaining terms of 1 to 13 years, some of which include options to extend lease terms or options to terminate current lease terms at certain times, subject to notification requirements set out in the lease agreement. Payments under certain of the lease agreements may be subject to adjustment based on a consumer price index or other inflationary indices. Any adjustments to these payments based on the related indices is recorded to expense as incurred. </w:t>
      </w:r>
    </w:p>
    <w:p>
      <w:pPr>
        <w:pStyle w:val="TextBody"/>
        <w:bidi w:val="0"/>
        <w:spacing w:lineRule="auto" w:line="288" w:before="120" w:after="283"/>
        <w:jc w:val="left"/>
        <w:rPr/>
      </w:pPr>
      <w:r>
        <w:rPr>
          <w:rFonts w:ascii="Arial;sans-serif" w:hAnsi="Arial;sans-serif"/>
          <w:b w:val="false"/>
          <w:color w:val="000000"/>
          <w:sz w:val="20"/>
        </w:rPr>
        <w:t>The Company has elected the short-term lease practical expedient in accordance with ASC Topic 842</w:t>
      </w:r>
      <w:r>
        <w:rPr>
          <w:rFonts w:ascii="Arial;sans-serif" w:hAnsi="Arial;sans-serif"/>
          <w:b w:val="false"/>
          <w:i/>
          <w:color w:val="000000"/>
          <w:sz w:val="20"/>
        </w:rPr>
        <w:t>,</w:t>
      </w:r>
      <w:r>
        <w:rPr>
          <w:color w:val="000000"/>
        </w:rPr>
        <w:t xml:space="preserve"> </w:t>
      </w:r>
      <w:r>
        <w:rPr>
          <w:rFonts w:ascii="Arial;sans-serif" w:hAnsi="Arial;sans-serif"/>
          <w:b w:val="false"/>
          <w:i/>
          <w:color w:val="000000"/>
          <w:sz w:val="20"/>
        </w:rPr>
        <w:t>Leases</w:t>
      </w:r>
      <w:r>
        <w:rPr>
          <w:color w:val="000000"/>
        </w:rPr>
        <w:t xml:space="preserve"> </w:t>
      </w:r>
      <w:r>
        <w:rPr>
          <w:rFonts w:ascii="Arial;sans-serif" w:hAnsi="Arial;sans-serif"/>
          <w:b w:val="false"/>
          <w:color w:val="000000"/>
          <w:sz w:val="20"/>
        </w:rPr>
        <w:t>(ASC Topic 842) that allows entities to recognize lease payments on a straight-line basis over the lease term for leases with a term of 12 months or less. Lease expense recognized for such leases was $0.4 million, $0.5 million, and $0.6 million for the years ended 2025, 2024 and 2023, respectively. Real estate taxes, insurance and maintenance expenses are generally obligations of the Company. The Company capitalizes non-lease components for equipment leases, but expenses non-lease components as incurred for real estate, which amounted to $8.6 million, $8.2 million, and $11.3 million in 2025, 2024 and 2023, respectively.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Operating lease costs for capitalized leases amounted to $32.8 million, $35.4 million and $44.2 million for each of the years ended 2025, 2024 and 2023, respectively. During 2025, 2024 and 2023, rent expense for arrangements that do not qualify as leases under ASC Topic 842 amounted to $28.2 million, $26.4 million, and $33.4 million, respectively. The Company has a de minimis amount of finance leases.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All leases expire prior to 2038. Operating leases often contain renewal options. In those locations in which the Company continues to operate, management expects that, in the normal course of business, leases that expire will be renewed or replaced by leases on other properties.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28, 2025, the Company has entered into significant new leases that have not yet commenced with estimated aggregated future lease payments within the initial lease terms of approximately $200.3 million. These leases are expected to commence during 2026, with initial lease terms ranging from 10 years to 12 years.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Information related to the Company's operating leases are as follows:</w:t>
      </w:r>
    </w:p>
    <w:tbl>
      <w:tblPr>
        <w:tblW w:w="10205" w:type="dxa"/>
        <w:jc w:val="left"/>
        <w:tblInd w:w="0" w:type="dxa"/>
        <w:tblLayout w:type="fixed"/>
        <w:tblCellMar>
          <w:top w:w="28" w:type="dxa"/>
          <w:left w:w="28" w:type="dxa"/>
          <w:bottom w:w="28" w:type="dxa"/>
          <w:right w:w="28" w:type="dxa"/>
        </w:tblCellMar>
      </w:tblPr>
      <w:tblGrid>
        <w:gridCol w:w="2315"/>
        <w:gridCol w:w="2025"/>
        <w:gridCol w:w="2050"/>
        <w:gridCol w:w="211"/>
        <w:gridCol w:w="541"/>
        <w:gridCol w:w="286"/>
        <w:gridCol w:w="109"/>
        <w:gridCol w:w="109"/>
        <w:gridCol w:w="109"/>
        <w:gridCol w:w="211"/>
        <w:gridCol w:w="541"/>
        <w:gridCol w:w="286"/>
        <w:gridCol w:w="109"/>
        <w:gridCol w:w="109"/>
        <w:gridCol w:w="109"/>
        <w:gridCol w:w="211"/>
        <w:gridCol w:w="541"/>
        <w:gridCol w:w="333"/>
      </w:tblGrid>
      <w:tr>
        <w:trPr/>
        <w:tc>
          <w:tcPr>
            <w:tcW w:w="2315"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1365" w:type="dxa"/>
            <w:gridSpan w:val="6"/>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2025</w:t>
            </w:r>
          </w:p>
        </w:tc>
        <w:tc>
          <w:tcPr>
            <w:tcW w:w="1365" w:type="dxa"/>
            <w:gridSpan w:val="6"/>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2024</w:t>
            </w:r>
          </w:p>
        </w:tc>
        <w:tc>
          <w:tcPr>
            <w:tcW w:w="1085"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2023</w:t>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outflows for amounts included in the measurement of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Right-of-use assets obtained in exchange for lease obligations, net of modifications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 average remaining lease term</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years</w:t>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is a reconciliation of future undiscounted cash flows to the operating liabilities, and the related right-of-use assets, included in our Consolidated Balance Sheets as of December 28, 2025:</w:t>
      </w:r>
    </w:p>
    <w:tbl>
      <w:tblPr>
        <w:tblW w:w="5496" w:type="dxa"/>
        <w:jc w:val="left"/>
        <w:tblInd w:w="0" w:type="dxa"/>
        <w:tblLayout w:type="fixed"/>
        <w:tblCellMar>
          <w:top w:w="28" w:type="dxa"/>
          <w:left w:w="28" w:type="dxa"/>
          <w:bottom w:w="28" w:type="dxa"/>
          <w:right w:w="28" w:type="dxa"/>
        </w:tblCellMar>
      </w:tblPr>
      <w:tblGrid>
        <w:gridCol w:w="1627"/>
        <w:gridCol w:w="1423"/>
        <w:gridCol w:w="1435"/>
        <w:gridCol w:w="211"/>
        <w:gridCol w:w="646"/>
        <w:gridCol w:w="154"/>
      </w:tblGrid>
      <w:tr>
        <w:trPr/>
        <w:tc>
          <w:tcPr>
            <w:tcW w:w="1627"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101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future lease payments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Present value discount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Present value of future operating lease payments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Less current portion of operating lease liabilities </w:t>
            </w:r>
            <w:r>
              <w:rPr>
                <w:rFonts w:ascii="Arial;sans-serif" w:hAnsi="Arial;sans-serif"/>
                <w:b w:val="false"/>
                <w:color w:val="000000"/>
                <w:sz w:val="13"/>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Non-current operating lease liability </w:t>
            </w:r>
            <w:r>
              <w:rPr>
                <w:rFonts w:ascii="Arial;sans-serif" w:hAnsi="Arial;sans-serif"/>
                <w:b w:val="false"/>
                <w:color w:val="000000"/>
                <w:sz w:val="13"/>
              </w:rPr>
              <w:t>(2)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Operating lease right-of-use assets, net </w:t>
            </w:r>
            <w:r>
              <w:rPr>
                <w:rFonts w:ascii="Arial;sans-serif" w:hAnsi="Arial;sans-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Included in Accrued liabilities on the Consolidated Balance Sheets</w:t>
      </w:r>
    </w:p>
    <w:p>
      <w:pPr>
        <w:pStyle w:val="TextBody"/>
        <w:bidi w:val="0"/>
        <w:spacing w:lineRule="auto" w:line="288" w:before="0" w:after="0"/>
        <w:jc w:val="left"/>
        <w:rPr/>
      </w:pPr>
      <w:r>
        <w:rPr>
          <w:rFonts w:ascii="Arial;sans-serif" w:hAnsi="Arial;sans-serif"/>
          <w:b w:val="false"/>
          <w:i/>
          <w:color w:val="000000"/>
          <w:sz w:val="10"/>
        </w:rPr>
        <w:t>(2)</w:t>
      </w:r>
      <w:r>
        <w:rPr>
          <w:color w:val="000000"/>
        </w:rPr>
        <w:t xml:space="preserve"> </w:t>
      </w:r>
      <w:r>
        <w:rPr>
          <w:rFonts w:ascii="Arial;sans-serif" w:hAnsi="Arial;sans-serif"/>
          <w:b w:val="false"/>
          <w:i/>
          <w:color w:val="000000"/>
          <w:sz w:val="16"/>
        </w:rPr>
        <w:t>Included in Other liabilities on the Consolidated Balance Sheets</w:t>
      </w:r>
    </w:p>
    <w:p>
      <w:pPr>
        <w:pStyle w:val="TextBody"/>
        <w:bidi w:val="0"/>
        <w:spacing w:lineRule="auto" w:line="288" w:before="0" w:after="0"/>
        <w:jc w:val="left"/>
        <w:rPr/>
      </w:pPr>
      <w:r>
        <w:rPr>
          <w:rFonts w:ascii="Arial;sans-serif" w:hAnsi="Arial;sans-serif"/>
          <w:b w:val="false"/>
          <w:i/>
          <w:color w:val="000000"/>
          <w:sz w:val="10"/>
        </w:rPr>
        <w:t xml:space="preserve">(3) </w:t>
      </w:r>
      <w:r>
        <w:rPr>
          <w:rFonts w:ascii="Arial;sans-serif" w:hAnsi="Arial;sans-serif"/>
          <w:b w:val="false"/>
          <w:i/>
          <w:color w:val="000000"/>
          <w:sz w:val="16"/>
        </w:rPr>
        <w:t>Included in Property, plant and equipment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(19)    </w:t>
      </w:r>
      <w:r>
        <w:rPr>
          <w:rFonts w:ascii="Arial;sans-serif" w:hAnsi="Arial;sans-serif"/>
          <w:b/>
          <w:color w:val="000000"/>
          <w:sz w:val="20"/>
          <w:u w:val="single"/>
        </w:rPr>
        <w:t>Derivative Financial Instruments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uses foreign currency forward and option contracts to mitigate the impact of currency rate fluctuations on firmly committed and projected future foreign currency transactions. These over-the-counter contracts, which hedge future currency requirements related to purchases of inventory, product sales, and other cross-border transactions not denominated in the functional currency of the business unit, are primarily denominated in United States, Canadian and Hong Kong dollars as well as Euros and British pound sterling.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 Cash flow activity associated with the Company's derivative financial instruments is recorded within cash flows from operating activities on the Consolidated Statement of Cash Flows.</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Cash Flow Hedges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All of the Company’s designated foreign currency forward contracts are considered to be cash flow hedges. These instruments hedge a portion of the Company’s currency requirements associated with anticipated inventory purchases, product sales and other cross-border transactions.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28, 2025 and December 29, 2024, the notional amounts and fair values of the Company’s foreign currency forward and option contracts designated as cash flow hedging instruments were as follows:</w:t>
      </w:r>
    </w:p>
    <w:tbl>
      <w:tblPr>
        <w:tblW w:w="6420" w:type="dxa"/>
        <w:jc w:val="left"/>
        <w:tblInd w:w="0" w:type="dxa"/>
        <w:tblLayout w:type="fixed"/>
        <w:tblCellMar>
          <w:top w:w="28" w:type="dxa"/>
          <w:left w:w="28" w:type="dxa"/>
          <w:bottom w:w="28" w:type="dxa"/>
          <w:right w:w="28" w:type="dxa"/>
        </w:tblCellMar>
      </w:tblPr>
      <w:tblGrid>
        <w:gridCol w:w="685"/>
        <w:gridCol w:w="600"/>
        <w:gridCol w:w="605"/>
        <w:gridCol w:w="211"/>
        <w:gridCol w:w="646"/>
        <w:gridCol w:w="109"/>
        <w:gridCol w:w="109"/>
        <w:gridCol w:w="109"/>
        <w:gridCol w:w="109"/>
        <w:gridCol w:w="211"/>
        <w:gridCol w:w="496"/>
        <w:gridCol w:w="109"/>
        <w:gridCol w:w="109"/>
        <w:gridCol w:w="109"/>
        <w:gridCol w:w="109"/>
        <w:gridCol w:w="211"/>
        <w:gridCol w:w="646"/>
        <w:gridCol w:w="109"/>
        <w:gridCol w:w="109"/>
        <w:gridCol w:w="109"/>
        <w:gridCol w:w="109"/>
        <w:gridCol w:w="211"/>
        <w:gridCol w:w="436"/>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r>
      <w:tr>
        <w:trPr/>
        <w:tc>
          <w:tcPr>
            <w:tcW w:w="189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Notional</w:t>
              <w:br/>
              <w:t>Amount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Fair</w:t>
              <w:br/>
              <w:t>Value</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Notional</w:t>
              <w:br/>
              <w:t>Amount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Fair</w:t>
              <w:br/>
              <w:t>Value</w:t>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purchases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Undesignated Hedges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As of December 28, 2025 and December 29, 2024, the total notional amounts of the Company’s undesignated derivative financial instruments were $191.5 million and $289.6 million, respectively.</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Fair Value Measurement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a master agreement with each of its counterparties that allows for the netting of outstanding forward contracts. The fair values of the Company’s foreign currency forward contracts are recorded in the Consolidated Balance Sheets as follows:</w:t>
      </w:r>
    </w:p>
    <w:tbl>
      <w:tblPr>
        <w:tblW w:w="8376" w:type="dxa"/>
        <w:jc w:val="left"/>
        <w:tblInd w:w="0" w:type="dxa"/>
        <w:tblLayout w:type="fixed"/>
        <w:tblCellMar>
          <w:top w:w="28" w:type="dxa"/>
          <w:left w:w="28" w:type="dxa"/>
          <w:bottom w:w="28" w:type="dxa"/>
          <w:right w:w="28" w:type="dxa"/>
        </w:tblCellMar>
      </w:tblPr>
      <w:tblGrid>
        <w:gridCol w:w="1420"/>
        <w:gridCol w:w="1242"/>
        <w:gridCol w:w="1253"/>
        <w:gridCol w:w="211"/>
        <w:gridCol w:w="496"/>
        <w:gridCol w:w="109"/>
        <w:gridCol w:w="109"/>
        <w:gridCol w:w="109"/>
        <w:gridCol w:w="109"/>
        <w:gridCol w:w="211"/>
        <w:gridCol w:w="496"/>
        <w:gridCol w:w="109"/>
        <w:gridCol w:w="109"/>
        <w:gridCol w:w="109"/>
        <w:gridCol w:w="109"/>
        <w:gridCol w:w="236"/>
        <w:gridCol w:w="488"/>
        <w:gridCol w:w="122"/>
        <w:gridCol w:w="122"/>
        <w:gridCol w:w="122"/>
        <w:gridCol w:w="122"/>
        <w:gridCol w:w="236"/>
        <w:gridCol w:w="555"/>
        <w:gridCol w:w="172"/>
      </w:tblGrid>
      <w:tr>
        <w:trPr/>
        <w:tc>
          <w:tcPr>
            <w:tcW w:w="142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Designated Hedges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Undesignated Hedges</w:t>
            </w:r>
          </w:p>
        </w:tc>
      </w:tr>
      <w:tr>
        <w:trPr/>
        <w:tc>
          <w:tcPr>
            <w:tcW w:w="391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81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66"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Prepaid expenses and other current assets:</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losses</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unrealized gains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Other assets:</w:t>
            </w:r>
          </w:p>
        </w:tc>
        <w:tc>
          <w:tcPr>
            <w:tcW w:w="8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losses</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unrealized gains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Accrued liabilities:</w:t>
            </w:r>
          </w:p>
        </w:tc>
        <w:tc>
          <w:tcPr>
            <w:tcW w:w="8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losses</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unrealized losses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Other liabilities:</w:t>
            </w:r>
          </w:p>
        </w:tc>
        <w:tc>
          <w:tcPr>
            <w:tcW w:w="8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losses</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unrealized losses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gains (losses) on cash flow hedging activities have been reclassified from other comprehensive earnings (loss), net of tax, to net earnings as follows:</w:t>
      </w:r>
    </w:p>
    <w:tbl>
      <w:tblPr>
        <w:tblW w:w="7916" w:type="dxa"/>
        <w:jc w:val="left"/>
        <w:tblInd w:w="0" w:type="dxa"/>
        <w:tblLayout w:type="fixed"/>
        <w:tblCellMar>
          <w:top w:w="28" w:type="dxa"/>
          <w:left w:w="28" w:type="dxa"/>
          <w:bottom w:w="28" w:type="dxa"/>
          <w:right w:w="28" w:type="dxa"/>
        </w:tblCellMar>
      </w:tblPr>
      <w:tblGrid>
        <w:gridCol w:w="1747"/>
        <w:gridCol w:w="1530"/>
        <w:gridCol w:w="1552"/>
        <w:gridCol w:w="211"/>
        <w:gridCol w:w="496"/>
        <w:gridCol w:w="109"/>
        <w:gridCol w:w="109"/>
        <w:gridCol w:w="109"/>
        <w:gridCol w:w="109"/>
        <w:gridCol w:w="211"/>
        <w:gridCol w:w="436"/>
        <w:gridCol w:w="109"/>
        <w:gridCol w:w="109"/>
        <w:gridCol w:w="109"/>
        <w:gridCol w:w="109"/>
        <w:gridCol w:w="211"/>
        <w:gridCol w:w="496"/>
        <w:gridCol w:w="154"/>
      </w:tblGrid>
      <w:tr>
        <w:trPr/>
        <w:tc>
          <w:tcPr>
            <w:tcW w:w="174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81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2023</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Consolidated Statements of Operations Classification:</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Royalties and other</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realized gains (losses)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the Company recorded net losses of $14.4 million and $3.3 million, and net gains of $23.4 million, on its undesignated derivative financial instruments for 2025, 2024 and 2023, respectively, relating to the change in fair value of such derivative financial instruments, substantially offsetting gains and losses from the change in fair value of intercompany loans to which the contracts relate. Such amounts are recorded within Other (income) expense, net within the Consolidated Statements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additional information related to the Company’s derivative financial instruments refer to Note 5, Other Comprehensive Earnings (Loss), and Note 15, Fair Value of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ind w:left="0" w:right="0" w:hanging="540"/>
        <w:jc w:val="left"/>
        <w:rPr/>
      </w:pPr>
      <w:r>
        <w:rPr>
          <w:rFonts w:ascii="Arial;sans-serif" w:hAnsi="Arial;sans-serif"/>
          <w:b/>
          <w:color w:val="000000"/>
          <w:sz w:val="20"/>
        </w:rPr>
        <w:t>(20)    </w:t>
      </w:r>
      <w:r>
        <w:rPr>
          <w:rFonts w:ascii="Arial;sans-serif" w:hAnsi="Arial;sans-serif"/>
          <w:b/>
          <w:color w:val="000000"/>
          <w:sz w:val="20"/>
          <w:u w:val="single"/>
        </w:rPr>
        <w:t>Restructuring Actions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Starting in 2022, the Company implemented its Operational Excellence program ("the Program"), an ongoing enterprise-wide initiative intended to improve our business through programs that include targeted cost-savings, supply chain transformation and certain other restructuring actions designed to drive growth and enhance shareholder value. The Company's organizational structure changes have resulted and will further result in workforce reductions as well as the reallocation of people and resources. The Company currently anticipates that these changes will be substantially complete over the next three to six months.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Charges related to the Program were recorded in Selling, distribution and administration expense within Corporate and Other. Going forward, the Company may implement further cost-saving initiatives under the Program that could result in additional restructuring charges including severance and other employee charges.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liability balance associated with Program related restructuring actions consisted of severance payments recorded within Accrued liabilities in the Consolidated Balance Sheets as follows:</w:t>
      </w:r>
    </w:p>
    <w:tbl>
      <w:tblPr>
        <w:tblW w:w="4850" w:type="dxa"/>
        <w:jc w:val="left"/>
        <w:tblInd w:w="0" w:type="dxa"/>
        <w:tblLayout w:type="fixed"/>
        <w:tblCellMar>
          <w:top w:w="28" w:type="dxa"/>
          <w:left w:w="28" w:type="dxa"/>
          <w:bottom w:w="28" w:type="dxa"/>
          <w:right w:w="28" w:type="dxa"/>
        </w:tblCellMar>
      </w:tblPr>
      <w:tblGrid>
        <w:gridCol w:w="881"/>
        <w:gridCol w:w="771"/>
        <w:gridCol w:w="777"/>
        <w:gridCol w:w="109"/>
        <w:gridCol w:w="109"/>
        <w:gridCol w:w="109"/>
        <w:gridCol w:w="211"/>
        <w:gridCol w:w="541"/>
        <w:gridCol w:w="109"/>
        <w:gridCol w:w="109"/>
        <w:gridCol w:w="109"/>
        <w:gridCol w:w="109"/>
        <w:gridCol w:w="211"/>
        <w:gridCol w:w="541"/>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Total restructuring charges incurred to date under the Program as of December 28, 2025 equal $163.5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(21)    </w:t>
      </w:r>
      <w:r>
        <w:rPr>
          <w:rFonts w:ascii="Arial;sans-serif" w:hAnsi="Arial;sans-serif"/>
          <w:b/>
          <w:color w:val="000000"/>
          <w:sz w:val="20"/>
          <w:u w:val="single"/>
        </w:rPr>
        <w:t>Commitments and Contingencies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enters into license agreements with strategic partners, inventors, designers and others for the use of intellectual properties in its products. Certain of these agreements require the Company to pay fixed and determinable royalty amounts or nonrefundable licensing fees, regardless of future sales or performance. Under terms of existing agreements as of December 28, 2025, the Company is unconditionally obligated to make the following payments, net of amounts previously paid and recorded as prepaid royalties: 2026: $90.4 million; 2027: $112.0 million; 2028: $111.1 million; 2029: $110.7 million; 2030: $102.0 million; and thereafter: $100.8 million. Certain licensing agreements also include contingent minimum guarantees or performance-based payments that become payable only upon the occurrence of specified future events. Such contingent amounts are not included in the amounts above. As of December 28, 2025, the Company had $30.7 million of prepaid royalties, all of which are included in Prepaid expenses and other current assets.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Interest payment obligations on the Company's fixed-rate long-term debt are as follows: 2026: $153.9 million; 2027: $136.3 million; 2028: $119.7 million; 2029: $112.4 million; 2030: $77.3 million; and thereafter: $614.1 million. Refer to Note 12, Long-Term Debt and Other Financing, for additional information on the Company's long-term debt.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28, 2025, the Company estimates payments related to inventory and tooling purchase commitments may total approximately $111.6 million, excluding those already accrued in the Consolidated Balance Sheets.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monitors for any estimated environmental contingencies related to its current physical locations and former owned or leased facilities which it is responsible for environmental matters. The Company has estimated a $30.5 million environmental liability related to a previously owned manufacturing facility (environmental liability assumed as part of a historical acquisition) in which the Company is solely responsible for the mitigation and remediation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Legal and Other Claims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Hasbro is party to certain legal proceedings, as well as certain asserted and unasserted claims. Amounts accrued, as well as the total amount of reasonably possible losses with respect to such matters, individually and in the aggregate, are not deemed to be material to the consolidated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from time to time may be subject to lawsuits and other claims related to product, commercial, employee, environmental and other matters in the normal course of business.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pPr>
      <w:r>
        <w:rPr>
          <w:rFonts w:ascii="Arial;sans-serif" w:hAnsi="Arial;sans-serif"/>
          <w:b/>
          <w:color w:val="000000"/>
          <w:sz w:val="20"/>
        </w:rPr>
        <w:t>(22)    </w:t>
      </w:r>
      <w:r>
        <w:rPr>
          <w:rFonts w:ascii="Arial;sans-serif" w:hAnsi="Arial;sans-serif"/>
          <w:b/>
          <w:color w:val="000000"/>
          <w:sz w:val="20"/>
          <w:u w:val="single"/>
        </w:rPr>
        <w:t>Segment Reporting</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Company's reportable segments are strategic business units that offer different products and services. They are managed separately because the business requires different technology and marketing strategies. The Company's reportable segments are as follows: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Wizards of the Coast and Digital Gaming business engages in the promotion of the Company's brands through the development of trading card, role-playing and digital game experiences based on Hasbro and Wizards of the Coast games. Additionally, we license certain of our brands to other third-party digital game developers who transform Hasbro brand-based characters and other intellectual properties, into digital gaming experiences.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Additionally, through license agreements with third parties, we develop and sell products based on popular third-party brands.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Entertainment segment engages in the development and production of Hasbro-branded entertainment content including film, television, children’s programming, digital content and live entertainment focused on Hasbro-owned properties.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Corporate and Other, which does not meet the criteria to be an operating segment, provides management and administrative services to the Company's principal reporting segments described above and consists of unallocated corporate expenses and administrative costs and activities not considered when evaluating segment performance as well as certain assets benefiting more than one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Segment performance is measured at the operating profit level. Intersegment sales and transfers are reflected in management reports at amounts approximating cost. Certain shared costs, including global development and marketing expenses and corporate administration, are allocated to segments based upon expenses and foreign exchange rates fixed at the beginning of the year, with adjustments to actual expenses and foreign exchange rates included in Corporate and Other. The accounting policies of the segments are the same as those referenced in Note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Summary of Significant Accounting Policies.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chief operating decision maker ("CODM"), the Company's Chief Executive Officer, primarily uses the segments' operating profit or loss to allocate resources for each segment predominantly in the annual budget and forecasting process. The CODM considers budget-to-actual variances on a monthly basis when making decision about allocating resources to the segments. Results shown for fiscal years 2025, 2024 and 2023 are not necessarily those which would be achieved if each segment was an unaffiliated business enterprise. We do not present a measure of total assets for our reportable segments as this information is not used by the CODM to allocate resources and assess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Information by segment and a reconciliation to reported amounts are as follows for fiscal year 2025:</w:t>
      </w:r>
    </w:p>
    <w:tbl>
      <w:tblPr>
        <w:tblW w:w="10205" w:type="dxa"/>
        <w:jc w:val="left"/>
        <w:tblInd w:w="0" w:type="dxa"/>
        <w:tblLayout w:type="fixed"/>
        <w:tblCellMar>
          <w:top w:w="28" w:type="dxa"/>
          <w:left w:w="28" w:type="dxa"/>
          <w:bottom w:w="28" w:type="dxa"/>
          <w:right w:w="28" w:type="dxa"/>
        </w:tblCellMar>
      </w:tblPr>
      <w:tblGrid>
        <w:gridCol w:w="865"/>
        <w:gridCol w:w="630"/>
        <w:gridCol w:w="579"/>
        <w:gridCol w:w="109"/>
        <w:gridCol w:w="109"/>
        <w:gridCol w:w="109"/>
        <w:gridCol w:w="373"/>
        <w:gridCol w:w="1316"/>
        <w:gridCol w:w="207"/>
        <w:gridCol w:w="109"/>
        <w:gridCol w:w="109"/>
        <w:gridCol w:w="109"/>
        <w:gridCol w:w="246"/>
        <w:gridCol w:w="867"/>
        <w:gridCol w:w="136"/>
        <w:gridCol w:w="109"/>
        <w:gridCol w:w="109"/>
        <w:gridCol w:w="109"/>
        <w:gridCol w:w="252"/>
        <w:gridCol w:w="717"/>
        <w:gridCol w:w="142"/>
        <w:gridCol w:w="109"/>
        <w:gridCol w:w="109"/>
        <w:gridCol w:w="109"/>
        <w:gridCol w:w="272"/>
        <w:gridCol w:w="771"/>
        <w:gridCol w:w="151"/>
        <w:gridCol w:w="109"/>
        <w:gridCol w:w="109"/>
        <w:gridCol w:w="109"/>
        <w:gridCol w:w="196"/>
        <w:gridCol w:w="691"/>
        <w:gridCol w:w="159"/>
      </w:tblGrid>
      <w:tr>
        <w:trPr/>
        <w:tc>
          <w:tcPr>
            <w:tcW w:w="86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7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 xml:space="preserve">(In millions) </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Wizards of the Coast and Digital Gaming</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Consumer Products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Entertainment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Corporate and Other</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Total</w:t>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2,405.7 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2,186.9 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2,437.6 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4,701.3 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Distribution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Managed expense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1,778.3 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1,006.8 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(942.6)</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Reconciliation to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(102.0)</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Distribution expenses consist of shipping and warehousing expense and is included in Selling, distribution and administration in the Consolidated Statement of Operations.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Managed expenses consist of product development, selling and administrative expense, impairment of goodwill, and loss on disposal of business. Product development is included in Product Development in the Consolidated Statement of Operations. Selling and administrative expense is included in Selling, distribution and administration in the Consolidated Statement of Operations. Impairment of goodwill is included in the Impairment of goodwill in the Consolidated Statement of Operations. Loss on disposal of business is included in Loss on disposal of business in the Consolidated Statement of Operations. Managed expenses for the Consumer Products segment included a $1,021.9 million non-cash loss associated with the impairment of the reporting units within the Consumer Products segment. Refer to Note 8, Goodwill and Intangible Assets, for further information. Managed expenses for the Entertainment segment included a $25.0 million non-cash loss associated with the sale of the eOne Film and TV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Information by segment and a reconciliation to reported amounts are follows for fiscal year 2024: </w:t>
      </w:r>
    </w:p>
    <w:tbl>
      <w:tblPr>
        <w:tblW w:w="10205" w:type="dxa"/>
        <w:jc w:val="left"/>
        <w:tblInd w:w="0" w:type="dxa"/>
        <w:tblLayout w:type="fixed"/>
        <w:tblCellMar>
          <w:top w:w="28" w:type="dxa"/>
          <w:left w:w="28" w:type="dxa"/>
          <w:bottom w:w="28" w:type="dxa"/>
          <w:right w:w="28" w:type="dxa"/>
        </w:tblCellMar>
      </w:tblPr>
      <w:tblGrid>
        <w:gridCol w:w="896"/>
        <w:gridCol w:w="651"/>
        <w:gridCol w:w="599"/>
        <w:gridCol w:w="109"/>
        <w:gridCol w:w="109"/>
        <w:gridCol w:w="109"/>
        <w:gridCol w:w="364"/>
        <w:gridCol w:w="1285"/>
        <w:gridCol w:w="202"/>
        <w:gridCol w:w="109"/>
        <w:gridCol w:w="109"/>
        <w:gridCol w:w="109"/>
        <w:gridCol w:w="243"/>
        <w:gridCol w:w="859"/>
        <w:gridCol w:w="135"/>
        <w:gridCol w:w="109"/>
        <w:gridCol w:w="109"/>
        <w:gridCol w:w="109"/>
        <w:gridCol w:w="252"/>
        <w:gridCol w:w="717"/>
        <w:gridCol w:w="142"/>
        <w:gridCol w:w="109"/>
        <w:gridCol w:w="109"/>
        <w:gridCol w:w="109"/>
        <w:gridCol w:w="268"/>
        <w:gridCol w:w="760"/>
        <w:gridCol w:w="149"/>
        <w:gridCol w:w="109"/>
        <w:gridCol w:w="109"/>
        <w:gridCol w:w="109"/>
        <w:gridCol w:w="196"/>
        <w:gridCol w:w="691"/>
        <w:gridCol w:w="161"/>
      </w:tblGrid>
      <w:tr>
        <w:trPr/>
        <w:tc>
          <w:tcPr>
            <w:tcW w:w="89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4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 xml:space="preserve">(In millions) </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Wizards of the Coast and Digital Gaming</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Consumer Products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Entertainment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Corporate and Other</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Total</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1,666.0 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2,786.1 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1,511.3 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2,543.9 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4,135.5 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Cost of sales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Distribution </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Managed expense </w:t>
            </w:r>
            <w:r>
              <w:rPr>
                <w:rFonts w:ascii="Arial;sans-serif" w:hAnsi="Arial;sans-serif"/>
                <w:b w:val="false"/>
                <w:color w:val="000000"/>
                <w:sz w:val="10"/>
              </w:rPr>
              <w:t>(1)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to 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 xml:space="preserve">During the year ended December 29, 2024, the Company recorded three non-recurring prior year adjustments: (i) a $31.1 million expense related to historical environmental liabilities that was recorded in managed expense, (ii) a $26.7 million benefit related to over-accrual of vendor commitment liabilities that was recorded in Cost of sales, and (iii) an $18.1 million benefit related to the reversal of stock compensation expense for the Company's performance stock awards that was recorded in managed expense within Corporate and Other. Refer to Note 1, Summary of Significant Accounting Policies, for further information. Items (i) and (ii) originally related to the Consumer Products segment; however, because the non-recurring nature of these adjustments are related to historical periods and not associated with the ongoing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operations of the Consumer Products segment, the Company recorded the error corrections within Corporate and Other.</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Distribution expenses consist of shipping and warehousing expense and is included in Selling, distribution and administration in the Consolidated Statement of Operations.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(3) </w:t>
      </w:r>
      <w:r>
        <w:rPr>
          <w:rFonts w:ascii="Arial;sans-serif" w:hAnsi="Arial;sans-serif"/>
          <w:b w:val="false"/>
          <w:i/>
          <w:color w:val="000000"/>
          <w:sz w:val="16"/>
        </w:rPr>
        <w:t>Managed expenses consist of product development, selling and administrative expense, and loss on disposal of business. Product development is included in Product Development in the Consolidated Statement of Operations. Selling and administrative expense is included in Selling, distribution and administration in the Consolidated Statement of Operations. Loss on disposal of business is included in Loss on disposal of business in the Consolidated Statement of Operations. Managed expenses for the Entertainment segment included a $37.4 million loss associated with the sale of the eOne Film and TV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Information by segment and a reconciliation to reported amounts are as follows for fiscal year 2023: </w:t>
      </w:r>
    </w:p>
    <w:tbl>
      <w:tblPr>
        <w:tblW w:w="10205" w:type="dxa"/>
        <w:jc w:val="left"/>
        <w:tblInd w:w="0" w:type="dxa"/>
        <w:tblLayout w:type="fixed"/>
        <w:tblCellMar>
          <w:top w:w="28" w:type="dxa"/>
          <w:left w:w="28" w:type="dxa"/>
          <w:bottom w:w="28" w:type="dxa"/>
          <w:right w:w="28" w:type="dxa"/>
        </w:tblCellMar>
      </w:tblPr>
      <w:tblGrid>
        <w:gridCol w:w="861"/>
        <w:gridCol w:w="624"/>
        <w:gridCol w:w="572"/>
        <w:gridCol w:w="109"/>
        <w:gridCol w:w="109"/>
        <w:gridCol w:w="109"/>
        <w:gridCol w:w="370"/>
        <w:gridCol w:w="1305"/>
        <w:gridCol w:w="205"/>
        <w:gridCol w:w="109"/>
        <w:gridCol w:w="109"/>
        <w:gridCol w:w="109"/>
        <w:gridCol w:w="245"/>
        <w:gridCol w:w="864"/>
        <w:gridCol w:w="136"/>
        <w:gridCol w:w="109"/>
        <w:gridCol w:w="109"/>
        <w:gridCol w:w="109"/>
        <w:gridCol w:w="215"/>
        <w:gridCol w:w="775"/>
        <w:gridCol w:w="121"/>
        <w:gridCol w:w="109"/>
        <w:gridCol w:w="109"/>
        <w:gridCol w:w="109"/>
        <w:gridCol w:w="270"/>
        <w:gridCol w:w="767"/>
        <w:gridCol w:w="150"/>
        <w:gridCol w:w="109"/>
        <w:gridCol w:w="109"/>
        <w:gridCol w:w="109"/>
        <w:gridCol w:w="196"/>
        <w:gridCol w:w="731"/>
        <w:gridCol w:w="163"/>
      </w:tblGrid>
      <w:tr>
        <w:trPr/>
        <w:tc>
          <w:tcPr>
            <w:tcW w:w="86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 xml:space="preserve">(In millions) </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Wizards of the Coast and Digital Gaming</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Consumer Products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Entertainment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Corporate and Other</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Total</w:t>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1,641.2 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2,886.4 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5,003.3 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Distribution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Managed expense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(1,911.5)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to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(1,709.1)</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Distribution expenses consist of shipping and warehousing expense and is included in Selling, distribution and administration in the Consolidated Statement of Operations.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Managed expenses consist of product development, selling and administrative expense, impairment of goodwill, and loss on disposal of business. Product development is included in Product Development in the Consolidated Statement of Operations. Selling and administrative expense is included in Selling, distribution and administration in the Consolidated Statement of Operations. Impairment of goodwill is included in the Impairment of goodwill in the Consolidated Statement of Operations. Loss on disposal of business is included in Loss on disposal of business in the Consolidated Statement of Operations. Managed expenses for the Entertainment segment included a $1,191.2 million non-cash loss associated with the impairment of the Family Brands and Film and TV reporting units and a $539.0 million non-cash loss associated with the sale of the eOne Film and TV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Other supplemental information by segment is as follows:</w:t>
      </w:r>
    </w:p>
    <w:tbl>
      <w:tblPr>
        <w:tblW w:w="8334" w:type="dxa"/>
        <w:jc w:val="left"/>
        <w:tblInd w:w="0" w:type="dxa"/>
        <w:tblLayout w:type="fixed"/>
        <w:tblCellMar>
          <w:top w:w="28" w:type="dxa"/>
          <w:left w:w="28" w:type="dxa"/>
          <w:bottom w:w="28" w:type="dxa"/>
          <w:right w:w="28" w:type="dxa"/>
        </w:tblCellMar>
      </w:tblPr>
      <w:tblGrid>
        <w:gridCol w:w="1596"/>
        <w:gridCol w:w="1398"/>
        <w:gridCol w:w="1416"/>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 xml:space="preserve">(In millions) </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2023</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Depreciation and intangible asset amortization: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Wizards of the Coast and Digital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Consumer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Additions to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Wizards of the Coast and Digital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Consumer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The amounts of depreciation disclosed by reportable segments are included within Cost of sales and Selling, distribution and administration. Intangible asset amortization is included within Amortization of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Information as to Hasbro’s operations in different geographical areas is presented below on the basis the Company uses to manage its business. Net revenues are categorized based on the location of the customer, while long-lived assets are categorized based on their location. Principal international markets include Europe, Canada, Mexico and Latin America, Australia, China and Hong Kong.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revenue to external customers by geographic area were as follows:</w:t>
      </w:r>
    </w:p>
    <w:tbl>
      <w:tblPr>
        <w:tblW w:w="5396" w:type="dxa"/>
        <w:jc w:val="left"/>
        <w:tblInd w:w="0" w:type="dxa"/>
        <w:tblLayout w:type="fixed"/>
        <w:tblCellMar>
          <w:top w:w="28" w:type="dxa"/>
          <w:left w:w="28" w:type="dxa"/>
          <w:bottom w:w="28" w:type="dxa"/>
          <w:right w:w="28" w:type="dxa"/>
        </w:tblCellMar>
      </w:tblPr>
      <w:tblGrid>
        <w:gridCol w:w="473"/>
        <w:gridCol w:w="414"/>
        <w:gridCol w:w="417"/>
        <w:gridCol w:w="211"/>
        <w:gridCol w:w="811"/>
        <w:gridCol w:w="109"/>
        <w:gridCol w:w="109"/>
        <w:gridCol w:w="109"/>
        <w:gridCol w:w="109"/>
        <w:gridCol w:w="211"/>
        <w:gridCol w:w="811"/>
        <w:gridCol w:w="109"/>
        <w:gridCol w:w="109"/>
        <w:gridCol w:w="109"/>
        <w:gridCol w:w="109"/>
        <w:gridCol w:w="211"/>
        <w:gridCol w:w="811"/>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2023</w:t>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Long-lived assets, which represent property, plant and equipment, by geographic area were as follows:</w:t>
      </w:r>
    </w:p>
    <w:tbl>
      <w:tblPr>
        <w:tblW w:w="3608" w:type="dxa"/>
        <w:jc w:val="left"/>
        <w:tblInd w:w="0" w:type="dxa"/>
        <w:tblLayout w:type="fixed"/>
        <w:tblCellMar>
          <w:top w:w="28" w:type="dxa"/>
          <w:left w:w="28" w:type="dxa"/>
          <w:bottom w:w="28" w:type="dxa"/>
          <w:right w:w="28" w:type="dxa"/>
        </w:tblCellMar>
      </w:tblPr>
      <w:tblGrid>
        <w:gridCol w:w="473"/>
        <w:gridCol w:w="414"/>
        <w:gridCol w:w="417"/>
        <w:gridCol w:w="211"/>
        <w:gridCol w:w="646"/>
        <w:gridCol w:w="109"/>
        <w:gridCol w:w="109"/>
        <w:gridCol w:w="109"/>
        <w:gridCol w:w="109"/>
        <w:gridCol w:w="211"/>
        <w:gridCol w:w="64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20"/>
              </w:rPr>
            </w:pPr>
            <w:r>
              <w:rPr>
                <w:rFonts w:ascii="Arial;sans-serif" w:hAnsi="Arial;sans-serif"/>
                <w:b w:val="false"/>
                <w:color w:val="FFFFFF"/>
                <w:sz w:val="20"/>
              </w:rPr>
              <w:t>(In millions)</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2024</w:t>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ind w:left="0" w:right="0" w:hanging="900"/>
        <w:jc w:val="left"/>
        <w:rPr/>
      </w:pPr>
      <w:r>
        <w:rPr>
          <w:rFonts w:ascii="Arial;sans-serif" w:hAnsi="Arial;sans-serif"/>
          <w:b/>
          <w:color w:val="000000"/>
          <w:sz w:val="20"/>
        </w:rPr>
        <w:t>Item 9.    </w:t>
      </w:r>
      <w:r>
        <w:rPr>
          <w:rFonts w:ascii="Arial;sans-serif" w:hAnsi="Arial;sans-serif"/>
          <w:b/>
          <w:i/>
          <w:color w:val="000000"/>
          <w:sz w:val="20"/>
          <w:u w:val="single"/>
        </w:rPr>
        <w:t>Changes in and Disagreements with Accountants on Accounting and Financial Disclosure.</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pPr>
      <w:r>
        <w:rPr>
          <w:rFonts w:ascii="Arial;sans-serif" w:hAnsi="Arial;sans-serif"/>
          <w:b/>
          <w:color w:val="000000"/>
          <w:sz w:val="20"/>
        </w:rPr>
        <w:t>Item 9A.    </w:t>
      </w:r>
      <w:r>
        <w:rPr>
          <w:rFonts w:ascii="Arial;sans-serif" w:hAnsi="Arial;sans-serif"/>
          <w:b/>
          <w:i/>
          <w:color w:val="000000"/>
          <w:sz w:val="20"/>
          <w:u w:val="single"/>
        </w:rPr>
        <w:t>Controls and Procedures.</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Evaluation of Disclosure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December 28, 2025. Based on the evaluation of these disclosure controls and procedures, the Chief Executive Officer and Chief Financial Officer concluded that the Company’s disclosure controls and procedures were effective.</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Management’s Report on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management is responsible for establishing and maintaining adequate internal control over financial reporting, as defined in Rule 13a-15(f) promulgated under the Exchange Act. Hasbro’s internal control system is designed to provide reasonable assurance regarding the reliability of financial reporting and the preparation of the consolidated financial statements for external purposes in accordance with U.S. generally accepted accounting principles. Hasbro’s management assessed the effectiveness of its internal control over financial reporting as of December 28, 2025. In making its assessment, Hasbro’s management used the criteria set forth by the Committee of Sponsoring Organizations of the Treadway Commission in “Internal Control-Integrated Framework (2013)”. Based on this assessment, Hasbro’s management concluded that, as of December 28, 2025, its internal control over financial reporting is effective based on those criteria. Hasbro’s independent registered public accounting firm has issued an audit report on internal control over financial reporting, which is included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 the Shareholders and Board of Directors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Hasbro, Inc.:</w:t>
      </w:r>
    </w:p>
    <w:p>
      <w:pPr>
        <w:pStyle w:val="TextBody"/>
        <w:bidi w:val="0"/>
        <w:spacing w:lineRule="auto" w:line="288" w:before="120" w:after="100"/>
        <w:jc w:val="left"/>
        <w:rPr>
          <w:rFonts w:ascii="Arial;sans-serif" w:hAnsi="Arial;sans-serif"/>
          <w:b w:val="false"/>
          <w:i/>
          <w:color w:val="000000"/>
          <w:sz w:val="20"/>
        </w:rPr>
      </w:pPr>
      <w:r>
        <w:rPr>
          <w:rFonts w:ascii="Arial;sans-serif" w:hAnsi="Arial;sans-serif"/>
          <w:b w:val="false"/>
          <w:i/>
          <w:color w:val="000000"/>
          <w:sz w:val="20"/>
        </w:rPr>
        <w:t xml:space="preserve">Opinion on Internal Control Over Financial Reporting </w:t>
      </w:r>
    </w:p>
    <w:p>
      <w:pPr>
        <w:pStyle w:val="TextBody"/>
        <w:bidi w:val="0"/>
        <w:spacing w:lineRule="auto" w:line="288" w:before="120" w:after="283"/>
        <w:jc w:val="left"/>
        <w:rPr/>
      </w:pPr>
      <w:r>
        <w:rPr>
          <w:rFonts w:ascii="Arial;sans-serif" w:hAnsi="Arial;sans-serif"/>
          <w:b w:val="false"/>
          <w:color w:val="000000"/>
          <w:sz w:val="20"/>
        </w:rPr>
        <w:t xml:space="preserve">We have audited Hasbro, Inc. and subsidiaries' (the Company) internal control over financial reporting as of December 28, 2025, based on criteria established in </w:t>
      </w:r>
      <w:r>
        <w:rPr>
          <w:rFonts w:ascii="Arial;sans-serif" w:hAnsi="Arial;sans-serif"/>
          <w:b w:val="false"/>
          <w:i/>
          <w:color w:val="000000"/>
          <w:sz w:val="20"/>
        </w:rPr>
        <w:t>Internal Control – Integrated Framework (2013)</w:t>
      </w:r>
      <w:r>
        <w:rPr>
          <w:color w:val="000000"/>
        </w:rPr>
        <w:t xml:space="preserve"> </w:t>
      </w:r>
      <w:r>
        <w:rPr>
          <w:rFonts w:ascii="Arial;sans-serif" w:hAnsi="Arial;sans-serif"/>
          <w:b w:val="false"/>
          <w:color w:val="000000"/>
          <w:sz w:val="20"/>
        </w:rPr>
        <w:t xml:space="preserve">issued by the Committee of Sponsoring Organizations of the Treadway Commission. In our opinion, the Company maintained, in all material respects, effective internal control over financial reporting as of December 28, 2025, based on criteria established in </w:t>
      </w:r>
      <w:r>
        <w:rPr>
          <w:rFonts w:ascii="Arial;sans-serif" w:hAnsi="Arial;sans-serif"/>
          <w:b w:val="false"/>
          <w:i/>
          <w:color w:val="000000"/>
          <w:sz w:val="20"/>
        </w:rPr>
        <w:t>Internal Control – Integrated Framework (2013)</w:t>
      </w:r>
      <w:r>
        <w:rPr>
          <w:color w:val="000000"/>
        </w:rPr>
        <w:t xml:space="preserve"> </w:t>
      </w:r>
      <w:r>
        <w:rPr>
          <w:rFonts w:ascii="Arial;sans-serif" w:hAnsi="Arial;sans-serif"/>
          <w:b w:val="false"/>
          <w:color w:val="000000"/>
          <w:sz w:val="20"/>
        </w:rPr>
        <w:t>issued by the Committee of Sponsoring Organizations of the Treadway Commission.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consolidated balance sheets of the Company as of December 28, 2025 and December 29, 2024, the related consolidated statements of operations, comprehensive earnings (loss), shareholders’ equity, and cash flows for each of the years in the three-year period ended December 28, 2025, and the related notes (collectively, the consolidated financial statements), and our report dated February 25, 2026 expressed an unqualified opinion on those consolidated financial statements.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Basis for Opinion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Definition and Limitations of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Providence, Rhode Island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25,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Changes in Internal Controls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were no changes in the Company’s internal control over financial reporting, as defined in Rule 13a-15(f) promulgated under the Exchange Act, during the quarter ended December 28, 2025, that have materially affected, or are reasonably likely to materially affect, the Company’s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pPr>
      <w:r>
        <w:rPr>
          <w:rFonts w:ascii="Arial;sans-serif" w:hAnsi="Arial;sans-serif"/>
          <w:b/>
          <w:i/>
          <w:color w:val="000000"/>
          <w:sz w:val="20"/>
        </w:rPr>
        <w:t>Item 9B.    </w:t>
      </w:r>
      <w:r>
        <w:rPr>
          <w:rFonts w:ascii="Arial;sans-serif" w:hAnsi="Arial;sans-serif"/>
          <w:b/>
          <w:i/>
          <w:color w:val="000000"/>
          <w:sz w:val="20"/>
          <w:u w:val="single"/>
        </w:rPr>
        <w:t>Other Information.</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Trading Plans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period ended December 28, 2025, no director or officer of the Company adopted or terminated a “Rule 10b5-1 trading arrangement” or “non-Rule 10b5-1 trading arrangement,” as each term is defined in Item 408(a) and (c)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pPr>
      <w:r>
        <w:rPr>
          <w:rFonts w:ascii="Arial;sans-serif" w:hAnsi="Arial;sans-serif"/>
          <w:b/>
          <w:color w:val="000000"/>
          <w:sz w:val="20"/>
        </w:rPr>
        <w:t xml:space="preserve">Item </w:t>
      </w:r>
      <w:r>
        <w:rPr>
          <w:rFonts w:ascii="Arial;sans-serif" w:hAnsi="Arial;sans-serif"/>
          <w:b/>
          <w:i/>
          <w:color w:val="000000"/>
          <w:sz w:val="20"/>
        </w:rPr>
        <w:t>9C.    </w:t>
      </w:r>
      <w:r>
        <w:rPr>
          <w:rFonts w:ascii="Arial;sans-serif" w:hAnsi="Arial;sans-serif"/>
          <w:b/>
          <w:i/>
          <w:color w:val="000000"/>
          <w:sz w:val="20"/>
          <w:u w:val="single"/>
        </w:rPr>
        <w:t>Disclosure Regarding Foreign Jurisdictions that Prevent Inspections.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pPr>
      <w:r>
        <w:rPr>
          <w:rFonts w:ascii="Arial;sans-serif" w:hAnsi="Arial;sans-serif"/>
          <w:b/>
          <w:color w:val="000000"/>
          <w:sz w:val="20"/>
        </w:rPr>
        <w:t>Item 10.    </w:t>
      </w:r>
      <w:r>
        <w:rPr>
          <w:rFonts w:ascii="Arial;sans-serif" w:hAnsi="Arial;sans-serif"/>
          <w:b/>
          <w:i/>
          <w:color w:val="000000"/>
          <w:sz w:val="20"/>
          <w:u w:val="single"/>
        </w:rPr>
        <w:t>Directors, Executive Officers and Corporate Governance.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Certain of the information required by this item is contained under the captions “Election of Directors”, “Governance of the Company” and, if applicable, under “Delinquent Section 16(a) Reports” in the Company’s definitive proxy statement for the 2026 Annual Meeting of Shareholders and is incorporated herein by reference.</w:t>
      </w:r>
    </w:p>
    <w:p>
      <w:pPr>
        <w:pStyle w:val="TextBody"/>
        <w:bidi w:val="0"/>
        <w:spacing w:lineRule="auto" w:line="288" w:before="120" w:after="283"/>
        <w:jc w:val="left"/>
        <w:rPr/>
      </w:pPr>
      <w:r>
        <w:rPr>
          <w:rFonts w:ascii="Arial;sans-serif" w:hAnsi="Arial;sans-serif"/>
          <w:b w:val="false"/>
          <w:color w:val="000000"/>
          <w:sz w:val="20"/>
        </w:rPr>
        <w:t>The information required by this item with respect to executive officers of the Company is included in Part I, Item 1</w:t>
      </w:r>
      <w:r>
        <w:rPr>
          <w:rFonts w:ascii="Arial;sans-serif" w:hAnsi="Arial;sans-serif"/>
          <w:b w:val="false"/>
          <w:i/>
          <w:color w:val="000000"/>
          <w:sz w:val="20"/>
        </w:rPr>
        <w:t>. Business,</w:t>
      </w:r>
      <w:r>
        <w:rPr>
          <w:color w:val="000000"/>
        </w:rPr>
        <w:t xml:space="preserve"> </w:t>
      </w:r>
      <w:r>
        <w:rPr>
          <w:rFonts w:ascii="Arial;sans-serif" w:hAnsi="Arial;sans-serif"/>
          <w:b w:val="false"/>
          <w:color w:val="000000"/>
          <w:sz w:val="20"/>
        </w:rPr>
        <w:t>of this Form 10-K under the caption “Our Executive Officers” and is incorporated herein by reference.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information related to our insider trading policies and procedures applicable to directors, officers and employees, and to the Company itself is contained under the heading “Insider Trading Policy” in the Company’s definitive Proxy Statement for the 2026 Annual Meeting of Stockholders and is incorporated herein by reference. A copy of the Company's Insider Trading Policy is filed as Exhibit 19 to this Form 10-K.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a Code of Conduct, which is applicable to all of the Company’s employees, officers and directors, including the Company’s Chief Executive Officer, Chief Financial Officer and Controller. A copy of the Code of Conduct is available on the Company’s website under the Corporate, Investors, Corporate Governance tabs. The Company’s investor website address is http://hasbro.gcs-web.com. Although the Company does not generally intend to provide waivers of or amendments to the Code of Conduct for its Chief Executive Officer, Chief Financial Officer, Controller, or other officers or employees, information concerning any waiver of or amendment to the Code of Conduct for the Chief Executive Officer, Chief Financial Officer, Controller, or any other executive officers or directors of the Company, will be promptly disclosed on the Company’s website in the location where the Code of Conduct is posted.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also posted on its website, in the Corporate Governance location referred to above, copies of its Corporate Governance Principles and of the charters for its (i) Audit Committee, (ii) Compensation and Talent Committee, (iii) Finance and Capital Allocation Committee, and (iv) Nominating, Governance and Social Responsibility Committee.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to being accessible on the Company’s website, copies of the Company’s Code of Conduct, Corporate Governance Principles, and charters for the Company’s Board Committees, are all available free of charge upon request to the Company’s Executive Vice President, Chief Legal Officer and Corporate Secretary, Tarrant Sibley, at 1027 Newport Avenue, P.O. Box 1059, Pawtucket, R.I. 02861-1059.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pPr>
      <w:r>
        <w:rPr>
          <w:rFonts w:ascii="Arial;sans-serif" w:hAnsi="Arial;sans-serif"/>
          <w:b/>
          <w:color w:val="000000"/>
          <w:sz w:val="20"/>
        </w:rPr>
        <w:t>Item 11.    </w:t>
      </w:r>
      <w:r>
        <w:rPr>
          <w:rFonts w:ascii="Arial;sans-serif" w:hAnsi="Arial;sans-serif"/>
          <w:b/>
          <w:i/>
          <w:color w:val="000000"/>
          <w:sz w:val="20"/>
          <w:u w:val="single"/>
        </w:rPr>
        <w:t>Executive Compensation.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contained under the captions “Compensation of Directors”, “Executive Compensation”, “Compensation and Talent Committee Report”, “Compensation Discussion and Analysis” and “Compensation Committee Interlocks and Insider Participation” in the Company’s definitive proxy statement for the 2026 Annual Meeting of Shareholders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pPr>
      <w:r>
        <w:rPr>
          <w:rFonts w:ascii="Arial;sans-serif" w:hAnsi="Arial;sans-serif"/>
          <w:b/>
          <w:color w:val="000000"/>
          <w:sz w:val="20"/>
        </w:rPr>
        <w:t>Item 12.    </w:t>
      </w:r>
      <w:r>
        <w:rPr>
          <w:rFonts w:ascii="Arial;sans-serif" w:hAnsi="Arial;sans-serif"/>
          <w:b/>
          <w:i/>
          <w:color w:val="000000"/>
          <w:sz w:val="20"/>
          <w:u w:val="single"/>
        </w:rPr>
        <w:t>Security Ownership of Certain Beneficial Owners and Management and Related Stockholder Matters.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contained under the captions “Voting Securities and Principal Holders Thereof”, “Security Ownership of Management” and “Equity Compensation Plans” in the Company’s definitive proxy statement for the 2026 Annual Meeting of Shareholders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pPr>
      <w:r>
        <w:rPr>
          <w:rFonts w:ascii="Arial;sans-serif" w:hAnsi="Arial;sans-serif"/>
          <w:b/>
          <w:color w:val="000000"/>
          <w:sz w:val="20"/>
        </w:rPr>
        <w:t>Item 13.    </w:t>
      </w:r>
      <w:r>
        <w:rPr>
          <w:rFonts w:ascii="Arial;sans-serif" w:hAnsi="Arial;sans-serif"/>
          <w:b/>
          <w:i/>
          <w:color w:val="000000"/>
          <w:sz w:val="20"/>
          <w:u w:val="single"/>
        </w:rPr>
        <w:t>Certain Relationships and Related Transactions, and Director Independence.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contained under the captions “Governance of the Company” and “Certain Relationships and Related Party Transactions” in the Company’s definitive proxy statement for the 2026 Annual Meeting of Shareholders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pPr>
      <w:r>
        <w:rPr>
          <w:rFonts w:ascii="Arial;sans-serif" w:hAnsi="Arial;sans-serif"/>
          <w:b/>
          <w:color w:val="000000"/>
          <w:sz w:val="20"/>
        </w:rPr>
        <w:t>Item 14.    </w:t>
      </w:r>
      <w:r>
        <w:rPr>
          <w:rFonts w:ascii="Arial;sans-serif" w:hAnsi="Arial;sans-serif"/>
          <w:b/>
          <w:i/>
          <w:color w:val="000000"/>
          <w:sz w:val="20"/>
          <w:u w:val="single"/>
        </w:rPr>
        <w:t>Principal Accountant Fees and Services.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independent registered public accounting firm is KPMG LLP, Providence, RI, Auditor ID: 185.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contained under the caption “Additional Information Regarding Independent Registered Public Accounting Firm” in the Company’s definitive proxy statement for the 2026 Annual Meeting of Shareholders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pPr>
      <w:r>
        <w:rPr>
          <w:rFonts w:ascii="Arial;sans-serif" w:hAnsi="Arial;sans-serif"/>
          <w:b/>
          <w:color w:val="000000"/>
          <w:sz w:val="20"/>
        </w:rPr>
        <w:t>Item 15.    </w:t>
      </w:r>
      <w:r>
        <w:rPr>
          <w:rFonts w:ascii="Arial;sans-serif" w:hAnsi="Arial;sans-serif"/>
          <w:b/>
          <w:i/>
          <w:color w:val="000000"/>
          <w:sz w:val="20"/>
          <w:u w:val="single"/>
        </w:rPr>
        <w:t>Exhibits, and Financial Statement Schedules.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The following documents are filed as part of this Form 10-K:</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3135"/>
        <w:gridCol w:w="3126"/>
        <w:gridCol w:w="3133"/>
        <w:gridCol w:w="136"/>
        <w:gridCol w:w="136"/>
        <w:gridCol w:w="1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31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Statements under Item 8. Consolidated Financial Statements and Supplementary Data</w:t>
            </w:r>
          </w:p>
        </w:tc>
        <w:tc>
          <w:tcPr>
            <w:tcW w:w="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100" w:after="283"/>
              <w:jc w:val="left"/>
              <w:rPr/>
            </w:pPr>
            <w:hyperlink w:anchor="ieb386c6e1feb425e90d22f2f5c682cf0_145">
              <w:r>
                <w:rPr>
                  <w:rStyle w:val="InternetLink"/>
                  <w:rFonts w:ascii="Arial;sans-serif" w:hAnsi="Arial;sans-serif"/>
                  <w:b w:val="false"/>
                  <w:color w:val="0000FF"/>
                  <w:sz w:val="20"/>
                  <w:u w:val="single"/>
                </w:rPr>
                <w:t>Report of Independent Registered Public Accounting Firm</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386c6e1feb425e90d22f2f5c682cf0_145">
              <w:r>
                <w:rPr>
                  <w:rStyle w:val="InternetLink"/>
                  <w:rFonts w:ascii="Arial;sans-serif" w:hAnsi="Arial;sans-serif"/>
                  <w:b w:val="false"/>
                  <w:color w:val="0000FF"/>
                  <w:sz w:val="20"/>
                  <w:u w:val="single"/>
                </w:rPr>
                <w:t>49</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148">
              <w:r>
                <w:rPr>
                  <w:rStyle w:val="InternetLink"/>
                  <w:rFonts w:ascii="Arial;sans-serif" w:hAnsi="Arial;sans-serif"/>
                  <w:b w:val="false"/>
                  <w:color w:val="0000FF"/>
                  <w:sz w:val="20"/>
                  <w:u w:val="single"/>
                </w:rPr>
                <w:t>Consolidated Balance Sheets at December 28, 2025 and December 29, 2024</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386c6e1feb425e90d22f2f5c682cf0_148">
              <w:r>
                <w:rPr>
                  <w:rStyle w:val="InternetLink"/>
                  <w:rFonts w:ascii="Arial;sans-serif" w:hAnsi="Arial;sans-serif"/>
                  <w:b w:val="false"/>
                  <w:color w:val="0000FF"/>
                  <w:sz w:val="20"/>
                  <w:u w:val="single"/>
                </w:rPr>
                <w:t>52</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151">
              <w:r>
                <w:rPr>
                  <w:rStyle w:val="InternetLink"/>
                  <w:rFonts w:ascii="Arial;sans-serif" w:hAnsi="Arial;sans-serif"/>
                  <w:b w:val="false"/>
                  <w:color w:val="0000FF"/>
                  <w:sz w:val="20"/>
                  <w:u w:val="single"/>
                </w:rPr>
                <w:t>Consolidated Statements of Operations for the Three Fiscal Years Ended in December 2025, 2024 and 2023</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386c6e1feb425e90d22f2f5c682cf0_151">
              <w:r>
                <w:rPr>
                  <w:rStyle w:val="InternetLink"/>
                  <w:rFonts w:ascii="Arial;sans-serif" w:hAnsi="Arial;sans-serif"/>
                  <w:b w:val="false"/>
                  <w:color w:val="0000FF"/>
                  <w:sz w:val="20"/>
                  <w:u w:val="single"/>
                </w:rPr>
                <w:t>53</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154">
              <w:r>
                <w:rPr>
                  <w:rStyle w:val="InternetLink"/>
                  <w:rFonts w:ascii="Arial;sans-serif" w:hAnsi="Arial;sans-serif"/>
                  <w:b w:val="false"/>
                  <w:color w:val="0000FF"/>
                  <w:sz w:val="20"/>
                  <w:u w:val="single"/>
                </w:rPr>
                <w:t>Consolidated Statements of Comprehensive Earnings (Loss) for the Three Fiscal Years Ended in December 2025, 2024 and 2023</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386c6e1feb425e90d22f2f5c682cf0_154">
              <w:r>
                <w:rPr>
                  <w:rStyle w:val="InternetLink"/>
                  <w:rFonts w:ascii="Arial;sans-serif" w:hAnsi="Arial;sans-serif"/>
                  <w:b w:val="false"/>
                  <w:color w:val="0000FF"/>
                  <w:sz w:val="20"/>
                  <w:u w:val="single"/>
                </w:rPr>
                <w:t>54</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157">
              <w:r>
                <w:rPr>
                  <w:rStyle w:val="InternetLink"/>
                  <w:rFonts w:ascii="Arial;sans-serif" w:hAnsi="Arial;sans-serif"/>
                  <w:b w:val="false"/>
                  <w:color w:val="0000FF"/>
                  <w:sz w:val="20"/>
                  <w:u w:val="single"/>
                </w:rPr>
                <w:t>Consolidated Statements of Cash Flows for the Three Fiscal Years Ended in December 2025, 2024 and 2023</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386c6e1feb425e90d22f2f5c682cf0_157">
              <w:r>
                <w:rPr>
                  <w:rStyle w:val="InternetLink"/>
                  <w:rFonts w:ascii="Arial;sans-serif" w:hAnsi="Arial;sans-serif"/>
                  <w:b w:val="false"/>
                  <w:color w:val="0000FF"/>
                  <w:sz w:val="20"/>
                  <w:u w:val="single"/>
                </w:rPr>
                <w:t>55</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160">
              <w:r>
                <w:rPr>
                  <w:rStyle w:val="InternetLink"/>
                  <w:rFonts w:ascii="Arial;sans-serif" w:hAnsi="Arial;sans-serif"/>
                  <w:b w:val="false"/>
                  <w:color w:val="0000FF"/>
                  <w:sz w:val="20"/>
                  <w:u w:val="single"/>
                </w:rPr>
                <w:t>Consolidated Statements of Shareholders’ Equity for the Three Fiscal Years Ended in December 2025, 2024 and 2023</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386c6e1feb425e90d22f2f5c682cf0_160">
              <w:r>
                <w:rPr>
                  <w:rStyle w:val="InternetLink"/>
                  <w:rFonts w:ascii="Arial;sans-serif" w:hAnsi="Arial;sans-serif"/>
                  <w:b w:val="false"/>
                  <w:color w:val="0000FF"/>
                  <w:sz w:val="20"/>
                  <w:u w:val="single"/>
                </w:rPr>
                <w:t>56</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163">
              <w:r>
                <w:rPr>
                  <w:rStyle w:val="InternetLink"/>
                  <w:rFonts w:ascii="Arial;sans-serif" w:hAnsi="Arial;sans-serif"/>
                  <w:b w:val="false"/>
                  <w:color w:val="0000FF"/>
                  <w:sz w:val="20"/>
                  <w:u w:val="single"/>
                </w:rPr>
                <w:t>Notes to Consolidated Financial Statements</w:t>
              </w:r>
            </w:hyperlink>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386c6e1feb425e90d22f2f5c682cf0_163">
              <w:r>
                <w:rPr>
                  <w:rStyle w:val="InternetLink"/>
                  <w:rFonts w:ascii="Arial;sans-serif" w:hAnsi="Arial;sans-serif"/>
                  <w:b w:val="false"/>
                  <w:color w:val="0000FF"/>
                  <w:sz w:val="20"/>
                  <w:u w:val="single"/>
                </w:rPr>
                <w:t>56</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9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386c6e1feb425e90d22f2f5c682cf0_271">
              <w:r>
                <w:rPr>
                  <w:rStyle w:val="InternetLink"/>
                  <w:rFonts w:ascii="Arial;sans-serif" w:hAnsi="Arial;sans-serif"/>
                  <w:b w:val="false"/>
                  <w:color w:val="0000FF"/>
                  <w:sz w:val="20"/>
                  <w:u w:val="single"/>
                </w:rPr>
                <w:t>Exhibits</w:t>
              </w:r>
            </w:hyperlink>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386c6e1feb425e90d22f2f5c682cf0_271">
              <w:r>
                <w:rPr>
                  <w:rStyle w:val="InternetLink"/>
                  <w:rFonts w:ascii="Arial;sans-serif" w:hAnsi="Arial;sans-serif"/>
                  <w:b w:val="false"/>
                  <w:color w:val="0000FF"/>
                  <w:sz w:val="20"/>
                  <w:u w:val="single"/>
                </w:rPr>
                <w:t>102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125"/>
        <w:gridCol w:w="110"/>
        <w:gridCol w:w="110"/>
        <w:gridCol w:w="110"/>
        <w:gridCol w:w="110"/>
        <w:gridCol w:w="110"/>
        <w:gridCol w:w="114"/>
        <w:gridCol w:w="114"/>
        <w:gridCol w:w="114"/>
        <w:gridCol w:w="2713"/>
        <w:gridCol w:w="2670"/>
        <w:gridCol w:w="3805"/>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3805" w:type="dxa"/>
            <w:tcBorders/>
            <w:vAlign w:val="center"/>
          </w:tcPr>
          <w:p>
            <w:pPr>
              <w:pStyle w:val="TableContents"/>
              <w:bidi w:val="0"/>
              <w:spacing w:before="0" w:after="283"/>
              <w:jc w:val="left"/>
              <w:rPr>
                <w:sz w:val="4"/>
                <w:szCs w:val="4"/>
              </w:rPr>
            </w:pPr>
            <w:r>
              <w:rPr>
                <w:sz w:val="4"/>
                <w:szCs w:val="4"/>
              </w:rPr>
            </w:r>
          </w:p>
        </w:tc>
      </w:tr>
      <w:tr>
        <w:trPr/>
        <w:tc>
          <w:tcPr>
            <w:tcW w:w="101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No.</w:t>
            </w:r>
          </w:p>
        </w:tc>
        <w:tc>
          <w:tcPr>
            <w:tcW w:w="9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r>
      <w:tr>
        <w:trPr/>
        <w:tc>
          <w:tcPr>
            <w:tcW w:w="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0"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Plan of Acquisition</w:t>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9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8"/>
                  <w:u w:val="single"/>
                </w:rPr>
                <w:t>Equity Purchase Agreement, dated as of August 3, 2023, by and among Hasbro, Inc., Lions Gate Entertainment Corp., Lions Gate Entertainment Inc. and Lions Gate International Motion Pictures S.à.r.l. (Incorporated by reference to Exhibit 2.01 to the Company’s Current Report on Form 8-K filed August 7, 2023, File No. 1-6682.)</w:t>
              </w:r>
            </w:hyperlink>
          </w:p>
        </w:tc>
      </w:tr>
      <w:tr>
        <w:trPr/>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Articles of Incorporation and Bylaws</w:t>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9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8"/>
                  <w:u w:val="single"/>
                </w:rPr>
                <w:t>Restated Articles of Incorporation of the Company. (Incorporated by reference to Exhibit 3.1 to the Company’s Quarterly Report on Form 10-Q for the period ended July 2, 2000, File No. 1-6682.)</w:t>
              </w:r>
            </w:hyperlink>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w:t>
            </w:r>
          </w:p>
        </w:tc>
        <w:tc>
          <w:tcPr>
            <w:tcW w:w="9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Amendment to Articles of Incorporation, dated June 28, 2000. (Incorporated by reference to Exhibit 3.4 to the Company’s Quarterly Report on Form 10-Q for the period ended July 2, 2000, File No. 1-6682.)</w:t>
              </w:r>
            </w:hyperlink>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w:t>
            </w:r>
          </w:p>
        </w:tc>
        <w:tc>
          <w:tcPr>
            <w:tcW w:w="9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8"/>
                  <w:u w:val="single"/>
                </w:rPr>
                <w:t>Amendment to Articles of Incorporation, dated May 19, 2003. (Incorporated by reference to Exhibit 3.3 to the Company’s Quarterly Report on Form 10-Q for the period ended June 29, 2003, File No.  1-6682.)</w:t>
              </w:r>
            </w:hyperlink>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w:t>
            </w:r>
          </w:p>
        </w:tc>
        <w:tc>
          <w:tcPr>
            <w:tcW w:w="9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8"/>
                  <w:u w:val="single"/>
                </w:rPr>
                <w:t>Second Amended and Restated Bylaws of the Company. (Incorporated by reference to Exhibit 3.1 to the Company’s Current Report on Form 8-K dated September 30, 2022, File No. 1-6682.)</w:t>
              </w:r>
            </w:hyperlink>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w:t>
            </w:r>
          </w:p>
        </w:tc>
        <w:tc>
          <w:tcPr>
            <w:tcW w:w="9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8"/>
                  <w:u w:val="single"/>
                </w:rPr>
                <w:t>Certificate of Designations of Series C Junior Participating Preference Stock of Hasbro, Inc. dated June 29, 1999. (Incorporated by reference to Exhibit 3.2 to the Company’s Quarterly Report on Form 10-Q for the period ended July 2, 2000, File No. 1-6682.)</w:t>
              </w:r>
            </w:hyperlink>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w:t>
            </w:r>
          </w:p>
        </w:tc>
        <w:tc>
          <w:tcPr>
            <w:tcW w:w="9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8"/>
                  <w:u w:val="single"/>
                </w:rPr>
                <w:t>Certificate of Vote(s) authorizing a decrease of class or series of any class of shares. (Incorporated by reference to Exhibit 3.3 to the Company’s Quarterly Report on Form 10-Q for the period ended July 2, 2000, File No. 1-6682.)</w:t>
              </w:r>
            </w:hyperlink>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Instruments defining the rights of security holders, including indentures.</w:t>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9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8"/>
                  <w:u w:val="single"/>
                </w:rPr>
                <w:t>Indenture, dated as of July 17, 1998, by and between the Company and The Bank of New York Mellon Trust Company, N.A. as successor Trustee to Citibank, N.A. (Incorporated by reference to Exhibit 4.1 to the Company’s Current Report on Form 8-K dated July 14, 1998, File No. 1-6682.)</w:t>
              </w:r>
            </w:hyperlink>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w:t>
            </w:r>
          </w:p>
        </w:tc>
        <w:tc>
          <w:tcPr>
            <w:tcW w:w="9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8"/>
                  <w:u w:val="single"/>
                </w:rPr>
                <w:t>Indenture, dated as of March 15, 2000, by and between the Company and The Bank of New York Mellon Trust Company, N.A. as successor Trustee to the Bank of Nova Scotia Trust Company of New York. (Incorporated by reference to Exhibit 4(b)(i) to the Company’s Annual Report on Form 10-K for the Fiscal Year Ended December 26, 1999, File No. 1-6682.)</w:t>
              </w:r>
            </w:hyperlink>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w:t>
            </w:r>
          </w:p>
        </w:tc>
        <w:tc>
          <w:tcPr>
            <w:tcW w:w="9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8"/>
                  <w:u w:val="single"/>
                </w:rPr>
                <w:t>First Supplemental Indenture, dated as of September 17, 2007, between the Company and The Bank of New York Mellon Trust Company, N.A. as successor Trustee to the Bank of Nova Scotia Trust Company of New York. (Incorporated by reference to Exhibit 4.1 to the Company’s Current Report on Form 8-K filed September 17, 2007, File No. 1-6682.)</w:t>
              </w:r>
            </w:hyperlink>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w:t>
            </w:r>
          </w:p>
        </w:tc>
        <w:tc>
          <w:tcPr>
            <w:tcW w:w="9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18"/>
                  <w:u w:val="single"/>
                </w:rPr>
                <w:t>Second Supplemental Indenture, dated as of May 13, 2009, between the Company and The Bank of New York Mellon Trust Company, N.A. as successor Trustee to the Bank of Nova Scotia Trust Company of New York. (Incorporated by reference to Exhibit 4.1 to the Company’s Current Report on Form 8-K filed May 13, 2009, File No. 1-6682.)</w:t>
              </w:r>
            </w:hyperlink>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w:t>
            </w:r>
          </w:p>
        </w:tc>
        <w:tc>
          <w:tcPr>
            <w:tcW w:w="9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18"/>
                  <w:u w:val="single"/>
                </w:rPr>
                <w:t>Third Supplemental Indenture, dated as of March 11, 2010, between the Company and The Bank of New York Mellon Trust Company, N.A. as successor Trustee to the Bank of Nova Scotia Trust Company of New York. (Incorporated by reference to Exhibit 4.1 to the Company’s Current Report on Form 8-K filed March 11, 2010, File No. 1-6682.)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7"/>
        <w:gridCol w:w="112"/>
        <w:gridCol w:w="112"/>
        <w:gridCol w:w="110"/>
        <w:gridCol w:w="110"/>
        <w:gridCol w:w="110"/>
        <w:gridCol w:w="113"/>
        <w:gridCol w:w="113"/>
        <w:gridCol w:w="113"/>
        <w:gridCol w:w="2735"/>
        <w:gridCol w:w="2659"/>
        <w:gridCol w:w="3791"/>
      </w:tblGrid>
      <w:tr>
        <w:trPr/>
        <w:tc>
          <w:tcPr>
            <w:tcW w:w="1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r>
      <w:tr>
        <w:trPr/>
        <w:tc>
          <w:tcPr>
            <w:tcW w:w="10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No.</w:t>
            </w:r>
          </w:p>
        </w:tc>
        <w:tc>
          <w:tcPr>
            <w:tcW w:w="9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w:t>
            </w:r>
          </w:p>
        </w:tc>
        <w:tc>
          <w:tcPr>
            <w:tcW w:w="9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18"/>
                  <w:u w:val="single"/>
                </w:rPr>
                <w:t>Fourth Supplemental Indenture, dated as of May 13, 2014, between the Company and The Bank of New York Mellon Trust Company, N.A. as successor Trustee to the Bank of Nova Scotia Trust Company of New York.  (Incorporated by reference to Exhibit 4.1 to the Company’s Current Report on Form 8-K filed May 13, 2014, File No. 1-6682.)</w:t>
              </w:r>
            </w:hyperlink>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w:t>
            </w:r>
          </w:p>
        </w:tc>
        <w:tc>
          <w:tcPr>
            <w:tcW w:w="9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18"/>
                  <w:u w:val="single"/>
                </w:rPr>
                <w:t>Fifth Supplemental Indenture, dated September 13, 2017, between the Company and The Bank of New York Mellon Trust Company, N.A. as successor Trustee to the Bank of Nova Scotia Trust Company of New York. (Incorporated by reference to Exhibit 4.1 to the Company’s Current Report on Form 8-K filed September 13, 2017, File No. 1-6682.)</w:t>
              </w:r>
            </w:hyperlink>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w:t>
            </w:r>
          </w:p>
        </w:tc>
        <w:tc>
          <w:tcPr>
            <w:tcW w:w="9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18"/>
                  <w:u w:val="single"/>
                </w:rPr>
                <w:t>Sixth Supplemental Indenture dated as of November 19, 2019, among the Company and The Bank of New York Mellon Trust Company, N.A. and U.S. Bank, National Association, supplementing the Indenture dated as of March 15, 2000. (Incorporated by reference to Exhibit 1.2 to the Company’s Current Report on Form 8-K filed November 19, 2019, File No. 1-6682.)</w:t>
              </w:r>
            </w:hyperlink>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w:t>
            </w:r>
          </w:p>
        </w:tc>
        <w:tc>
          <w:tcPr>
            <w:tcW w:w="9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18"/>
                  <w:u w:val="single"/>
                </w:rPr>
                <w:t>Seventh Supplemental Indenture dated as of May 14, 2024, among the Company and The Bank of New York Mellon Trust Company, N.A. and U.S. Bank, National Association, supplementing the Indenture dated as of March 15, 2000. (Incorporated by reference to Exhibit 4.2 to the Company’s Current Report on Form 8-K filed May 14, 2024, File No. 1-6682.)</w:t>
              </w:r>
            </w:hyperlink>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w:t>
            </w:r>
          </w:p>
        </w:tc>
        <w:tc>
          <w:tcPr>
            <w:tcW w:w="918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Arial;sans-serif" w:hAnsi="Arial;sans-serif"/>
                  <w:b w:val="false"/>
                  <w:color w:val="0000FF"/>
                  <w:sz w:val="18"/>
                  <w:u w:val="single"/>
                </w:rPr>
                <w:t>Description of the Company’s Common Stock, $0.50 par value per share, registered pursuant to Section 12 of the Exchange Act. (Incorporated by reference to Exhibit 4.1 to the Company’s Annual Report on Form 10-K for the year ended December 29, 2019, File No. 1-6682.)</w:t>
              </w:r>
            </w:hyperlink>
          </w:p>
        </w:tc>
      </w:tr>
      <w:tr>
        <w:trPr/>
        <w:tc>
          <w:tcPr>
            <w:tcW w:w="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 Contracts</w:t>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w:t>
            </w:r>
          </w:p>
        </w:tc>
        <w:tc>
          <w:tcPr>
            <w:tcW w:w="9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18"/>
                  <w:u w:val="single"/>
                </w:rPr>
                <w:t>Third Amended and Restated Revolving Credit Agreement, dated September 5, 2023, by and among Hasbro, Inc., Hasbro SA, Bank of America, N.A., and the other financial institutions party thereto (Incorporated by reference to Exhibit 10.1 to the Company’s Current Report on Form 8-K filed September 6, 2023, File No. 1-6682.)</w:t>
              </w:r>
            </w:hyperlink>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w:t>
            </w:r>
          </w:p>
        </w:tc>
        <w:tc>
          <w:tcPr>
            <w:tcW w:w="9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80"/>
                  <w:sz w:val="18"/>
                  <w:u w:val="single"/>
                </w:rPr>
                <w:t>F</w:t>
              </w:r>
            </w:hyperlink>
            <w:hyperlink r:id="rId21">
              <w:r>
                <w:rPr>
                  <w:rStyle w:val="InternetLink"/>
                  <w:rFonts w:ascii="Arial;sans-serif" w:hAnsi="Arial;sans-serif"/>
                  <w:b w:val="false"/>
                  <w:color w:val="000080"/>
                  <w:sz w:val="18"/>
                  <w:u w:val="single"/>
                </w:rPr>
                <w:t>ourth Amended and R</w:t>
              </w:r>
            </w:hyperlink>
            <w:hyperlink r:id="rId22">
              <w:r>
                <w:rPr>
                  <w:rStyle w:val="InternetLink"/>
                  <w:rFonts w:ascii="Arial;sans-serif" w:hAnsi="Arial;sans-serif"/>
                  <w:b w:val="false"/>
                  <w:color w:val="000080"/>
                  <w:sz w:val="18"/>
                  <w:u w:val="single"/>
                </w:rPr>
                <w:t>estated Revolving Credit Agreement, date</w:t>
              </w:r>
            </w:hyperlink>
            <w:hyperlink r:id="rId23">
              <w:r>
                <w:rPr>
                  <w:rStyle w:val="InternetLink"/>
                  <w:rFonts w:ascii="Arial;sans-serif" w:hAnsi="Arial;sans-serif"/>
                  <w:b w:val="false"/>
                  <w:color w:val="000080"/>
                  <w:sz w:val="18"/>
                  <w:u w:val="single"/>
                </w:rPr>
                <w:t xml:space="preserve">d February 20, 2026, by and </w:t>
              </w:r>
            </w:hyperlink>
            <w:hyperlink r:id="rId24">
              <w:r>
                <w:rPr>
                  <w:rStyle w:val="InternetLink"/>
                  <w:rFonts w:ascii="Arial;sans-serif" w:hAnsi="Arial;sans-serif"/>
                  <w:b w:val="false"/>
                  <w:color w:val="000080"/>
                  <w:sz w:val="18"/>
                  <w:u w:val="single"/>
                </w:rPr>
                <w:t>amo</w:t>
              </w:r>
            </w:hyperlink>
            <w:hyperlink r:id="rId25">
              <w:r>
                <w:rPr>
                  <w:rStyle w:val="InternetLink"/>
                  <w:rFonts w:ascii="Arial;sans-serif" w:hAnsi="Arial;sans-serif"/>
                  <w:b w:val="false"/>
                  <w:color w:val="000080"/>
                  <w:sz w:val="18"/>
                  <w:u w:val="single"/>
                </w:rPr>
                <w:t>ng Hasbro, Inc.</w:t>
              </w:r>
            </w:hyperlink>
            <w:hyperlink r:id="rId26">
              <w:r>
                <w:rPr>
                  <w:rStyle w:val="InternetLink"/>
                  <w:rFonts w:ascii="Arial;sans-serif" w:hAnsi="Arial;sans-serif"/>
                  <w:b w:val="false"/>
                  <w:color w:val="000080"/>
                  <w:sz w:val="18"/>
                  <w:u w:val="single"/>
                </w:rPr>
                <w:t>,</w:t>
              </w:r>
            </w:hyperlink>
            <w:hyperlink r:id="rId27">
              <w:r>
                <w:rPr>
                  <w:rStyle w:val="InternetLink"/>
                  <w:rFonts w:ascii="Arial;sans-serif" w:hAnsi="Arial;sans-serif"/>
                  <w:b w:val="false"/>
                  <w:color w:val="000080"/>
                  <w:sz w:val="18"/>
                  <w:u w:val="single"/>
                </w:rPr>
                <w:t xml:space="preserve"> </w:t>
              </w:r>
            </w:hyperlink>
            <w:hyperlink r:id="rId28">
              <w:r>
                <w:rPr>
                  <w:rStyle w:val="InternetLink"/>
                  <w:rFonts w:ascii="Arial;sans-serif" w:hAnsi="Arial;sans-serif"/>
                  <w:b w:val="false"/>
                  <w:color w:val="000080"/>
                  <w:sz w:val="18"/>
                  <w:u w:val="single"/>
                </w:rPr>
                <w:t>Bank of A</w:t>
              </w:r>
            </w:hyperlink>
            <w:hyperlink r:id="rId29">
              <w:r>
                <w:rPr>
                  <w:rStyle w:val="InternetLink"/>
                  <w:rFonts w:ascii="Arial;sans-serif" w:hAnsi="Arial;sans-serif"/>
                  <w:b w:val="false"/>
                  <w:color w:val="000080"/>
                  <w:sz w:val="18"/>
                  <w:u w:val="single"/>
                </w:rPr>
                <w:t>merica</w:t>
              </w:r>
            </w:hyperlink>
            <w:hyperlink r:id="rId30">
              <w:r>
                <w:rPr>
                  <w:rStyle w:val="InternetLink"/>
                  <w:rFonts w:ascii="Arial;sans-serif" w:hAnsi="Arial;sans-serif"/>
                  <w:b w:val="false"/>
                  <w:color w:val="000080"/>
                  <w:sz w:val="18"/>
                  <w:u w:val="single"/>
                </w:rPr>
                <w:t>,</w:t>
              </w:r>
            </w:hyperlink>
            <w:hyperlink r:id="rId31">
              <w:r>
                <w:rPr>
                  <w:rStyle w:val="InternetLink"/>
                  <w:rFonts w:ascii="Arial;sans-serif" w:hAnsi="Arial;sans-serif"/>
                  <w:b w:val="false"/>
                  <w:color w:val="000080"/>
                  <w:sz w:val="18"/>
                  <w:u w:val="single"/>
                </w:rPr>
                <w:t xml:space="preserve"> </w:t>
              </w:r>
            </w:hyperlink>
            <w:hyperlink r:id="rId32">
              <w:r>
                <w:rPr>
                  <w:rStyle w:val="InternetLink"/>
                  <w:rFonts w:ascii="Arial;sans-serif" w:hAnsi="Arial;sans-serif"/>
                  <w:b w:val="false"/>
                  <w:color w:val="000080"/>
                  <w:sz w:val="18"/>
                  <w:u w:val="single"/>
                </w:rPr>
                <w:t>N.A.</w:t>
              </w:r>
            </w:hyperlink>
            <w:hyperlink r:id="rId33">
              <w:r>
                <w:rPr>
                  <w:rStyle w:val="InternetLink"/>
                  <w:rFonts w:ascii="Arial;sans-serif" w:hAnsi="Arial;sans-serif"/>
                  <w:b w:val="false"/>
                  <w:color w:val="000080"/>
                  <w:sz w:val="18"/>
                  <w:u w:val="single"/>
                </w:rPr>
                <w:t xml:space="preserve">, and </w:t>
              </w:r>
            </w:hyperlink>
            <w:hyperlink r:id="rId34">
              <w:r>
                <w:rPr>
                  <w:rStyle w:val="InternetLink"/>
                  <w:rFonts w:ascii="Arial;sans-serif" w:hAnsi="Arial;sans-serif"/>
                  <w:b w:val="false"/>
                  <w:color w:val="000080"/>
                  <w:sz w:val="18"/>
                  <w:u w:val="single"/>
                </w:rPr>
                <w:t>cer</w:t>
              </w:r>
            </w:hyperlink>
            <w:hyperlink r:id="rId35">
              <w:r>
                <w:rPr>
                  <w:rStyle w:val="InternetLink"/>
                  <w:rFonts w:ascii="Arial;sans-serif" w:hAnsi="Arial;sans-serif"/>
                  <w:b w:val="false"/>
                  <w:color w:val="000080"/>
                  <w:sz w:val="18"/>
                  <w:u w:val="single"/>
                </w:rPr>
                <w:t>tain</w:t>
              </w:r>
            </w:hyperlink>
            <w:hyperlink r:id="rId36">
              <w:r>
                <w:rPr>
                  <w:rStyle w:val="InternetLink"/>
                  <w:rFonts w:ascii="Arial;sans-serif" w:hAnsi="Arial;sans-serif"/>
                  <w:b w:val="false"/>
                  <w:color w:val="000080"/>
                  <w:sz w:val="18"/>
                  <w:u w:val="single"/>
                </w:rPr>
                <w:t xml:space="preserve"> other</w:t>
              </w:r>
            </w:hyperlink>
            <w:hyperlink r:id="rId37">
              <w:r>
                <w:rPr>
                  <w:rStyle w:val="InternetLink"/>
                  <w:rFonts w:ascii="Arial;sans-serif" w:hAnsi="Arial;sans-serif"/>
                  <w:b w:val="false"/>
                  <w:color w:val="000080"/>
                  <w:sz w:val="18"/>
                  <w:u w:val="single"/>
                </w:rPr>
                <w:t xml:space="preserve"> </w:t>
              </w:r>
            </w:hyperlink>
            <w:hyperlink r:id="rId38">
              <w:r>
                <w:rPr>
                  <w:rStyle w:val="InternetLink"/>
                  <w:rFonts w:ascii="Arial;sans-serif" w:hAnsi="Arial;sans-serif"/>
                  <w:b w:val="false"/>
                  <w:color w:val="000080"/>
                  <w:sz w:val="18"/>
                  <w:u w:val="single"/>
                </w:rPr>
                <w:t xml:space="preserve">L/C </w:t>
              </w:r>
            </w:hyperlink>
            <w:hyperlink r:id="rId39">
              <w:r>
                <w:rPr>
                  <w:rStyle w:val="InternetLink"/>
                  <w:rFonts w:ascii="Arial;sans-serif" w:hAnsi="Arial;sans-serif"/>
                  <w:b w:val="false"/>
                  <w:color w:val="000080"/>
                  <w:sz w:val="18"/>
                  <w:u w:val="single"/>
                </w:rPr>
                <w:t>issuers</w:t>
              </w:r>
            </w:hyperlink>
            <w:hyperlink r:id="rId40">
              <w:r>
                <w:rPr>
                  <w:rStyle w:val="InternetLink"/>
                  <w:rFonts w:ascii="Arial;sans-serif" w:hAnsi="Arial;sans-serif"/>
                  <w:b w:val="false"/>
                  <w:color w:val="000080"/>
                  <w:sz w:val="18"/>
                  <w:u w:val="single"/>
                </w:rPr>
                <w:t xml:space="preserve"> party t</w:t>
              </w:r>
            </w:hyperlink>
            <w:hyperlink r:id="rId41">
              <w:r>
                <w:rPr>
                  <w:rStyle w:val="InternetLink"/>
                  <w:rFonts w:ascii="Arial;sans-serif" w:hAnsi="Arial;sans-serif"/>
                  <w:b w:val="false"/>
                  <w:color w:val="000080"/>
                  <w:sz w:val="18"/>
                  <w:u w:val="single"/>
                </w:rPr>
                <w:t>her</w:t>
              </w:r>
            </w:hyperlink>
            <w:hyperlink r:id="rId42">
              <w:r>
                <w:rPr>
                  <w:rStyle w:val="InternetLink"/>
                  <w:rFonts w:ascii="Arial;sans-serif" w:hAnsi="Arial;sans-serif"/>
                  <w:b w:val="false"/>
                  <w:color w:val="000080"/>
                  <w:sz w:val="18"/>
                  <w:u w:val="single"/>
                </w:rPr>
                <w:t>eto (Incorporated by reference to Exhibit 10.1 to the Com</w:t>
              </w:r>
            </w:hyperlink>
            <w:hyperlink r:id="rId43">
              <w:r>
                <w:rPr>
                  <w:rStyle w:val="InternetLink"/>
                  <w:rFonts w:ascii="Arial;sans-serif" w:hAnsi="Arial;sans-serif"/>
                  <w:b w:val="false"/>
                  <w:color w:val="000080"/>
                  <w:sz w:val="18"/>
                  <w:u w:val="single"/>
                </w:rPr>
                <w:t>pany's Current Report</w:t>
              </w:r>
            </w:hyperlink>
            <w:hyperlink r:id="rId44">
              <w:r>
                <w:rPr>
                  <w:rStyle w:val="InternetLink"/>
                  <w:rFonts w:ascii="Arial;sans-serif" w:hAnsi="Arial;sans-serif"/>
                  <w:b w:val="false"/>
                  <w:color w:val="000080"/>
                  <w:sz w:val="18"/>
                  <w:u w:val="single"/>
                </w:rPr>
                <w:t xml:space="preserve"> on Form </w:t>
              </w:r>
            </w:hyperlink>
            <w:hyperlink r:id="rId45">
              <w:r>
                <w:rPr>
                  <w:rStyle w:val="InternetLink"/>
                  <w:rFonts w:ascii="Arial;sans-serif" w:hAnsi="Arial;sans-serif"/>
                  <w:b w:val="false"/>
                  <w:color w:val="000080"/>
                  <w:sz w:val="18"/>
                  <w:u w:val="single"/>
                </w:rPr>
                <w:t>8-K filed February 20, 2026, File No. 1-6682.)</w:t>
              </w:r>
            </w:hyperlink>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w:t>
            </w:r>
          </w:p>
        </w:tc>
        <w:tc>
          <w:tcPr>
            <w:tcW w:w="9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Arial;sans-serif" w:hAnsi="Arial;sans-serif"/>
                  <w:b w:val="false"/>
                  <w:color w:val="0000FF"/>
                  <w:sz w:val="18"/>
                  <w:u w:val="single"/>
                </w:rPr>
                <w:t>Form of Commercial Paper Deal Agreement. (Incorporated by reference to Exhibit 10.1 to the Company’s Current Report on Form 8-K filed January 28, 2011, File No. 1-6682.)</w:t>
              </w:r>
            </w:hyperlink>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w:t>
            </w:r>
          </w:p>
        </w:tc>
        <w:tc>
          <w:tcPr>
            <w:tcW w:w="9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Arial;sans-serif" w:hAnsi="Arial;sans-serif"/>
                  <w:b w:val="false"/>
                  <w:color w:val="0000FF"/>
                  <w:sz w:val="18"/>
                  <w:u w:val="single"/>
                </w:rPr>
                <w:t>Form of Issuing and Paying Agent Agreement. (Incorporated by reference to Exhibit 10.2 to the Company’s Current Report on Form 8-K filed January 28, 2011, File No. 1-6682.)</w:t>
              </w:r>
            </w:hyperlink>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w:t>
            </w:r>
          </w:p>
        </w:tc>
        <w:tc>
          <w:tcPr>
            <w:tcW w:w="9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Arial;sans-serif" w:hAnsi="Arial;sans-serif"/>
                  <w:b w:val="false"/>
                  <w:color w:val="0000FF"/>
                  <w:sz w:val="18"/>
                  <w:u w:val="single"/>
                </w:rPr>
                <w:t>Term Loan Agreement dated as of September 20, 2019, by and among Hasbro, Inc., Bank of America, N.A., and the other financial institutions party thereto. (Incorporated by reference to Exhibit 10.1 to the Company’s Current Report on Form 8-K filed on September 24, 2019, File No. 1-6682).</w:t>
              </w:r>
            </w:hyperlink>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w:t>
            </w:r>
          </w:p>
        </w:tc>
        <w:tc>
          <w:tcPr>
            <w:tcW w:w="9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Arial;sans-serif" w:hAnsi="Arial;sans-serif"/>
                  <w:b w:val="false"/>
                  <w:color w:val="0000FF"/>
                  <w:sz w:val="18"/>
                  <w:u w:val="single"/>
                </w:rPr>
                <w:t>First Amendment to Term Loan Agreement, dated April 12, 2023 (Incorporated by reference to Exhibit 10.2 to the Company’s Current Report on Form 8-K filed April 14, 2023, File No. 1-6682.)</w:t>
              </w:r>
            </w:hyperlink>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w:t>
            </w:r>
          </w:p>
        </w:tc>
        <w:tc>
          <w:tcPr>
            <w:tcW w:w="9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Arial;sans-serif" w:hAnsi="Arial;sans-serif"/>
                  <w:b w:val="false"/>
                  <w:color w:val="0000FF"/>
                  <w:sz w:val="18"/>
                  <w:u w:val="single"/>
                </w:rPr>
                <w:t>Second Amendment to Term Loan Agreement, dated August 3, 2023 (Incorporated by reference to Exhibit 10.2 to the Company’s Current Report on Form 8-K filed August 7, 2023, File No. 1-6682.)</w:t>
              </w:r>
            </w:hyperlink>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Compensation Plans and Arrangements</w:t>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w:t>
            </w:r>
          </w:p>
        </w:tc>
        <w:tc>
          <w:tcPr>
            <w:tcW w:w="9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Arial;sans-serif" w:hAnsi="Arial;sans-serif"/>
                  <w:b w:val="false"/>
                  <w:color w:val="0000FF"/>
                  <w:sz w:val="18"/>
                  <w:u w:val="single"/>
                </w:rPr>
                <w:t>Form of Director’s Indemnification Agreement. (Incorporated by reference to Exhibit 10(jj) to the Company’s Annual Report on Form 10-K for the Fiscal Year Ended December 30, 2007, File No. 1-6682.)</w:t>
              </w:r>
            </w:hyperlink>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w:t>
            </w:r>
          </w:p>
        </w:tc>
        <w:tc>
          <w:tcPr>
            <w:tcW w:w="9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Arial;sans-serif" w:hAnsi="Arial;sans-serif"/>
                  <w:b w:val="false"/>
                  <w:color w:val="0000FF"/>
                  <w:sz w:val="18"/>
                  <w:u w:val="single"/>
                </w:rPr>
                <w:t>Hasbro, Inc. Amended and Restated Deferred Compensation Plan for Non-Employee Directors. (Incorporated by reference to Exhibit 10(k) to the Company's Annual Report for the Fiscal Year Ended December 31, 2023, File No. 1-6682.)</w:t>
              </w:r>
            </w:hyperlink>
            <w:r>
              <w:rPr>
                <w:color w:val="000000"/>
              </w:rPr>
              <w:t xml:space="preserve"> </w:t>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(j)</w:t>
            </w:r>
          </w:p>
        </w:tc>
        <w:tc>
          <w:tcPr>
            <w:tcW w:w="9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Arial;sans-serif" w:hAnsi="Arial;sans-serif"/>
                <w:color w:val="0000FF"/>
              </w:rPr>
              <w:instrText xml:space="preserve"> HYPERLINK "https://www.sec.gov/Archives/edgar/data/46080/000119312517109540/d317230ddef14a.htm" \l "tx317230_60"</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Hasbro, Inc. Restated 2003 Stock Incentive Performance Plan. (Incorporated by reference to Appendix D to the definitive proxy statement for its 2017 Annual Meeting of Shareholders, File No. 1-6682.)</w:t>
            </w:r>
            <w:r>
              <w:rPr>
                <w:rStyle w:val="InternetLink"/>
                <w:sz w:val="18"/>
                <w:u w:val="single"/>
                <w:b w:val="false"/>
                <w:rFonts w:ascii="Arial;sans-serif" w:hAnsi="Arial;sans-serif"/>
                <w:color w:val="0000FF"/>
              </w:rPr>
              <w:fldChar w:fldCharType="end"/>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(k)</w:t>
            </w:r>
          </w:p>
        </w:tc>
        <w:tc>
          <w:tcPr>
            <w:tcW w:w="9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Arial;sans-serif" w:hAnsi="Arial;sans-serif"/>
                <w:color w:val="0000FF"/>
              </w:rPr>
              <w:instrText xml:space="preserve"> HYPERLINK "https://www.sec.gov/Archives/edgar/data/46080/000119312517109540/d317230ddef14a.htm" \l "tx317230_59"</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First Amendment to Hasbro, Inc. Restated 2003 Stock Incentive Performance Plan. (Incorporated by reference to Appendix C to the definitive proxy statement for the Company’s 2017 Annual Meeting of Shareholders, File No. 1-6682.)</w:t>
            </w:r>
            <w:r>
              <w:rPr>
                <w:rStyle w:val="InternetLink"/>
                <w:sz w:val="18"/>
                <w:u w:val="single"/>
                <w:b w:val="false"/>
                <w:rFonts w:ascii="Arial;sans-serif" w:hAnsi="Arial;sans-serif"/>
                <w:color w:val="0000FF"/>
              </w:rPr>
              <w:fldChar w:fldCharType="end"/>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w:t>
            </w:r>
          </w:p>
        </w:tc>
        <w:tc>
          <w:tcPr>
            <w:tcW w:w="9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Arial;sans-serif" w:hAnsi="Arial;sans-serif"/>
                <w:color w:val="0000FF"/>
              </w:rPr>
              <w:instrText xml:space="preserve"> HYPERLINK "https://www.sec.gov/Archives/edgar/data/46080/000119312520093312/d891356ddef14a.htm" \l "toc891356_62"</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Second Amendment to Hasbro, Inc. Restated 2003 Stock Incentive Performance Plan. (Incorporated by reference to Appendix C to the definitive proxy statement for the Company’s 2020 Annual Meeting of Shareholders, File No. 1-6682.)</w:t>
            </w:r>
            <w:r>
              <w:rPr>
                <w:rStyle w:val="InternetLink"/>
                <w:sz w:val="18"/>
                <w:u w:val="single"/>
                <w:b w:val="false"/>
                <w:rFonts w:ascii="Arial;sans-serif" w:hAnsi="Arial;sans-serif"/>
                <w:color w:val="0000FF"/>
              </w:rPr>
              <w:fldChar w:fldCharType="end"/>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w:t>
            </w:r>
          </w:p>
        </w:tc>
        <w:tc>
          <w:tcPr>
            <w:tcW w:w="9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Arial;sans-serif" w:hAnsi="Arial;sans-serif"/>
                <w:color w:val="0000FF"/>
              </w:rPr>
              <w:instrText xml:space="preserve"> HYPERLINK "https://www.sec.gov/ix?doc=/Archives/edgar/data/0000046080/000119312523088813/d443850ddef14a.htm" \l "toc443850_34"</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Third Amendment to Hasbro, Inc. Restated 2003 Stock Incentive Performance Plan. (Incorporated by reference to Appendix C to the Company’s definitive proxy statement for its 2023 Annual Meeting of Shareholders, File No. 1-6682.)</w:t>
            </w:r>
            <w:r>
              <w:rPr>
                <w:rStyle w:val="InternetLink"/>
                <w:sz w:val="18"/>
                <w:u w:val="single"/>
                <w:b w:val="false"/>
                <w:rFonts w:ascii="Arial;sans-serif" w:hAnsi="Arial;sans-serif"/>
                <w:color w:val="0000FF"/>
              </w:rPr>
              <w:fldChar w:fldCharType="end"/>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w:t>
            </w:r>
          </w:p>
        </w:tc>
        <w:tc>
          <w:tcPr>
            <w:tcW w:w="9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Arial;sans-serif" w:hAnsi="Arial;sans-serif"/>
                <w:color w:val="0000FF"/>
              </w:rPr>
              <w:instrText xml:space="preserve"> HYPERLINK "https://www.sec.gov/ix?doc=/Archives/edgar/data/0000046080/000119312524085438/d814749ddef14a.htm" \l "toc814749_34"</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Fourth Amendment to Restated 2003 Stock Incentive Performance Plan. (Incorporated by reference to Appendix C to the Company’s definitive proxy statement for its 2024 Annual Meeting of Shareholders, File No. 1-6682.</w:t>
            </w:r>
            <w:r>
              <w:rPr>
                <w:rStyle w:val="InternetLink"/>
                <w:sz w:val="18"/>
                <w:u w:val="single"/>
                <w:b w:val="false"/>
                <w:rFonts w:ascii="Arial;sans-serif" w:hAnsi="Arial;sans-serif"/>
                <w:color w:val="0000FF"/>
              </w:rPr>
              <w:fldChar w:fldCharType="end"/>
            </w:r>
            <w:r>
              <w:rPr>
                <w:rFonts w:ascii="Arial;sans-serif" w:hAnsi="Arial;sans-serif"/>
                <w:b w:val="false"/>
                <w:color w:val="000000"/>
                <w:sz w:val="18"/>
              </w:rPr>
              <w:t>)</w:t>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w:t>
            </w:r>
          </w:p>
        </w:tc>
        <w:tc>
          <w:tcPr>
            <w:tcW w:w="9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Arial;sans-serif" w:hAnsi="Arial;sans-serif"/>
                  <w:b w:val="false"/>
                  <w:color w:val="0000FF"/>
                  <w:sz w:val="18"/>
                  <w:u w:val="single"/>
                </w:rPr>
                <w:t>Form of 2023 Stock Option Agreement under the Hasbro, Inc. Restated 2003 Stock Incentive Performance Plan. (Incorporated by reference to Exhibit 10.4 to the Company’s Quarterly Report on Form 10-Q for the period ended April 2, 2023, File No. 1-6682.)</w:t>
              </w:r>
            </w:hyperlink>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w:t>
            </w:r>
          </w:p>
        </w:tc>
        <w:tc>
          <w:tcPr>
            <w:tcW w:w="918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54">
              <w:r>
                <w:rPr>
                  <w:rStyle w:val="InternetLink"/>
                  <w:rFonts w:ascii="Arial;sans-serif" w:hAnsi="Arial;sans-serif"/>
                  <w:b w:val="false"/>
                  <w:color w:val="0000FF"/>
                  <w:sz w:val="18"/>
                  <w:u w:val="single"/>
                </w:rPr>
                <w:t>Form of 2024 Restricted Stock Unit Agreement under the Hasbro, Inc. Restated 2003 Stock Incentive Performance Plan. (Incorporated by reference to Exhibit 10.4 to the Company’s Quarterly Report on Form 10-Q for the period ended June 30, 2024, File No. 1-6682.)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3"/>
        <w:gridCol w:w="197"/>
        <w:gridCol w:w="199"/>
        <w:gridCol w:w="110"/>
        <w:gridCol w:w="110"/>
        <w:gridCol w:w="110"/>
        <w:gridCol w:w="131"/>
        <w:gridCol w:w="131"/>
        <w:gridCol w:w="133"/>
        <w:gridCol w:w="2628"/>
        <w:gridCol w:w="2561"/>
        <w:gridCol w:w="3652"/>
      </w:tblGrid>
      <w:tr>
        <w:trPr/>
        <w:tc>
          <w:tcPr>
            <w:tcW w:w="2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3652" w:type="dxa"/>
            <w:tcBorders/>
            <w:vAlign w:val="center"/>
          </w:tcPr>
          <w:p>
            <w:pPr>
              <w:pStyle w:val="TableContents"/>
              <w:bidi w:val="0"/>
              <w:spacing w:before="0" w:after="283"/>
              <w:jc w:val="left"/>
              <w:rPr>
                <w:sz w:val="4"/>
                <w:szCs w:val="4"/>
              </w:rPr>
            </w:pPr>
            <w:r>
              <w:rPr>
                <w:sz w:val="4"/>
                <w:szCs w:val="4"/>
              </w:rPr>
            </w:r>
          </w:p>
        </w:tc>
      </w:tr>
      <w:tr>
        <w:trPr/>
        <w:tc>
          <w:tcPr>
            <w:tcW w:w="13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No.</w:t>
            </w:r>
          </w:p>
        </w:tc>
        <w:tc>
          <w:tcPr>
            <w:tcW w:w="8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r>
      <w:tr>
        <w:trPr/>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(q)</w:t>
            </w:r>
          </w:p>
        </w:tc>
        <w:tc>
          <w:tcPr>
            <w:tcW w:w="8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Arial;sans-serif" w:hAnsi="Arial;sans-serif"/>
                  <w:b w:val="false"/>
                  <w:color w:val="0000FF"/>
                  <w:sz w:val="18"/>
                  <w:u w:val="single"/>
                </w:rPr>
                <w:t>Form of 2024 Contingent Stock Performance Award under the Hasbro, Inc. Restated 2003 Stock Incentive Performance Plan (Incorporated by reference to Exhibit 10.3 to the Company’s Quarterly Report on Form 10-Q for the period ended June 30, 2024, File No. 1-6682.)</w:t>
              </w:r>
            </w:hyperlink>
          </w:p>
        </w:tc>
      </w:tr>
      <w:tr>
        <w:trPr/>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w:t>
            </w:r>
          </w:p>
        </w:tc>
        <w:tc>
          <w:tcPr>
            <w:tcW w:w="8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Arial;sans-serif" w:hAnsi="Arial;sans-serif"/>
                  <w:b w:val="false"/>
                  <w:color w:val="000080"/>
                  <w:sz w:val="18"/>
                  <w:u w:val="single"/>
                </w:rPr>
                <w:t>Form of 202</w:t>
              </w:r>
            </w:hyperlink>
            <w:hyperlink r:id="rId57">
              <w:r>
                <w:rPr>
                  <w:rStyle w:val="InternetLink"/>
                  <w:rFonts w:ascii="Arial;sans-serif" w:hAnsi="Arial;sans-serif"/>
                  <w:b w:val="false"/>
                  <w:color w:val="000080"/>
                  <w:sz w:val="18"/>
                  <w:u w:val="single"/>
                </w:rPr>
                <w:t>5</w:t>
              </w:r>
            </w:hyperlink>
            <w:hyperlink r:id="rId58">
              <w:r>
                <w:rPr>
                  <w:rStyle w:val="InternetLink"/>
                  <w:rFonts w:ascii="Arial;sans-serif" w:hAnsi="Arial;sans-serif"/>
                  <w:b w:val="false"/>
                  <w:color w:val="000080"/>
                  <w:sz w:val="18"/>
                  <w:u w:val="single"/>
                </w:rPr>
                <w:t xml:space="preserve"> Restricted Stock Unit Agreement under the Hasbro, Inc. Restated 2003 Stock Incentive Performance Plan. (Incorporated by reference to Exhibit 10.</w:t>
              </w:r>
            </w:hyperlink>
            <w:hyperlink r:id="rId59">
              <w:r>
                <w:rPr>
                  <w:rStyle w:val="InternetLink"/>
                  <w:rFonts w:ascii="Arial;sans-serif" w:hAnsi="Arial;sans-serif"/>
                  <w:b w:val="false"/>
                  <w:color w:val="000080"/>
                  <w:sz w:val="18"/>
                  <w:u w:val="single"/>
                </w:rPr>
                <w:t>1</w:t>
              </w:r>
            </w:hyperlink>
            <w:hyperlink r:id="rId60">
              <w:r>
                <w:rPr>
                  <w:rStyle w:val="InternetLink"/>
                  <w:rFonts w:ascii="Arial;sans-serif" w:hAnsi="Arial;sans-serif"/>
                  <w:b w:val="false"/>
                  <w:color w:val="000080"/>
                  <w:sz w:val="18"/>
                  <w:u w:val="single"/>
                </w:rPr>
                <w:t xml:space="preserve"> to the Company’s Quarterly Report on Form 10-Q for the period ended </w:t>
              </w:r>
            </w:hyperlink>
            <w:hyperlink r:id="rId61">
              <w:r>
                <w:rPr>
                  <w:rStyle w:val="InternetLink"/>
                  <w:rFonts w:ascii="Arial;sans-serif" w:hAnsi="Arial;sans-serif"/>
                  <w:b w:val="false"/>
                  <w:color w:val="000080"/>
                  <w:sz w:val="18"/>
                  <w:u w:val="single"/>
                </w:rPr>
                <w:t>March</w:t>
              </w:r>
            </w:hyperlink>
            <w:hyperlink r:id="rId62">
              <w:r>
                <w:rPr>
                  <w:rStyle w:val="InternetLink"/>
                  <w:rFonts w:ascii="Arial;sans-serif" w:hAnsi="Arial;sans-serif"/>
                  <w:b w:val="false"/>
                  <w:color w:val="000080"/>
                  <w:sz w:val="18"/>
                  <w:u w:val="single"/>
                </w:rPr>
                <w:t xml:space="preserve"> 30, 202</w:t>
              </w:r>
            </w:hyperlink>
            <w:hyperlink r:id="rId63">
              <w:r>
                <w:rPr>
                  <w:rStyle w:val="InternetLink"/>
                  <w:rFonts w:ascii="Arial;sans-serif" w:hAnsi="Arial;sans-serif"/>
                  <w:b w:val="false"/>
                  <w:color w:val="000080"/>
                  <w:sz w:val="18"/>
                  <w:u w:val="single"/>
                </w:rPr>
                <w:t>5</w:t>
              </w:r>
            </w:hyperlink>
            <w:hyperlink r:id="rId64">
              <w:r>
                <w:rPr>
                  <w:rStyle w:val="InternetLink"/>
                  <w:rFonts w:ascii="Arial;sans-serif" w:hAnsi="Arial;sans-serif"/>
                  <w:b w:val="false"/>
                  <w:color w:val="000080"/>
                  <w:sz w:val="18"/>
                  <w:u w:val="single"/>
                </w:rPr>
                <w:t>, File No. 1-6682.)</w:t>
              </w:r>
            </w:hyperlink>
          </w:p>
        </w:tc>
      </w:tr>
      <w:tr>
        <w:trPr/>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w:t>
            </w:r>
          </w:p>
        </w:tc>
        <w:tc>
          <w:tcPr>
            <w:tcW w:w="8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Arial;sans-serif" w:hAnsi="Arial;sans-serif"/>
                  <w:b w:val="false"/>
                  <w:color w:val="000080"/>
                  <w:sz w:val="18"/>
                  <w:u w:val="single"/>
                </w:rPr>
                <w:t>Form of 202</w:t>
              </w:r>
            </w:hyperlink>
            <w:hyperlink r:id="rId66">
              <w:r>
                <w:rPr>
                  <w:rStyle w:val="InternetLink"/>
                  <w:rFonts w:ascii="Arial;sans-serif" w:hAnsi="Arial;sans-serif"/>
                  <w:b w:val="false"/>
                  <w:color w:val="000080"/>
                  <w:sz w:val="18"/>
                  <w:u w:val="single"/>
                </w:rPr>
                <w:t>5</w:t>
              </w:r>
            </w:hyperlink>
            <w:hyperlink r:id="rId67">
              <w:r>
                <w:rPr>
                  <w:rStyle w:val="InternetLink"/>
                  <w:rFonts w:ascii="Arial;sans-serif" w:hAnsi="Arial;sans-serif"/>
                  <w:b w:val="false"/>
                  <w:color w:val="000080"/>
                  <w:sz w:val="18"/>
                  <w:u w:val="single"/>
                </w:rPr>
                <w:t xml:space="preserve"> Contingent Stock Performance Award under the Hasbro, Inc. Restated 2003 Stock Incentive Performance Plan (Incorporated by reference to Exhibit 10.</w:t>
              </w:r>
            </w:hyperlink>
            <w:hyperlink r:id="rId68">
              <w:r>
                <w:rPr>
                  <w:rStyle w:val="InternetLink"/>
                  <w:rFonts w:ascii="Arial;sans-serif" w:hAnsi="Arial;sans-serif"/>
                  <w:b w:val="false"/>
                  <w:color w:val="000080"/>
                  <w:sz w:val="18"/>
                  <w:u w:val="single"/>
                </w:rPr>
                <w:t>2</w:t>
              </w:r>
            </w:hyperlink>
            <w:hyperlink r:id="rId69">
              <w:r>
                <w:rPr>
                  <w:rStyle w:val="InternetLink"/>
                  <w:rFonts w:ascii="Arial;sans-serif" w:hAnsi="Arial;sans-serif"/>
                  <w:b w:val="false"/>
                  <w:color w:val="000080"/>
                  <w:sz w:val="18"/>
                  <w:u w:val="single"/>
                </w:rPr>
                <w:t xml:space="preserve"> to the Company’s Quarterly Report on Form 10-Q for the period ended </w:t>
              </w:r>
            </w:hyperlink>
            <w:hyperlink r:id="rId70">
              <w:r>
                <w:rPr>
                  <w:rStyle w:val="InternetLink"/>
                  <w:rFonts w:ascii="Arial;sans-serif" w:hAnsi="Arial;sans-serif"/>
                  <w:b w:val="false"/>
                  <w:color w:val="000080"/>
                  <w:sz w:val="18"/>
                  <w:u w:val="single"/>
                </w:rPr>
                <w:t xml:space="preserve">March </w:t>
              </w:r>
            </w:hyperlink>
            <w:hyperlink r:id="rId71">
              <w:r>
                <w:rPr>
                  <w:rStyle w:val="InternetLink"/>
                  <w:rFonts w:ascii="Arial;sans-serif" w:hAnsi="Arial;sans-serif"/>
                  <w:b w:val="false"/>
                  <w:color w:val="000080"/>
                  <w:sz w:val="18"/>
                  <w:u w:val="single"/>
                </w:rPr>
                <w:t>30</w:t>
              </w:r>
            </w:hyperlink>
            <w:hyperlink r:id="rId72">
              <w:r>
                <w:rPr>
                  <w:rStyle w:val="InternetLink"/>
                  <w:rFonts w:ascii="Arial;sans-serif" w:hAnsi="Arial;sans-serif"/>
                  <w:b w:val="false"/>
                  <w:color w:val="000080"/>
                  <w:sz w:val="18"/>
                  <w:u w:val="single"/>
                </w:rPr>
                <w:t>, 202</w:t>
              </w:r>
            </w:hyperlink>
            <w:hyperlink r:id="rId73">
              <w:r>
                <w:rPr>
                  <w:rStyle w:val="InternetLink"/>
                  <w:rFonts w:ascii="Arial;sans-serif" w:hAnsi="Arial;sans-serif"/>
                  <w:b w:val="false"/>
                  <w:color w:val="000080"/>
                  <w:sz w:val="18"/>
                  <w:u w:val="single"/>
                </w:rPr>
                <w:t>5</w:t>
              </w:r>
            </w:hyperlink>
            <w:hyperlink r:id="rId74">
              <w:r>
                <w:rPr>
                  <w:rStyle w:val="InternetLink"/>
                  <w:rFonts w:ascii="Arial;sans-serif" w:hAnsi="Arial;sans-serif"/>
                  <w:b w:val="false"/>
                  <w:color w:val="000080"/>
                  <w:sz w:val="18"/>
                  <w:u w:val="single"/>
                </w:rPr>
                <w:t>, File No. 1-6682.)</w:t>
              </w:r>
            </w:hyperlink>
          </w:p>
        </w:tc>
      </w:tr>
      <w:tr>
        <w:trPr/>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w:t>
            </w:r>
          </w:p>
        </w:tc>
        <w:tc>
          <w:tcPr>
            <w:tcW w:w="8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Arial;sans-serif" w:hAnsi="Arial;sans-serif"/>
                  <w:b w:val="false"/>
                  <w:color w:val="0000FF"/>
                  <w:sz w:val="18"/>
                  <w:u w:val="single"/>
                </w:rPr>
                <w:t>Hasbro, Inc. Amended and Restated Nonqualified Deferred Compensation Plan. (Incorporated by reference to Exhibit 10(aaa) to the Company’s Annual Report on Form 10-K for the Fiscal Year ended December 28, 2008, File No. 1-6682.)</w:t>
              </w:r>
            </w:hyperlink>
          </w:p>
        </w:tc>
      </w:tr>
      <w:tr>
        <w:trPr/>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w:t>
            </w:r>
          </w:p>
        </w:tc>
        <w:tc>
          <w:tcPr>
            <w:tcW w:w="8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Arial;sans-serif" w:hAnsi="Arial;sans-serif"/>
                <w:color w:val="0000FF"/>
              </w:rPr>
              <w:instrText xml:space="preserve"> HYPERLINK "https://www.sec.gov/Archives/edgar/data/46080/000119312517109540/d317230ddef14a.htm" \l "tx317230_62"</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Hasbro, Inc. 2014 Senior Management Annual Performance Plan. (Incorporated by reference to Appendix F to the Company’s definitive proxy statement for its 2017 Annual Meeting of Shareholders, File No. 1-6682.)</w:t>
            </w:r>
            <w:r>
              <w:rPr>
                <w:rStyle w:val="InternetLink"/>
                <w:sz w:val="18"/>
                <w:u w:val="single"/>
                <w:b w:val="false"/>
                <w:rFonts w:ascii="Arial;sans-serif" w:hAnsi="Arial;sans-serif"/>
                <w:color w:val="0000FF"/>
              </w:rPr>
              <w:fldChar w:fldCharType="end"/>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w:t>
            </w:r>
          </w:p>
        </w:tc>
        <w:tc>
          <w:tcPr>
            <w:tcW w:w="8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Arial;sans-serif" w:hAnsi="Arial;sans-serif"/>
                <w:color w:val="0000FF"/>
              </w:rPr>
              <w:instrText xml:space="preserve"> HYPERLINK "https://www.sec.gov/Archives/edgar/data/46080/000119312517109540/d317230ddef14a.htm" \l "tx317230_61"</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First Amendment to Hasbro, Inc. 2014 Senior Management Annual Performance Plan. (Incorporated by reference to Appendix E to the Company’s definitive proxy statement for its 2017 Annual Meeting of Shareholders, File No. 1-6682.)</w:t>
            </w:r>
            <w:r>
              <w:rPr>
                <w:rStyle w:val="InternetLink"/>
                <w:sz w:val="18"/>
                <w:u w:val="single"/>
                <w:b w:val="false"/>
                <w:rFonts w:ascii="Arial;sans-serif" w:hAnsi="Arial;sans-serif"/>
                <w:color w:val="0000FF"/>
              </w:rPr>
              <w:fldChar w:fldCharType="end"/>
            </w:r>
          </w:p>
        </w:tc>
      </w:tr>
      <w:tr>
        <w:trPr/>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w:t>
            </w:r>
          </w:p>
        </w:tc>
        <w:tc>
          <w:tcPr>
            <w:tcW w:w="8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Arial;sans-serif" w:hAnsi="Arial;sans-serif"/>
                  <w:b w:val="false"/>
                  <w:color w:val="000080"/>
                  <w:sz w:val="18"/>
                  <w:u w:val="single"/>
                </w:rPr>
                <w:t>Hasbro, Inc. 202</w:t>
              </w:r>
            </w:hyperlink>
            <w:hyperlink r:id="rId77">
              <w:r>
                <w:rPr>
                  <w:rStyle w:val="InternetLink"/>
                  <w:rFonts w:ascii="Arial;sans-serif" w:hAnsi="Arial;sans-serif"/>
                  <w:b w:val="false"/>
                  <w:color w:val="000080"/>
                  <w:sz w:val="18"/>
                  <w:u w:val="single"/>
                </w:rPr>
                <w:t>5</w:t>
              </w:r>
            </w:hyperlink>
            <w:hyperlink r:id="rId78">
              <w:r>
                <w:rPr>
                  <w:rStyle w:val="InternetLink"/>
                  <w:rFonts w:ascii="Arial;sans-serif" w:hAnsi="Arial;sans-serif"/>
                  <w:b w:val="false"/>
                  <w:color w:val="000080"/>
                  <w:sz w:val="18"/>
                  <w:u w:val="single"/>
                </w:rPr>
                <w:t xml:space="preserve"> Performance Rewards Program (Incorporated by reference to Exhibit 10.1 to the Company’s Quarterly Report on Form 10-Q for the period ended </w:t>
              </w:r>
            </w:hyperlink>
            <w:hyperlink r:id="rId79">
              <w:r>
                <w:rPr>
                  <w:rStyle w:val="InternetLink"/>
                  <w:rFonts w:ascii="Arial;sans-serif" w:hAnsi="Arial;sans-serif"/>
                  <w:b w:val="false"/>
                  <w:color w:val="000080"/>
                  <w:sz w:val="18"/>
                  <w:u w:val="single"/>
                </w:rPr>
                <w:t>June 29</w:t>
              </w:r>
            </w:hyperlink>
            <w:hyperlink r:id="rId80">
              <w:r>
                <w:rPr>
                  <w:rStyle w:val="InternetLink"/>
                  <w:rFonts w:ascii="Arial;sans-serif" w:hAnsi="Arial;sans-serif"/>
                  <w:b w:val="false"/>
                  <w:color w:val="000080"/>
                  <w:sz w:val="18"/>
                  <w:u w:val="single"/>
                </w:rPr>
                <w:t>, 202</w:t>
              </w:r>
            </w:hyperlink>
            <w:hyperlink r:id="rId81">
              <w:r>
                <w:rPr>
                  <w:rStyle w:val="InternetLink"/>
                  <w:rFonts w:ascii="Arial;sans-serif" w:hAnsi="Arial;sans-serif"/>
                  <w:b w:val="false"/>
                  <w:color w:val="000080"/>
                  <w:sz w:val="18"/>
                  <w:u w:val="single"/>
                </w:rPr>
                <w:t>5</w:t>
              </w:r>
            </w:hyperlink>
            <w:hyperlink r:id="rId82">
              <w:r>
                <w:rPr>
                  <w:rStyle w:val="InternetLink"/>
                  <w:rFonts w:ascii="Arial;sans-serif" w:hAnsi="Arial;sans-serif"/>
                  <w:b w:val="false"/>
                  <w:color w:val="000080"/>
                  <w:sz w:val="18"/>
                  <w:u w:val="single"/>
                </w:rPr>
                <w:t>, File No</w:t>
              </w:r>
            </w:hyperlink>
            <w:hyperlink r:id="rId83">
              <w:r>
                <w:rPr>
                  <w:rStyle w:val="InternetLink"/>
                  <w:rFonts w:ascii="Arial;sans-serif" w:hAnsi="Arial;sans-serif"/>
                  <w:b w:val="false"/>
                  <w:color w:val="000080"/>
                  <w:sz w:val="18"/>
                  <w:u w:val="single"/>
                </w:rPr>
                <w:t>.</w:t>
              </w:r>
            </w:hyperlink>
            <w:hyperlink r:id="rId84">
              <w:r>
                <w:rPr>
                  <w:rStyle w:val="InternetLink"/>
                  <w:rFonts w:ascii="Arial;sans-serif" w:hAnsi="Arial;sans-serif"/>
                  <w:b w:val="false"/>
                  <w:color w:val="000080"/>
                  <w:sz w:val="18"/>
                  <w:u w:val="single"/>
                </w:rPr>
                <w:t xml:space="preserve"> </w:t>
              </w:r>
            </w:hyperlink>
            <w:hyperlink r:id="rId85">
              <w:r>
                <w:rPr>
                  <w:rStyle w:val="InternetLink"/>
                  <w:rFonts w:ascii="Arial;sans-serif" w:hAnsi="Arial;sans-serif"/>
                  <w:b w:val="false"/>
                  <w:color w:val="000080"/>
                  <w:sz w:val="18"/>
                  <w:u w:val="single"/>
                </w:rPr>
                <w:t>1-6682.)</w:t>
              </w:r>
            </w:hyperlink>
          </w:p>
        </w:tc>
      </w:tr>
      <w:tr>
        <w:trPr/>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(x)</w:t>
            </w:r>
          </w:p>
        </w:tc>
        <w:tc>
          <w:tcPr>
            <w:tcW w:w="8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Arial;sans-serif" w:hAnsi="Arial;sans-serif"/>
                  <w:b w:val="false"/>
                  <w:color w:val="0000FF"/>
                  <w:sz w:val="18"/>
                  <w:u w:val="single"/>
                </w:rPr>
                <w:t>Amended and Restated Employment Agreement with Chris Cocks, dated May 22, 2024 (Incorporated by reference to Exhibit 10.1 to the Company’s Current Report on Form 8-K filed with the SEC on May 24, 2024, File No. 1-6682.)</w:t>
              </w:r>
            </w:hyperlink>
          </w:p>
        </w:tc>
      </w:tr>
      <w:tr>
        <w:trPr/>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(y)</w:t>
            </w:r>
          </w:p>
        </w:tc>
        <w:tc>
          <w:tcPr>
            <w:tcW w:w="8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Arial;sans-serif" w:hAnsi="Arial;sans-serif"/>
                  <w:b w:val="false"/>
                  <w:color w:val="0000FF"/>
                  <w:sz w:val="18"/>
                  <w:u w:val="single"/>
                </w:rPr>
                <w:t>First Amendment to the Amended and Restated Employment Agreement with Chris Cocks (Incorporated by reference to Exhibit 10.1 to the Company's Quarterly Report on Form 10-Q for the period ended September 28, 2025, File No 1-6682.)</w:t>
              </w:r>
            </w:hyperlink>
          </w:p>
        </w:tc>
      </w:tr>
      <w:tr>
        <w:trPr/>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(z)</w:t>
            </w:r>
          </w:p>
        </w:tc>
        <w:tc>
          <w:tcPr>
            <w:tcW w:w="8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Arial;sans-serif" w:hAnsi="Arial;sans-serif"/>
                  <w:b w:val="false"/>
                  <w:color w:val="0000FF"/>
                  <w:sz w:val="18"/>
                  <w:u w:val="single"/>
                </w:rPr>
                <w:t>Letter Agreement with Gina Goetter dated April 3, 2023 (Incorporated by reference to Exhibit 10.2 to the Company’s Quarterly Report on Form 10-Q for the period ended April 2, 2023. File No. 1-6682.)</w:t>
              </w:r>
            </w:hyperlink>
          </w:p>
        </w:tc>
      </w:tr>
      <w:tr>
        <w:trPr/>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(aa)</w:t>
            </w:r>
          </w:p>
        </w:tc>
        <w:tc>
          <w:tcPr>
            <w:tcW w:w="8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Arial;sans-serif" w:hAnsi="Arial;sans-serif"/>
                  <w:b w:val="false"/>
                  <w:color w:val="0000FF"/>
                  <w:sz w:val="18"/>
                  <w:u w:val="single"/>
                </w:rPr>
                <w:t>Letter Agreement with Tim Kilpin dated March 29, 2023 (Incorporated by reference to Exhibit 10.3 to the Company’s Quarterly Report on Form 10-Q for the period ended April 2, 2023. File No. 1-6682.)</w:t>
              </w:r>
            </w:hyperlink>
          </w:p>
        </w:tc>
      </w:tr>
      <w:tr>
        <w:trPr/>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(ab)</w:t>
            </w:r>
          </w:p>
        </w:tc>
        <w:tc>
          <w:tcPr>
            <w:tcW w:w="8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Arial;sans-serif" w:hAnsi="Arial;sans-serif"/>
                  <w:b w:val="false"/>
                  <w:color w:val="0000FF"/>
                  <w:sz w:val="18"/>
                  <w:u w:val="single"/>
                </w:rPr>
                <w:t>Hasbro, Inc. Change in Control Severance Plan for Designated Senior Executives, as amended. (Incorporated by reference to Exhibit 10(aa) to the Company’s Annual Report on Form 10-K for the year ended December 31, 2023. File No. 1-6682.)</w:t>
              </w:r>
            </w:hyperlink>
          </w:p>
        </w:tc>
      </w:tr>
      <w:tr>
        <w:trPr/>
        <w:tc>
          <w:tcPr>
            <w:tcW w:w="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Arial;sans-serif" w:hAnsi="Arial;sans-serif"/>
                  <w:b w:val="false"/>
                  <w:color w:val="0000FF"/>
                  <w:sz w:val="18"/>
                  <w:u w:val="single"/>
                </w:rPr>
                <w:t>Insider Trading Policy (Incorporated by reference to Exhibit 19 to the Company’s Annual Report on Form 10-K for the Fiscal Year Ended December 29, 2024, File No. 1-6682.)</w:t>
              </w:r>
            </w:hyperlink>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as-20251228xex21.htm">
              <w:r>
                <w:rPr>
                  <w:rStyle w:val="InternetLink"/>
                  <w:rFonts w:ascii="Arial;sans-serif" w:hAnsi="Arial;sans-serif"/>
                  <w:b w:val="false"/>
                  <w:color w:val="0000FF"/>
                  <w:sz w:val="18"/>
                  <w:u w:val="single"/>
                </w:rPr>
                <w:t>Subsidiaries of the registrant.</w:t>
              </w:r>
            </w:hyperlink>
          </w:p>
        </w:tc>
      </w:tr>
      <w:tr>
        <w:trPr/>
        <w:tc>
          <w:tcPr>
            <w:tcW w:w="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as-20251228xexx23.htm">
              <w:r>
                <w:rPr>
                  <w:rStyle w:val="InternetLink"/>
                  <w:rFonts w:ascii="Arial;sans-serif" w:hAnsi="Arial;sans-serif"/>
                  <w:b w:val="false"/>
                  <w:color w:val="0000FF"/>
                  <w:sz w:val="18"/>
                  <w:u w:val="single"/>
                </w:rPr>
                <w:t>Consent of KPMG LLP.</w:t>
              </w:r>
            </w:hyperlink>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as-20251228xex311.htm">
              <w:r>
                <w:rPr>
                  <w:rStyle w:val="InternetLink"/>
                  <w:rFonts w:ascii="Arial;sans-serif" w:hAnsi="Arial;sans-serif"/>
                  <w:b w:val="false"/>
                  <w:color w:val="0000FF"/>
                  <w:sz w:val="18"/>
                  <w:u w:val="single"/>
                </w:rPr>
                <w:t>Certification of the Chief Executive Officer Pursuant to Rule 13a-14(a) under the Securities Exchange Act of 1934.</w:t>
              </w:r>
            </w:hyperlink>
          </w:p>
        </w:tc>
      </w:tr>
      <w:tr>
        <w:trPr/>
        <w:tc>
          <w:tcPr>
            <w:tcW w:w="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as-20251228xex312.htm">
              <w:r>
                <w:rPr>
                  <w:rStyle w:val="InternetLink"/>
                  <w:rFonts w:ascii="Arial;sans-serif" w:hAnsi="Arial;sans-serif"/>
                  <w:b w:val="false"/>
                  <w:color w:val="0000FF"/>
                  <w:sz w:val="18"/>
                  <w:u w:val="single"/>
                </w:rPr>
                <w:t>Certification of the Chief Financial Officer Pursuant to Rule 13a-14(a) under the Securities Exchange Act of 1934.</w:t>
              </w:r>
            </w:hyperlink>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as-20251228xex321.htm">
              <w:r>
                <w:rPr>
                  <w:rStyle w:val="InternetLink"/>
                  <w:rFonts w:ascii="Arial;sans-serif" w:hAnsi="Arial;sans-serif"/>
                  <w:b w:val="false"/>
                  <w:color w:val="0000FF"/>
                  <w:sz w:val="18"/>
                  <w:u w:val="single"/>
                </w:rPr>
                <w:t>Certification of the Chief Executive Officer Pursuant to Rule 13a-14(b) under the Securities Exchange Act of 1934.</w:t>
              </w:r>
            </w:hyperlink>
          </w:p>
        </w:tc>
      </w:tr>
      <w:tr>
        <w:trPr/>
        <w:tc>
          <w:tcPr>
            <w:tcW w:w="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as-20251228xex322.htm">
              <w:r>
                <w:rPr>
                  <w:rStyle w:val="InternetLink"/>
                  <w:rFonts w:ascii="Arial;sans-serif" w:hAnsi="Arial;sans-serif"/>
                  <w:b w:val="false"/>
                  <w:color w:val="0000FF"/>
                  <w:sz w:val="18"/>
                  <w:u w:val="single"/>
                </w:rPr>
                <w:t>Certification of the Chief Financial Officer Pursuant to Rule 13a-14(b) under the Securities Exchange Act of 1934.</w:t>
              </w:r>
            </w:hyperlink>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Arial;sans-serif" w:hAnsi="Arial;sans-serif"/>
                  <w:b w:val="false"/>
                  <w:color w:val="0000FF"/>
                  <w:sz w:val="18"/>
                  <w:u w:val="single"/>
                </w:rPr>
                <w:t>Hasbro, Inc. Policy Relating to Recovery of Erroneously Awarded Compensation (Incorporated by reference to Exhibit 97 to the Company’s Annual Report on Form 10-K for the year ended December 31, 2023, File No. 1-6682).</w:t>
              </w:r>
            </w:hyperlink>
          </w:p>
        </w:tc>
      </w:tr>
      <w:tr>
        <w:trPr/>
        <w:tc>
          <w:tcPr>
            <w:tcW w:w="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Instance Document - the instance document does not appear in the Interactive Data File because its XBRL tags are embedded within the Inline XBRL document.</w:t>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Schema Document</w:t>
            </w:r>
          </w:p>
        </w:tc>
      </w:tr>
      <w:tr>
        <w:trPr/>
        <w:tc>
          <w:tcPr>
            <w:tcW w:w="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Calculation Linkbase Document</w:t>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Labels Linkbase Document</w:t>
            </w:r>
          </w:p>
        </w:tc>
      </w:tr>
      <w:tr>
        <w:trPr/>
        <w:tc>
          <w:tcPr>
            <w:tcW w:w="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Presentation Linkbase Document</w:t>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Definition Linkbase Document</w:t>
            </w:r>
          </w:p>
        </w:tc>
      </w:tr>
    </w:tbl>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*Furnished herewith.</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agrees to furnish the Securities and Exchange Commission, upon request, a copy of each agreement with respect to long-term debt of the Company, the authorized principal amount of which does not exceed 10% of the total assets of the Company and its subsidiaries on a consolidated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Item 16.     </w:t>
      </w:r>
      <w:r>
        <w:rPr>
          <w:rFonts w:ascii="Arial;sans-serif" w:hAnsi="Arial;sans-serif"/>
          <w:b/>
          <w:i/>
          <w:color w:val="000000"/>
          <w:sz w:val="20"/>
          <w:u w:val="single"/>
        </w:rPr>
        <w:t>Form 10-K Summary.</w:t>
      </w:r>
      <w:r>
        <w:rPr>
          <w:color w:val="000000"/>
        </w:rPr>
        <w:t xml:space="preserve"> </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lineRule="auto" w:line="417" w:before="0" w:after="0"/>
        <w:jc w:val="left"/>
        <w:rPr/>
      </w:pPr>
      <w:hyperlink w:anchor="ieb386c6e1feb425e90d22f2f5c682cf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HASBRO,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(Registrant)</w:t>
      </w:r>
    </w:p>
    <w:tbl>
      <w:tblPr>
        <w:tblW w:w="5454"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709"/>
        <w:gridCol w:w="709"/>
        <w:gridCol w:w="713"/>
        <w:gridCol w:w="109"/>
        <w:gridCol w:w="109"/>
        <w:gridCol w:w="109"/>
        <w:gridCol w:w="657"/>
        <w:gridCol w:w="657"/>
        <w:gridCol w:w="93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Chris Cocks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 February 25, 2026</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 Cocks</w:t>
              <w:b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698"/>
        <w:gridCol w:w="607"/>
        <w:gridCol w:w="609"/>
        <w:gridCol w:w="109"/>
        <w:gridCol w:w="109"/>
        <w:gridCol w:w="109"/>
        <w:gridCol w:w="2054"/>
        <w:gridCol w:w="1983"/>
        <w:gridCol w:w="2009"/>
        <w:gridCol w:w="109"/>
        <w:gridCol w:w="109"/>
        <w:gridCol w:w="109"/>
        <w:gridCol w:w="463"/>
        <w:gridCol w:w="463"/>
        <w:gridCol w:w="665"/>
      </w:tblGrid>
      <w:tr>
        <w:trPr/>
        <w:tc>
          <w:tcPr>
            <w:tcW w:w="69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Date</w:t>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Chris Cocks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25, 2026</w:t>
            </w:r>
          </w:p>
        </w:tc>
      </w:tr>
      <w:tr>
        <w:trPr/>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 Cocks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Gina Goetter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 and Chief Operating Officer (Duly Authorized Officer and</w:t>
              <w:br/>
              <w:t>Principal Financial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25, 2026</w:t>
            </w:r>
          </w:p>
        </w:tc>
      </w:tr>
      <w:tr>
        <w:trPr/>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Gina Goetter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Richard S. Stoddart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Chair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25, 2026</w:t>
            </w:r>
          </w:p>
        </w:tc>
      </w:tr>
      <w:tr>
        <w:trPr/>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Richard S. Stoddart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6" w:type="dxa"/>
            <w:gridSpan w:val="3"/>
            <w:tcBorders/>
            <w:vAlign w:val="center"/>
          </w:tcPr>
          <w:p>
            <w:pPr>
              <w:pStyle w:val="TableContents"/>
              <w:bidi w:val="0"/>
              <w:spacing w:before="0" w:after="283"/>
              <w:jc w:val="left"/>
              <w:rPr>
                <w:sz w:val="4"/>
                <w:szCs w:val="4"/>
              </w:rPr>
            </w:pPr>
            <w:r>
              <w:rPr>
                <w:sz w:val="4"/>
                <w:szCs w:val="4"/>
              </w:rPr>
            </w:r>
          </w:p>
        </w:tc>
        <w:tc>
          <w:tcPr>
            <w:tcW w:w="1918" w:type="dxa"/>
            <w:gridSpan w:val="6"/>
            <w:tcBorders/>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Doug Bowser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25, 2026</w:t>
            </w:r>
          </w:p>
        </w:tc>
      </w:tr>
      <w:tr>
        <w:trPr/>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Doug Bowser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Hope F. Cochran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25, 2026</w:t>
            </w:r>
          </w:p>
        </w:tc>
      </w:tr>
      <w:tr>
        <w:trPr/>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Hope F. Cochran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Lisa Gersh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25, 2026</w:t>
            </w:r>
          </w:p>
        </w:tc>
      </w:tr>
      <w:tr>
        <w:trPr/>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Lisa Gersh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Frank D. Gibeau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25, 2026</w:t>
            </w:r>
          </w:p>
        </w:tc>
      </w:tr>
      <w:tr>
        <w:trPr/>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Frank D. Gibeau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Elizabeth Hamren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25, 2026</w:t>
            </w:r>
          </w:p>
        </w:tc>
      </w:tr>
      <w:tr>
        <w:trPr/>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Elizabeth Hamren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Darin S. Harris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25, 2026</w:t>
            </w:r>
          </w:p>
        </w:tc>
      </w:tr>
      <w:tr>
        <w:trPr/>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Darin S. Harris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Owen Mahoney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25, 2026</w:t>
            </w:r>
          </w:p>
        </w:tc>
      </w:tr>
      <w:tr>
        <w:trPr/>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Owen Mahoney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Laurel J. Richie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25, 2026</w:t>
            </w:r>
          </w:p>
        </w:tc>
      </w:tr>
      <w:tr>
        <w:trPr/>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Laurel J. Richie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Carla Vernón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25, 2026</w:t>
            </w:r>
          </w:p>
        </w:tc>
      </w:tr>
      <w:tr>
        <w:trPr/>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Carla Vernón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Mary Beth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25, 2026</w:t>
            </w:r>
          </w:p>
        </w:tc>
      </w:tr>
      <w:tr>
        <w:trPr/>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Mary Beth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lineRule="auto" w:line="333" w:before="0" w:after="0"/>
        <w:jc w:val="right"/>
        <w:rPr>
          <w:rFonts w:ascii="Arial;sans-serif" w:hAnsi="Arial;sans-serif"/>
          <w:b w:val="false"/>
          <w:color w:val="000000"/>
          <w:sz w:val="24"/>
        </w:rPr>
      </w:pPr>
      <w:r>
        <w:rPr>
          <w:rFonts w:ascii="Arial;sans-serif" w:hAnsi="Arial;sans-serif"/>
          <w:b w:val="false"/>
          <w:color w:val="000000"/>
          <w:sz w:val="24"/>
        </w:rPr>
        <w:t>EXHIBIT 21</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HASBRO, INC. AND SUBSIDIARIES</w:t>
      </w:r>
    </w:p>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Subsidiaries of the Registrant (a)</w:t>
      </w:r>
    </w:p>
    <w:tbl>
      <w:tblPr>
        <w:tblW w:w="6860" w:type="dxa"/>
        <w:jc w:val="left"/>
        <w:tblInd w:w="0" w:type="dxa"/>
        <w:tblLayout w:type="fixed"/>
        <w:tblCellMar>
          <w:top w:w="28" w:type="dxa"/>
          <w:left w:w="28" w:type="dxa"/>
          <w:bottom w:w="28" w:type="dxa"/>
          <w:right w:w="28" w:type="dxa"/>
        </w:tblCellMar>
      </w:tblPr>
      <w:tblGrid>
        <w:gridCol w:w="1483"/>
        <w:gridCol w:w="1304"/>
        <w:gridCol w:w="1308"/>
        <w:gridCol w:w="412"/>
        <w:gridCol w:w="412"/>
        <w:gridCol w:w="412"/>
        <w:gridCol w:w="444"/>
        <w:gridCol w:w="444"/>
        <w:gridCol w:w="641"/>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Under Which Subsidiary</w:t>
            </w:r>
          </w:p>
        </w:tc>
        <w:tc>
          <w:tcPr>
            <w:tcW w:w="27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Does Business</w:t>
            </w:r>
          </w:p>
        </w:tc>
        <w:tc>
          <w:tcPr>
            <w:tcW w:w="27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Incorporation or Organization</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International, Inc.</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Latin America Inc.</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Chile LTDA</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Chile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International Holdings, B.V.</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do Brasil Ind E Com</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de Mexico S.R.L. de C.V.</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Mexico</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SA</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Switzerland</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Holding S.A.</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Switzerland</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Canada Corporation</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Nova Scotia</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Netherlands Holdings, B.V.</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France S.A.S.</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Deutschland GmbH</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Italy S.r.l.</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Italy</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Trading Co. Ltd.</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(Schweiz) AG</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Switzerland</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U.K. Limited</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B.V.</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Iberia, S.L.</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Spain</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 Hasbro Belgium N.V.</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Belgium</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Oyuncak Sanayi Ve Ticaret A.S.</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Turkey</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Far East LTD</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Hong Kong</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Australia Pty Ltd</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Australia</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Australia Limited</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Australia</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International Trading B.V.</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European Trading B.V.</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Emerging Markets B.V.</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Korea Ltd.</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Korea</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Colombia SAS</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Colombia</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Thailand Ltd.</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Thailand</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Sobral Ltd.</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Bermuda</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Allspark Animation LLC</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My Little Pony G5 Productions LLC</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Studios LLC</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Managerial Services, LLC</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Rhode Island</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Wizards of the Coast LLC</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Consumer Products Licensing Limited</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Hong Kong Limited</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Hong Kong</w:t>
            </w:r>
          </w:p>
        </w:tc>
      </w:tr>
    </w:tbl>
    <w:p>
      <w:pPr>
        <w:pStyle w:val="TextBody"/>
        <w:bidi w:val="0"/>
        <w:spacing w:lineRule="auto" w:line="333"/>
        <w:ind w:left="0" w:right="0" w:hanging="540"/>
        <w:jc w:val="left"/>
        <w:rPr>
          <w:rFonts w:ascii="Arial;sans-serif" w:hAnsi="Arial;sans-serif"/>
          <w:b w:val="false"/>
          <w:color w:val="000000"/>
          <w:sz w:val="20"/>
        </w:rPr>
      </w:pPr>
      <w:r>
        <w:rPr>
          <w:rFonts w:ascii="Arial;sans-serif" w:hAnsi="Arial;sans-serif"/>
          <w:b w:val="false"/>
          <w:color w:val="000000"/>
          <w:sz w:val="20"/>
        </w:rPr>
        <w:t>(a) Inactive subsidiaries and subsidiaries with minimal operations have been omitted. Such subsidiaries, if taken as a whole, would not constitute a significant subsidiary.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400"/>
        <w:jc w:val="right"/>
        <w:rPr>
          <w:rFonts w:ascii="Arial;sans-serif" w:hAnsi="Arial;sans-serif"/>
          <w:b/>
          <w:color w:val="000000"/>
          <w:sz w:val="20"/>
        </w:rPr>
      </w:pPr>
      <w:r>
        <w:rPr>
          <w:rFonts w:ascii="Arial;sans-serif" w:hAnsi="Arial;sans-serif"/>
          <w:b/>
          <w:color w:val="000000"/>
          <w:sz w:val="20"/>
        </w:rPr>
        <w:t>Exhibit 23</w:t>
      </w:r>
    </w:p>
    <w:p>
      <w:pPr>
        <w:pStyle w:val="TextBody"/>
        <w:bidi w:val="0"/>
        <w:spacing w:lineRule="auto" w:line="288" w:before="0" w:after="40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statements (Nos. 333-34282, 333-110000, 333-110001, 333-110002, 333-129618, 333-147109, 333-162762, 333-170355, 333-190377, 333-225590, 333-240219, 333-273702, and 333-281168) on Form S-8 and (Nos. 333-44101, 333-82077, 333-83250, 333-46986, 333-103561, 333-145947, 333-195789, 333-220331, and 333-279146) on Form S-3 of our reports dated February 25, 2026, with respect to the consolidated financial statements of Hasbro, Inc. and the effectiveness of internal control over financial reporting.</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Providence, Rhode Island</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February 25,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Arial;sans-serif" w:hAnsi="Arial;sans-serif"/>
          <w:b w:val="false"/>
          <w:color w:val="000000"/>
          <w:sz w:val="20"/>
        </w:rPr>
      </w:pPr>
      <w:r>
        <w:rPr>
          <w:rFonts w:ascii="Arial;sans-serif" w:hAnsi="Arial;sans-serif"/>
          <w:b w:val="false"/>
          <w:color w:val="000000"/>
          <w:sz w:val="20"/>
        </w:rPr>
        <w:t>Exhibit 31.1</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CERTIFICATION</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 Chris Cocks, certify that:</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Hasbro, Inc.;</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Date:    February 25, 2026 </w:t>
      </w:r>
    </w:p>
    <w:tbl>
      <w:tblPr>
        <w:tblW w:w="2816" w:type="dxa"/>
        <w:jc w:val="center"/>
        <w:tblInd w:w="0" w:type="dxa"/>
        <w:tblLayout w:type="fixed"/>
        <w:tblCellMar>
          <w:top w:w="28" w:type="dxa"/>
          <w:left w:w="28" w:type="dxa"/>
          <w:bottom w:w="28" w:type="dxa"/>
          <w:right w:w="28" w:type="dxa"/>
        </w:tblCellMar>
      </w:tblPr>
      <w:tblGrid>
        <w:gridCol w:w="124"/>
        <w:gridCol w:w="109"/>
        <w:gridCol w:w="109"/>
        <w:gridCol w:w="721"/>
        <w:gridCol w:w="721"/>
        <w:gridCol w:w="10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Chris Cocks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 Cocks</w:t>
              <w:b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Arial;sans-serif" w:hAnsi="Arial;sans-serif"/>
          <w:b w:val="false"/>
          <w:color w:val="000000"/>
          <w:sz w:val="20"/>
        </w:rPr>
      </w:pPr>
      <w:r>
        <w:rPr>
          <w:rFonts w:ascii="Arial;sans-serif" w:hAnsi="Arial;sans-serif"/>
          <w:b w:val="false"/>
          <w:color w:val="000000"/>
          <w:sz w:val="20"/>
        </w:rPr>
        <w:t>Exhibit 31.2</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CERTIFICATION</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 Gina Goetter, certify that:</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Hasbro, Inc.;</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Date:  February 25, 2026 </w:t>
      </w:r>
    </w:p>
    <w:tbl>
      <w:tblPr>
        <w:tblW w:w="5066" w:type="dxa"/>
        <w:jc w:val="center"/>
        <w:tblInd w:w="0" w:type="dxa"/>
        <w:tblLayout w:type="fixed"/>
        <w:tblCellMar>
          <w:top w:w="28" w:type="dxa"/>
          <w:left w:w="28" w:type="dxa"/>
          <w:bottom w:w="28" w:type="dxa"/>
          <w:right w:w="28" w:type="dxa"/>
        </w:tblCellMar>
      </w:tblPr>
      <w:tblGrid>
        <w:gridCol w:w="124"/>
        <w:gridCol w:w="109"/>
        <w:gridCol w:w="109"/>
        <w:gridCol w:w="1383"/>
        <w:gridCol w:w="1383"/>
        <w:gridCol w:w="1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Gina Goetter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Gina Goetter</w:t>
              <w:br/>
              <w:t>Chief Financial Officer and Chief Operating Officer</w:t>
              <w:br/>
              <w:t>(Principal Financial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1350, CHAPTER 63 OF TITLE 18, UNITED STATES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1)the Company’s Annual Report on Form 10-K for the year ended December 28, 2025, as filed with the Securities and Exchange Commission (the “10-K Report”), fully complies with the requirements of Section 13(a) or 15(d) of the Securities Exchange Act of 1934; and</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2)the information contained in the Company's 10-K Report fairly presents, in all material respects, the financial condition and results of operations of the Company.</w:t>
      </w:r>
    </w:p>
    <w:tbl>
      <w:tblPr>
        <w:tblW w:w="3866" w:type="dxa"/>
        <w:jc w:val="center"/>
        <w:tblInd w:w="0" w:type="dxa"/>
        <w:tblLayout w:type="fixed"/>
        <w:tblCellMar>
          <w:top w:w="28" w:type="dxa"/>
          <w:left w:w="28" w:type="dxa"/>
          <w:bottom w:w="28" w:type="dxa"/>
          <w:right w:w="28" w:type="dxa"/>
        </w:tblCellMar>
      </w:tblPr>
      <w:tblGrid>
        <w:gridCol w:w="124"/>
        <w:gridCol w:w="109"/>
        <w:gridCol w:w="109"/>
        <w:gridCol w:w="1032"/>
        <w:gridCol w:w="1032"/>
        <w:gridCol w:w="14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 xml:space="preserve">/s/ Chris Cocks </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Chris Cocks</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 of Hasbro, Inc.</w:t>
            </w:r>
          </w:p>
          <w:p>
            <w:pPr>
              <w:pStyle w:val="TableContents"/>
              <w:bidi w:val="0"/>
              <w:spacing w:before="0" w:after="0"/>
              <w:jc w:val="left"/>
              <w:rPr/>
            </w:pPr>
            <w:r>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Dated: February 25, 2026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Hasbro, Inc. and will be retained by Hasbro,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1350, CHAPTER 63 OF TITLE 18, UNITED STATES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Section 1350, Chapter 63 of Title 18, United States Code, as adopted pursuant to Section 906 of the Sarbanes-Oxley Act of 2002, the undersigned, as Chief Financial Officer and Chief Operating Officer of Hasbro, Inc., a Rhode Island corporation (the “Company”), does hereby certify that to the best of the undersigned’s knowledge:</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1)the Company’s Annual Report on Form 10-K for the year ended December 28, 2025, as filed with the Securities and Exchange Commission (the “10-K Report”), fully complies with the requirements of Section 13(a) or 15(d) of the Securities Exchange Act of 1934; and</w:t>
      </w:r>
    </w:p>
    <w:p>
      <w:pPr>
        <w:pStyle w:val="TextBody"/>
        <w:bidi w:val="0"/>
        <w:spacing w:lineRule="auto" w:line="288" w:before="200" w:after="283"/>
        <w:ind w:left="0" w:right="0" w:hanging="450"/>
        <w:jc w:val="left"/>
        <w:rPr>
          <w:rFonts w:ascii="Arial;sans-serif" w:hAnsi="Arial;sans-serif"/>
          <w:b w:val="false"/>
          <w:color w:val="000000"/>
          <w:sz w:val="20"/>
        </w:rPr>
      </w:pPr>
      <w:r>
        <w:rPr>
          <w:rFonts w:ascii="Arial;sans-serif" w:hAnsi="Arial;sans-serif"/>
          <w:b w:val="false"/>
          <w:color w:val="000000"/>
          <w:sz w:val="20"/>
        </w:rPr>
        <w:t>2)the information contained in the Company's 10-K Report fairly presents, in all material respects, the financial condition and results of operations of the Company.</w:t>
      </w:r>
    </w:p>
    <w:tbl>
      <w:tblPr>
        <w:tblW w:w="6206" w:type="dxa"/>
        <w:jc w:val="center"/>
        <w:tblInd w:w="0" w:type="dxa"/>
        <w:tblLayout w:type="fixed"/>
        <w:tblCellMar>
          <w:top w:w="28" w:type="dxa"/>
          <w:left w:w="28" w:type="dxa"/>
          <w:bottom w:w="28" w:type="dxa"/>
          <w:right w:w="28" w:type="dxa"/>
        </w:tblCellMar>
      </w:tblPr>
      <w:tblGrid>
        <w:gridCol w:w="124"/>
        <w:gridCol w:w="109"/>
        <w:gridCol w:w="109"/>
        <w:gridCol w:w="1717"/>
        <w:gridCol w:w="1717"/>
        <w:gridCol w:w="24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 Gina Goetter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Gina Goetter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 and Chief Operating Officer of Hasbro, Inc.</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Dated: February 25, 2026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Hasbro, Inc. and will be retained by Hasbro,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6080/000095015723000851/ex2-1.htm" TargetMode="External"/><Relationship Id="rId3" Type="http://schemas.openxmlformats.org/officeDocument/2006/relationships/hyperlink" Target="https://www.sec.gov/Archives/edgar/data/46080/000004608000000013/0000046080-00-000013-0002.txt" TargetMode="External"/><Relationship Id="rId4" Type="http://schemas.openxmlformats.org/officeDocument/2006/relationships/hyperlink" Target="https://www.sec.gov/Archives/edgar/data/46080/000004608000000013/0000046080-00-000013-0005.txt" TargetMode="External"/><Relationship Id="rId5" Type="http://schemas.openxmlformats.org/officeDocument/2006/relationships/hyperlink" Target="https://www.sec.gov/Archives/edgar/data/46080/000004608003000022/ex3-3q203.htm" TargetMode="External"/><Relationship Id="rId6" Type="http://schemas.openxmlformats.org/officeDocument/2006/relationships/hyperlink" Target="https://www.sec.gov/Archives/edgar/data/46080/000004608022000109/hasbro-secondamendedandres.htm" TargetMode="External"/><Relationship Id="rId7" Type="http://schemas.openxmlformats.org/officeDocument/2006/relationships/hyperlink" Target="https://www.sec.gov/Archives/edgar/data/46080/000004608000000013/0000046080-00-000013-0003.txt" TargetMode="External"/><Relationship Id="rId8" Type="http://schemas.openxmlformats.org/officeDocument/2006/relationships/hyperlink" Target="https://www.sec.gov/Archives/edgar/data/46080/000004608000000013/0000046080-00-000013-0004.txt" TargetMode="External"/><Relationship Id="rId9" Type="http://schemas.openxmlformats.org/officeDocument/2006/relationships/hyperlink" Target="https://www.sec.gov/Archives/edgar/data/46080/0000950172-98-000702.txt" TargetMode="External"/><Relationship Id="rId10" Type="http://schemas.openxmlformats.org/officeDocument/2006/relationships/hyperlink" Target="https://www.sec.gov/Archives/edgar/data/46080/000004608000000003/0000046080-00-000003.txt" TargetMode="External"/><Relationship Id="rId11" Type="http://schemas.openxmlformats.org/officeDocument/2006/relationships/hyperlink" Target="https://www.sec.gov/Archives/edgar/data/46080/000095013507005709/b66906hbexv4w1.htm" TargetMode="External"/><Relationship Id="rId12" Type="http://schemas.openxmlformats.org/officeDocument/2006/relationships/hyperlink" Target="https://www.sec.gov/Archives/edgar/data/46080/000095013509003948/b75462hiexv4w1.htm" TargetMode="External"/><Relationship Id="rId13" Type="http://schemas.openxmlformats.org/officeDocument/2006/relationships/hyperlink" Target="https://www.sec.gov/Archives/edgar/data/46080/000095012310023420/b80058exv4w1.htm" TargetMode="External"/><Relationship Id="rId14" Type="http://schemas.openxmlformats.org/officeDocument/2006/relationships/hyperlink" Target="https://www.sec.gov/Archives/edgar/data/46080/000119312514196726/d727293dex41.htm" TargetMode="External"/><Relationship Id="rId15" Type="http://schemas.openxmlformats.org/officeDocument/2006/relationships/hyperlink" Target="https://www.sec.gov/Archives/edgar/data/46080/000119312517283854/d456734dex41.htm" TargetMode="External"/><Relationship Id="rId16" Type="http://schemas.openxmlformats.org/officeDocument/2006/relationships/hyperlink" Target="https://www.sec.gov/Archives/edgar/data/46080/000119312519295544/d822953dex12.htm" TargetMode="External"/><Relationship Id="rId17" Type="http://schemas.openxmlformats.org/officeDocument/2006/relationships/hyperlink" Target="https://www.sec.gov/Archives/edgar/data/46080/000119312524138322/d838682dex42.htm" TargetMode="External"/><Relationship Id="rId18" Type="http://schemas.openxmlformats.org/officeDocument/2006/relationships/hyperlink" Target="https://www.sec.gov/Archives/edgar/data/46080/000004608020000028/has-20191229xexx41.htm" TargetMode="External"/><Relationship Id="rId19" Type="http://schemas.openxmlformats.org/officeDocument/2006/relationships/hyperlink" Target="https://www.sec.gov/Archives/edgar/data/46080/000095015723000938/ex10-1.htm" TargetMode="External"/><Relationship Id="rId20" Type="http://schemas.openxmlformats.org/officeDocument/2006/relationships/hyperlink" Target="https://www.sec.gov/Archives/edgar/data/46080/000095015726000171/ex10-1.htm" TargetMode="External"/><Relationship Id="rId21" Type="http://schemas.openxmlformats.org/officeDocument/2006/relationships/hyperlink" Target="https://www.sec.gov/Archives/edgar/data/46080/000095015726000171/ex10-1.htm" TargetMode="External"/><Relationship Id="rId22" Type="http://schemas.openxmlformats.org/officeDocument/2006/relationships/hyperlink" Target="https://www.sec.gov/Archives/edgar/data/46080/000095015726000171/ex10-1.htm" TargetMode="External"/><Relationship Id="rId23" Type="http://schemas.openxmlformats.org/officeDocument/2006/relationships/hyperlink" Target="https://www.sec.gov/Archives/edgar/data/46080/000095015726000171/ex10-1.htm" TargetMode="External"/><Relationship Id="rId24" Type="http://schemas.openxmlformats.org/officeDocument/2006/relationships/hyperlink" Target="https://www.sec.gov/Archives/edgar/data/46080/000095015726000171/ex10-1.htm" TargetMode="External"/><Relationship Id="rId25" Type="http://schemas.openxmlformats.org/officeDocument/2006/relationships/hyperlink" Target="https://www.sec.gov/Archives/edgar/data/46080/000095015726000171/ex10-1.htm" TargetMode="External"/><Relationship Id="rId26" Type="http://schemas.openxmlformats.org/officeDocument/2006/relationships/hyperlink" Target="https://www.sec.gov/Archives/edgar/data/46080/000095015726000171/ex10-1.htm" TargetMode="External"/><Relationship Id="rId27" Type="http://schemas.openxmlformats.org/officeDocument/2006/relationships/hyperlink" Target="https://www.sec.gov/Archives/edgar/data/46080/000095015726000171/ex10-1.htm" TargetMode="External"/><Relationship Id="rId28" Type="http://schemas.openxmlformats.org/officeDocument/2006/relationships/hyperlink" Target="https://www.sec.gov/Archives/edgar/data/46080/000095015726000171/ex10-1.htm" TargetMode="External"/><Relationship Id="rId29" Type="http://schemas.openxmlformats.org/officeDocument/2006/relationships/hyperlink" Target="https://www.sec.gov/Archives/edgar/data/46080/000095015726000171/ex10-1.htm" TargetMode="External"/><Relationship Id="rId30" Type="http://schemas.openxmlformats.org/officeDocument/2006/relationships/hyperlink" Target="https://www.sec.gov/Archives/edgar/data/46080/000095015726000171/ex10-1.htm" TargetMode="External"/><Relationship Id="rId31" Type="http://schemas.openxmlformats.org/officeDocument/2006/relationships/hyperlink" Target="https://www.sec.gov/Archives/edgar/data/46080/000095015726000171/ex10-1.htm" TargetMode="External"/><Relationship Id="rId32" Type="http://schemas.openxmlformats.org/officeDocument/2006/relationships/hyperlink" Target="https://www.sec.gov/Archives/edgar/data/46080/000095015726000171/ex10-1.htm" TargetMode="External"/><Relationship Id="rId33" Type="http://schemas.openxmlformats.org/officeDocument/2006/relationships/hyperlink" Target="https://www.sec.gov/Archives/edgar/data/46080/000095015726000171/ex10-1.htm" TargetMode="External"/><Relationship Id="rId34" Type="http://schemas.openxmlformats.org/officeDocument/2006/relationships/hyperlink" Target="https://www.sec.gov/Archives/edgar/data/46080/000095015726000171/ex10-1.htm" TargetMode="External"/><Relationship Id="rId35" Type="http://schemas.openxmlformats.org/officeDocument/2006/relationships/hyperlink" Target="https://www.sec.gov/Archives/edgar/data/46080/000095015726000171/ex10-1.htm" TargetMode="External"/><Relationship Id="rId36" Type="http://schemas.openxmlformats.org/officeDocument/2006/relationships/hyperlink" Target="https://www.sec.gov/Archives/edgar/data/46080/000095015726000171/ex10-1.htm" TargetMode="External"/><Relationship Id="rId37" Type="http://schemas.openxmlformats.org/officeDocument/2006/relationships/hyperlink" Target="https://www.sec.gov/Archives/edgar/data/46080/000095015726000171/ex10-1.htm" TargetMode="External"/><Relationship Id="rId38" Type="http://schemas.openxmlformats.org/officeDocument/2006/relationships/hyperlink" Target="https://www.sec.gov/Archives/edgar/data/46080/000095015726000171/ex10-1.htm" TargetMode="External"/><Relationship Id="rId39" Type="http://schemas.openxmlformats.org/officeDocument/2006/relationships/hyperlink" Target="https://www.sec.gov/Archives/edgar/data/46080/000095015726000171/ex10-1.htm" TargetMode="External"/><Relationship Id="rId40" Type="http://schemas.openxmlformats.org/officeDocument/2006/relationships/hyperlink" Target="https://www.sec.gov/Archives/edgar/data/46080/000095015726000171/ex10-1.htm" TargetMode="External"/><Relationship Id="rId41" Type="http://schemas.openxmlformats.org/officeDocument/2006/relationships/hyperlink" Target="https://www.sec.gov/Archives/edgar/data/46080/000095015726000171/ex10-1.htm" TargetMode="External"/><Relationship Id="rId42" Type="http://schemas.openxmlformats.org/officeDocument/2006/relationships/hyperlink" Target="https://www.sec.gov/Archives/edgar/data/46080/000095015726000171/ex10-1.htm" TargetMode="External"/><Relationship Id="rId43" Type="http://schemas.openxmlformats.org/officeDocument/2006/relationships/hyperlink" Target="https://www.sec.gov/Archives/edgar/data/46080/000095015726000171/ex10-1.htm" TargetMode="External"/><Relationship Id="rId44" Type="http://schemas.openxmlformats.org/officeDocument/2006/relationships/hyperlink" Target="https://www.sec.gov/Archives/edgar/data/46080/000095015726000171/ex10-1.htm" TargetMode="External"/><Relationship Id="rId45" Type="http://schemas.openxmlformats.org/officeDocument/2006/relationships/hyperlink" Target="https://www.sec.gov/Archives/edgar/data/46080/000095015726000171/ex10-1.htm" TargetMode="External"/><Relationship Id="rId46" Type="http://schemas.openxmlformats.org/officeDocument/2006/relationships/hyperlink" Target="https://www.sec.gov/Archives/edgar/data/46080/000004608011000011/commpaperdealagree.htm" TargetMode="External"/><Relationship Id="rId47" Type="http://schemas.openxmlformats.org/officeDocument/2006/relationships/hyperlink" Target="https://www.sec.gov/Archives/edgar/data/46080/000004608011000011/isspayagree.htm" TargetMode="External"/><Relationship Id="rId48" Type="http://schemas.openxmlformats.org/officeDocument/2006/relationships/hyperlink" Target="https://www.sec.gov/Archives/edgar/data/46080/000095015719001070/ex10-1.htm" TargetMode="External"/><Relationship Id="rId49" Type="http://schemas.openxmlformats.org/officeDocument/2006/relationships/hyperlink" Target="https://www.sec.gov/Archives/edgar/data/46080/000095015723000364/ex10-2.htm" TargetMode="External"/><Relationship Id="rId50" Type="http://schemas.openxmlformats.org/officeDocument/2006/relationships/hyperlink" Target="https://www.sec.gov/Archives/edgar/data/46080/000095015723000851/ex10-2.htm" TargetMode="External"/><Relationship Id="rId51" Type="http://schemas.openxmlformats.org/officeDocument/2006/relationships/hyperlink" Target="https://www.sec.gov/Archives/edgar/data/46080/000095013508001244/b68106hiexv10wxjjy.htm" TargetMode="External"/><Relationship Id="rId52" Type="http://schemas.openxmlformats.org/officeDocument/2006/relationships/hyperlink" Target="https://www.sec.gov/Archives/edgar/data/46080/000004608024000034/deferredcompplannon-employ.htm" TargetMode="External"/><Relationship Id="rId53" Type="http://schemas.openxmlformats.org/officeDocument/2006/relationships/hyperlink" Target="https://www.sec.gov/Archives/edgar/data/46080/000004608023000042/finalfmvstockoptionagreeme.htm" TargetMode="External"/><Relationship Id="rId54" Type="http://schemas.openxmlformats.org/officeDocument/2006/relationships/hyperlink" Target="https://www.sec.gov/Archives/edgar/data/46080/000004608024000137/a2024rsuawardagreement.htm" TargetMode="External"/><Relationship Id="rId55" Type="http://schemas.openxmlformats.org/officeDocument/2006/relationships/hyperlink" Target="https://www.sec.gov/Archives/edgar/data/46080/000004608024000137/a2024psaawardagreement.htm" TargetMode="External"/><Relationship Id="rId56" Type="http://schemas.openxmlformats.org/officeDocument/2006/relationships/hyperlink" Target="https://www.sec.gov/Archives/edgar/data/46080/000004608025000069/has2025rsuawardagreement.htm" TargetMode="External"/><Relationship Id="rId57" Type="http://schemas.openxmlformats.org/officeDocument/2006/relationships/hyperlink" Target="https://www.sec.gov/Archives/edgar/data/46080/000004608025000069/has2025rsuawardagreement.htm" TargetMode="External"/><Relationship Id="rId58" Type="http://schemas.openxmlformats.org/officeDocument/2006/relationships/hyperlink" Target="https://www.sec.gov/Archives/edgar/data/46080/000004608025000069/has2025rsuawardagreement.htm" TargetMode="External"/><Relationship Id="rId59" Type="http://schemas.openxmlformats.org/officeDocument/2006/relationships/hyperlink" Target="https://www.sec.gov/Archives/edgar/data/46080/000004608025000069/has2025rsuawardagreement.htm" TargetMode="External"/><Relationship Id="rId60" Type="http://schemas.openxmlformats.org/officeDocument/2006/relationships/hyperlink" Target="https://www.sec.gov/Archives/edgar/data/46080/000004608025000069/has2025rsuawardagreement.htm" TargetMode="External"/><Relationship Id="rId61" Type="http://schemas.openxmlformats.org/officeDocument/2006/relationships/hyperlink" Target="https://www.sec.gov/Archives/edgar/data/46080/000004608025000069/has2025rsuawardagreement.htm" TargetMode="External"/><Relationship Id="rId62" Type="http://schemas.openxmlformats.org/officeDocument/2006/relationships/hyperlink" Target="https://www.sec.gov/Archives/edgar/data/46080/000004608025000069/has2025rsuawardagreement.htm" TargetMode="External"/><Relationship Id="rId63" Type="http://schemas.openxmlformats.org/officeDocument/2006/relationships/hyperlink" Target="https://www.sec.gov/Archives/edgar/data/46080/000004608025000069/has2025rsuawardagreement.htm" TargetMode="External"/><Relationship Id="rId64" Type="http://schemas.openxmlformats.org/officeDocument/2006/relationships/hyperlink" Target="https://www.sec.gov/Archives/edgar/data/46080/000004608025000069/has2025rsuawardagreement.htm" TargetMode="External"/><Relationship Id="rId65" Type="http://schemas.openxmlformats.org/officeDocument/2006/relationships/hyperlink" Target="https://www.sec.gov/Archives/edgar/data/46080/000004608025000069/has2025psuawardagreement.htm" TargetMode="External"/><Relationship Id="rId66" Type="http://schemas.openxmlformats.org/officeDocument/2006/relationships/hyperlink" Target="https://www.sec.gov/Archives/edgar/data/46080/000004608025000069/has2025psuawardagreement.htm" TargetMode="External"/><Relationship Id="rId67" Type="http://schemas.openxmlformats.org/officeDocument/2006/relationships/hyperlink" Target="https://www.sec.gov/Archives/edgar/data/46080/000004608025000069/has2025psuawardagreement.htm" TargetMode="External"/><Relationship Id="rId68" Type="http://schemas.openxmlformats.org/officeDocument/2006/relationships/hyperlink" Target="https://www.sec.gov/Archives/edgar/data/46080/000004608025000069/has2025psuawardagreement.htm" TargetMode="External"/><Relationship Id="rId69" Type="http://schemas.openxmlformats.org/officeDocument/2006/relationships/hyperlink" Target="https://www.sec.gov/Archives/edgar/data/46080/000004608025000069/has2025psuawardagreement.htm" TargetMode="External"/><Relationship Id="rId70" Type="http://schemas.openxmlformats.org/officeDocument/2006/relationships/hyperlink" Target="https://www.sec.gov/Archives/edgar/data/46080/000004608025000069/has2025psuawardagreement.htm" TargetMode="External"/><Relationship Id="rId71" Type="http://schemas.openxmlformats.org/officeDocument/2006/relationships/hyperlink" Target="https://www.sec.gov/Archives/edgar/data/46080/000004608025000069/has2025psuawardagreement.htm" TargetMode="External"/><Relationship Id="rId72" Type="http://schemas.openxmlformats.org/officeDocument/2006/relationships/hyperlink" Target="https://www.sec.gov/Archives/edgar/data/46080/000004608025000069/has2025psuawardagreement.htm" TargetMode="External"/><Relationship Id="rId73" Type="http://schemas.openxmlformats.org/officeDocument/2006/relationships/hyperlink" Target="https://www.sec.gov/Archives/edgar/data/46080/000004608025000069/has2025psuawardagreement.htm" TargetMode="External"/><Relationship Id="rId74" Type="http://schemas.openxmlformats.org/officeDocument/2006/relationships/hyperlink" Target="https://www.sec.gov/Archives/edgar/data/46080/000004608025000069/has2025psuawardagreement.htm" TargetMode="External"/><Relationship Id="rId75" Type="http://schemas.openxmlformats.org/officeDocument/2006/relationships/hyperlink" Target="https://www.sec.gov/Archives/edgar/data/46080/000095013509001151/b73438hiexv10wxaaay.htm" TargetMode="External"/><Relationship Id="rId76" Type="http://schemas.openxmlformats.org/officeDocument/2006/relationships/hyperlink" Target="https://www.sec.gov/Archives/edgar/data/46080/000004608025000128/fy25prpplandocument.htm" TargetMode="External"/><Relationship Id="rId77" Type="http://schemas.openxmlformats.org/officeDocument/2006/relationships/hyperlink" Target="https://www.sec.gov/Archives/edgar/data/46080/000004608025000128/fy25prpplandocument.htm" TargetMode="External"/><Relationship Id="rId78" Type="http://schemas.openxmlformats.org/officeDocument/2006/relationships/hyperlink" Target="https://www.sec.gov/Archives/edgar/data/46080/000004608025000128/fy25prpplandocument.htm" TargetMode="External"/><Relationship Id="rId79" Type="http://schemas.openxmlformats.org/officeDocument/2006/relationships/hyperlink" Target="https://www.sec.gov/Archives/edgar/data/46080/000004608025000128/fy25prpplandocument.htm" TargetMode="External"/><Relationship Id="rId80" Type="http://schemas.openxmlformats.org/officeDocument/2006/relationships/hyperlink" Target="https://www.sec.gov/Archives/edgar/data/46080/000004608025000128/fy25prpplandocument.htm" TargetMode="External"/><Relationship Id="rId81" Type="http://schemas.openxmlformats.org/officeDocument/2006/relationships/hyperlink" Target="https://www.sec.gov/Archives/edgar/data/46080/000004608025000128/fy25prpplandocument.htm" TargetMode="External"/><Relationship Id="rId82" Type="http://schemas.openxmlformats.org/officeDocument/2006/relationships/hyperlink" Target="https://www.sec.gov/Archives/edgar/data/46080/000004608025000128/fy25prpplandocument.htm" TargetMode="External"/><Relationship Id="rId83" Type="http://schemas.openxmlformats.org/officeDocument/2006/relationships/hyperlink" Target="https://www.sec.gov/Archives/edgar/data/46080/000004608025000128/fy25prpplandocument.htm" TargetMode="External"/><Relationship Id="rId84" Type="http://schemas.openxmlformats.org/officeDocument/2006/relationships/hyperlink" Target="https://www.sec.gov/Archives/edgar/data/46080/000004608025000128/fy25prpplandocument.htm" TargetMode="External"/><Relationship Id="rId85" Type="http://schemas.openxmlformats.org/officeDocument/2006/relationships/hyperlink" Target="https://www.sec.gov/Archives/edgar/data/46080/000004608025000128/fy25prpplandocument.htm" TargetMode="External"/><Relationship Id="rId86" Type="http://schemas.openxmlformats.org/officeDocument/2006/relationships/hyperlink" Target="https://www.sec.gov/Archives/edgar/data/46080/000004608024000119/ccocksamendedandrestatedem.htm" TargetMode="External"/><Relationship Id="rId87" Type="http://schemas.openxmlformats.org/officeDocument/2006/relationships/hyperlink" Target="https://www.sec.gov/Archives/edgar/data/46080/000004608025000164/employmentagreementcocks.htm" TargetMode="External"/><Relationship Id="rId88" Type="http://schemas.openxmlformats.org/officeDocument/2006/relationships/hyperlink" Target="https://www.sec.gov/Archives/edgar/data/46080/000004608023000042/letteragreementggoetter.htm" TargetMode="External"/><Relationship Id="rId89" Type="http://schemas.openxmlformats.org/officeDocument/2006/relationships/hyperlink" Target="https://www.sec.gov/Archives/edgar/data/46080/000004608023000042/letteragreementtkilpin.htm" TargetMode="External"/><Relationship Id="rId90" Type="http://schemas.openxmlformats.org/officeDocument/2006/relationships/hyperlink" Target="https://www.sec.gov/Archives/edgar/data/46080/000004608024000034/changeofcontrolagreement20.htm" TargetMode="External"/><Relationship Id="rId91" Type="http://schemas.openxmlformats.org/officeDocument/2006/relationships/hyperlink" Target="https://www.sec.gov/Archives/edgar/data/46080/000004608025000027/hasbroinsidertradingpolicy.htm" TargetMode="External"/><Relationship Id="rId92" Type="http://schemas.openxmlformats.org/officeDocument/2006/relationships/hyperlink" Target="https://www.sec.gov/Archives/edgar/data/46080/000004608024000034/hasbroincpolicyrelatingtor.htm" TargetMode="External"/><Relationship Id="rId93" Type="http://schemas.openxmlformats.org/officeDocument/2006/relationships/fontTable" Target="fontTable.xml"/><Relationship Id="rId9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60898</Words>
  <Characters>343585</Characters>
  <CharactersWithSpaces>401378</CharactersWithSpaces>
  <Paragraphs>5114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