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1"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 w:lineRule="exact"/>
        <w:rPr>
          <w:sz w:val="24"/>
          <w:szCs w:val="24"/>
          <w:color w:val="auto"/>
        </w:rPr>
      </w:pPr>
    </w:p>
    <w:p>
      <w:pPr>
        <w:ind w:left="640" w:hanging="40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July 2, 2023</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4360" w:right="1420" w:hanging="4129"/>
        <w:spacing w:after="0" w:line="375" w:lineRule="auto"/>
        <w:tabs>
          <w:tab w:leader="none" w:pos="63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1-6682</w:t>
      </w:r>
    </w:p>
    <w:p>
      <w:pPr>
        <w:spacing w:after="0" w:line="1" w:lineRule="exact"/>
        <w:rPr>
          <w:rFonts w:ascii="MS PGothic" w:cs="MS PGothic" w:eastAsia="MS PGothic" w:hAnsi="MS PGothic"/>
          <w:sz w:val="18"/>
          <w:szCs w:val="18"/>
          <w:color w:val="auto"/>
        </w:rPr>
      </w:pPr>
    </w:p>
    <w:p>
      <w:pPr>
        <w:ind w:left="4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__________________</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HASBRO,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0"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424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Rhode Island</w:t>
            </w:r>
          </w:p>
        </w:tc>
        <w:tc>
          <w:tcPr>
            <w:tcW w:w="1860" w:type="dxa"/>
            <w:vAlign w:val="bottom"/>
          </w:tcPr>
          <w:p>
            <w:pPr>
              <w:spacing w:after="0"/>
              <w:rPr>
                <w:sz w:val="20"/>
                <w:szCs w:val="20"/>
                <w:color w:val="auto"/>
              </w:rPr>
            </w:pPr>
          </w:p>
        </w:tc>
        <w:tc>
          <w:tcPr>
            <w:tcW w:w="3800" w:type="dxa"/>
            <w:vAlign w:val="bottom"/>
          </w:tcPr>
          <w:p>
            <w:pPr>
              <w:jc w:val="right"/>
              <w:ind w:right="1592"/>
              <w:spacing w:after="0"/>
              <w:rPr>
                <w:sz w:val="20"/>
                <w:szCs w:val="20"/>
                <w:color w:val="auto"/>
              </w:rPr>
            </w:pPr>
            <w:r>
              <w:rPr>
                <w:rFonts w:ascii="Arial" w:cs="Arial" w:eastAsia="Arial" w:hAnsi="Arial"/>
                <w:sz w:val="18"/>
                <w:szCs w:val="18"/>
                <w:b w:val="1"/>
                <w:bCs w:val="1"/>
                <w:color w:val="auto"/>
              </w:rPr>
              <w:t>05-0155090</w:t>
            </w:r>
          </w:p>
        </w:tc>
      </w:tr>
      <w:tr>
        <w:trPr>
          <w:trHeight w:val="257"/>
        </w:trPr>
        <w:tc>
          <w:tcPr>
            <w:tcW w:w="6100" w:type="dxa"/>
            <w:vAlign w:val="bottom"/>
            <w:gridSpan w:val="2"/>
          </w:tcPr>
          <w:p>
            <w:pPr>
              <w:jc w:val="center"/>
              <w:ind w:right="13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right="332"/>
              <w:spacing w:after="0"/>
              <w:rPr>
                <w:sz w:val="20"/>
                <w:szCs w:val="20"/>
                <w:color w:val="auto"/>
              </w:rPr>
            </w:pPr>
            <w:r>
              <w:rPr>
                <w:rFonts w:ascii="Arial" w:cs="Arial" w:eastAsia="Arial" w:hAnsi="Arial"/>
                <w:sz w:val="18"/>
                <w:szCs w:val="18"/>
                <w:color w:val="auto"/>
                <w:w w:val="94"/>
              </w:rPr>
              <w:t>(I.R.S. Employer Identification No.)</w:t>
            </w:r>
          </w:p>
        </w:tc>
      </w:tr>
      <w:tr>
        <w:trPr>
          <w:trHeight w:val="351"/>
        </w:trPr>
        <w:tc>
          <w:tcPr>
            <w:tcW w:w="424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1027 Newport Avenue</w:t>
            </w:r>
          </w:p>
        </w:tc>
        <w:tc>
          <w:tcPr>
            <w:tcW w:w="18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43"/>
        </w:trPr>
        <w:tc>
          <w:tcPr>
            <w:tcW w:w="4240" w:type="dxa"/>
            <w:vAlign w:val="bottom"/>
          </w:tcPr>
          <w:p>
            <w:pPr>
              <w:ind w:left="1400"/>
              <w:spacing w:after="0"/>
              <w:rPr>
                <w:sz w:val="20"/>
                <w:szCs w:val="20"/>
                <w:color w:val="auto"/>
              </w:rPr>
            </w:pPr>
            <w:r>
              <w:rPr>
                <w:rFonts w:ascii="Arial" w:cs="Arial" w:eastAsia="Arial" w:hAnsi="Arial"/>
                <w:sz w:val="18"/>
                <w:szCs w:val="18"/>
                <w:b w:val="1"/>
                <w:bCs w:val="1"/>
                <w:color w:val="auto"/>
              </w:rPr>
              <w:t>Pawtucket, Rhode Island</w:t>
            </w:r>
          </w:p>
        </w:tc>
        <w:tc>
          <w:tcPr>
            <w:tcW w:w="1860" w:type="dxa"/>
            <w:vAlign w:val="bottom"/>
          </w:tcPr>
          <w:p>
            <w:pPr>
              <w:spacing w:after="0"/>
              <w:rPr>
                <w:sz w:val="21"/>
                <w:szCs w:val="21"/>
                <w:color w:val="auto"/>
              </w:rPr>
            </w:pPr>
          </w:p>
        </w:tc>
        <w:tc>
          <w:tcPr>
            <w:tcW w:w="3800" w:type="dxa"/>
            <w:vAlign w:val="bottom"/>
          </w:tcPr>
          <w:p>
            <w:pPr>
              <w:jc w:val="right"/>
              <w:ind w:right="1792"/>
              <w:spacing w:after="0"/>
              <w:rPr>
                <w:sz w:val="20"/>
                <w:szCs w:val="20"/>
                <w:color w:val="auto"/>
              </w:rPr>
            </w:pPr>
            <w:r>
              <w:rPr>
                <w:rFonts w:ascii="Arial" w:cs="Arial" w:eastAsia="Arial" w:hAnsi="Arial"/>
                <w:sz w:val="18"/>
                <w:szCs w:val="18"/>
                <w:b w:val="1"/>
                <w:bCs w:val="1"/>
                <w:color w:val="auto"/>
              </w:rPr>
              <w:t>02861</w:t>
            </w:r>
          </w:p>
        </w:tc>
      </w:tr>
      <w:tr>
        <w:trPr>
          <w:trHeight w:val="256"/>
        </w:trPr>
        <w:tc>
          <w:tcPr>
            <w:tcW w:w="4240" w:type="dxa"/>
            <w:vAlign w:val="bottom"/>
          </w:tcPr>
          <w:p>
            <w:pPr>
              <w:jc w:val="center"/>
              <w:ind w:left="290"/>
              <w:spacing w:after="0"/>
              <w:rPr>
                <w:sz w:val="20"/>
                <w:szCs w:val="20"/>
                <w:color w:val="auto"/>
              </w:rPr>
            </w:pPr>
            <w:r>
              <w:rPr>
                <w:rFonts w:ascii="Arial" w:cs="Arial" w:eastAsia="Arial" w:hAnsi="Arial"/>
                <w:sz w:val="18"/>
                <w:szCs w:val="18"/>
                <w:color w:val="auto"/>
                <w:w w:val="92"/>
              </w:rPr>
              <w:t>(Address of Principal Executive Offices)</w:t>
            </w:r>
          </w:p>
        </w:tc>
        <w:tc>
          <w:tcPr>
            <w:tcW w:w="1860" w:type="dxa"/>
            <w:vAlign w:val="bottom"/>
          </w:tcPr>
          <w:p>
            <w:pPr>
              <w:spacing w:after="0"/>
              <w:rPr>
                <w:sz w:val="22"/>
                <w:szCs w:val="22"/>
                <w:color w:val="auto"/>
              </w:rPr>
            </w:pPr>
          </w:p>
        </w:tc>
        <w:tc>
          <w:tcPr>
            <w:tcW w:w="3800" w:type="dxa"/>
            <w:vAlign w:val="bottom"/>
          </w:tcPr>
          <w:p>
            <w:pPr>
              <w:jc w:val="center"/>
              <w:ind w:right="332"/>
              <w:spacing w:after="0"/>
              <w:rPr>
                <w:sz w:val="20"/>
                <w:szCs w:val="20"/>
                <w:color w:val="auto"/>
              </w:rPr>
            </w:pPr>
            <w:r>
              <w:rPr>
                <w:rFonts w:ascii="Arial" w:cs="Arial" w:eastAsia="Arial" w:hAnsi="Arial"/>
                <w:sz w:val="18"/>
                <w:szCs w:val="18"/>
                <w:color w:val="auto"/>
                <w:w w:val="91"/>
              </w:rPr>
              <w:t>(Zip Code)</w:t>
            </w:r>
          </w:p>
        </w:tc>
      </w:tr>
      <w:tr>
        <w:trPr>
          <w:trHeight w:val="350"/>
        </w:trPr>
        <w:tc>
          <w:tcPr>
            <w:tcW w:w="4240" w:type="dxa"/>
            <w:vAlign w:val="bottom"/>
          </w:tcPr>
          <w:p>
            <w:pPr>
              <w:spacing w:after="0"/>
              <w:rPr>
                <w:sz w:val="24"/>
                <w:szCs w:val="24"/>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(401) 431-8697</w:t>
            </w:r>
          </w:p>
        </w:tc>
        <w:tc>
          <w:tcPr>
            <w:tcW w:w="3800" w:type="dxa"/>
            <w:vAlign w:val="bottom"/>
          </w:tcPr>
          <w:p>
            <w:pPr>
              <w:spacing w:after="0"/>
              <w:rPr>
                <w:sz w:val="24"/>
                <w:szCs w:val="24"/>
                <w:color w:val="auto"/>
              </w:rPr>
            </w:pPr>
          </w:p>
        </w:tc>
      </w:tr>
      <w:tr>
        <w:trPr>
          <w:trHeight w:val="230"/>
        </w:trPr>
        <w:tc>
          <w:tcPr>
            <w:tcW w:w="99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45"/>
        </w:trPr>
        <w:tc>
          <w:tcPr>
            <w:tcW w:w="424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8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346"/>
        </w:trPr>
        <w:tc>
          <w:tcPr>
            <w:tcW w:w="4240" w:type="dxa"/>
            <w:vAlign w:val="bottom"/>
          </w:tcPr>
          <w:p>
            <w:pPr>
              <w:jc w:val="center"/>
              <w:ind w:right="610"/>
              <w:spacing w:after="0"/>
              <w:rPr>
                <w:sz w:val="20"/>
                <w:szCs w:val="20"/>
                <w:color w:val="auto"/>
              </w:rPr>
            </w:pPr>
            <w:r>
              <w:rPr>
                <w:rFonts w:ascii="Arial" w:cs="Arial" w:eastAsia="Arial" w:hAnsi="Arial"/>
                <w:sz w:val="18"/>
                <w:szCs w:val="18"/>
                <w:color w:val="auto"/>
                <w:w w:val="90"/>
              </w:rPr>
              <w:t>Title of each class</w:t>
            </w:r>
          </w:p>
        </w:tc>
        <w:tc>
          <w:tcPr>
            <w:tcW w:w="1860" w:type="dxa"/>
            <w:vAlign w:val="bottom"/>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3800" w:type="dxa"/>
            <w:vAlign w:val="bottom"/>
          </w:tcPr>
          <w:p>
            <w:pPr>
              <w:jc w:val="center"/>
              <w:ind w:left="532"/>
              <w:spacing w:after="0"/>
              <w:rPr>
                <w:sz w:val="20"/>
                <w:szCs w:val="20"/>
                <w:color w:val="auto"/>
              </w:rPr>
            </w:pPr>
            <w:r>
              <w:rPr>
                <w:rFonts w:ascii="Arial" w:cs="Arial" w:eastAsia="Arial" w:hAnsi="Arial"/>
                <w:sz w:val="18"/>
                <w:szCs w:val="18"/>
                <w:color w:val="auto"/>
                <w:w w:val="89"/>
              </w:rPr>
              <w:t>Name of each exchange on which registered</w:t>
            </w:r>
          </w:p>
        </w:tc>
      </w:tr>
      <w:tr>
        <w:trPr>
          <w:trHeight w:val="242"/>
        </w:trPr>
        <w:tc>
          <w:tcPr>
            <w:tcW w:w="424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Common Stock, $0.50 par value per share</w:t>
            </w:r>
          </w:p>
        </w:tc>
        <w:tc>
          <w:tcPr>
            <w:tcW w:w="1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HAS</w:t>
            </w:r>
          </w:p>
        </w:tc>
        <w:tc>
          <w:tcPr>
            <w:tcW w:w="3800" w:type="dxa"/>
            <w:vAlign w:val="bottom"/>
          </w:tcPr>
          <w:p>
            <w:pPr>
              <w:jc w:val="center"/>
              <w:ind w:left="532"/>
              <w:spacing w:after="0"/>
              <w:rPr>
                <w:sz w:val="20"/>
                <w:szCs w:val="20"/>
                <w:color w:val="auto"/>
              </w:rPr>
            </w:pPr>
            <w:r>
              <w:rPr>
                <w:rFonts w:ascii="Arial" w:cs="Arial" w:eastAsia="Arial" w:hAnsi="Arial"/>
                <w:sz w:val="16"/>
                <w:szCs w:val="16"/>
                <w:b w:val="1"/>
                <w:bCs w:val="1"/>
                <w:color w:val="auto"/>
                <w:w w:val="94"/>
              </w:rPr>
              <w:t>The NASDAQ Global Select Market</w:t>
            </w:r>
          </w:p>
        </w:tc>
      </w:tr>
    </w:tbl>
    <w:p>
      <w:pPr>
        <w:spacing w:after="0" w:line="113" w:lineRule="exact"/>
        <w:rPr>
          <w:sz w:val="24"/>
          <w:szCs w:val="24"/>
          <w:color w:val="auto"/>
        </w:rPr>
      </w:pPr>
    </w:p>
    <w:p>
      <w:pPr>
        <w:jc w:val="both"/>
        <w:ind w:firstLine="567"/>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35" w:lineRule="exact"/>
        <w:rPr>
          <w:sz w:val="24"/>
          <w:szCs w:val="24"/>
          <w:color w:val="auto"/>
        </w:rPr>
      </w:pPr>
    </w:p>
    <w:p>
      <w:pPr>
        <w:ind w:right="240" w:firstLine="567"/>
        <w:spacing w:after="0" w:line="33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1" w:lineRule="exact"/>
        <w:rPr>
          <w:sz w:val="24"/>
          <w:szCs w:val="24"/>
          <w:color w:val="auto"/>
        </w:rPr>
      </w:pPr>
    </w:p>
    <w:p>
      <w:pPr>
        <w:ind w:right="100" w:firstLine="56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66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320"/>
              <w:spacing w:after="0"/>
              <w:rPr>
                <w:sz w:val="20"/>
                <w:szCs w:val="20"/>
                <w:color w:val="auto"/>
              </w:rPr>
            </w:pPr>
            <w:r>
              <w:rPr>
                <w:rFonts w:ascii="Arial" w:cs="Arial" w:eastAsia="Arial" w:hAnsi="Arial"/>
                <w:sz w:val="18"/>
                <w:szCs w:val="18"/>
                <w:color w:val="auto"/>
              </w:rPr>
              <w:t>x</w:t>
            </w:r>
          </w:p>
        </w:tc>
        <w:tc>
          <w:tcPr>
            <w:tcW w:w="420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0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9" w:lineRule="exact"/>
        <w:rPr>
          <w:sz w:val="24"/>
          <w:szCs w:val="24"/>
          <w:color w:val="auto"/>
        </w:rPr>
      </w:pPr>
    </w:p>
    <w:p>
      <w:pPr>
        <w:ind w:right="180" w:firstLine="567"/>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9" w:lineRule="exact"/>
        <w:rPr>
          <w:sz w:val="24"/>
          <w:szCs w:val="24"/>
          <w:color w:val="auto"/>
        </w:rPr>
      </w:pPr>
    </w:p>
    <w:p>
      <w:pPr>
        <w:ind w:left="580"/>
        <w:spacing w:after="0" w:line="207" w:lineRule="exact"/>
        <w:tabs>
          <w:tab w:leader="none" w:pos="91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2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The number of shares of Common Stock, par value $.50 per share, outstanding as of August 3, 2023 was 138,740,874.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212529"/>
        </w:rPr>
        <w:t>Forward Looking Statement Safe Harbor</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212529"/>
        </w:rPr>
        <w:t xml:space="preserve">Certain statements in this Form 10-Q contain "forward-looking statements" within the meaning of the Private Securities Litigation Reform Act of 1995. These statements, which may be identified by the use of forward-looking words or phrases, include statements relating to: </w:t>
      </w:r>
      <w:r>
        <w:rPr>
          <w:rFonts w:ascii="Arial" w:cs="Arial" w:eastAsia="Arial" w:hAnsi="Arial"/>
          <w:sz w:val="17"/>
          <w:szCs w:val="17"/>
          <w:color w:val="000000"/>
        </w:rPr>
        <w:t>our business strategies and plans;</w:t>
      </w:r>
      <w:r>
        <w:rPr>
          <w:rFonts w:ascii="Arial" w:cs="Arial" w:eastAsia="Arial" w:hAnsi="Arial"/>
          <w:sz w:val="17"/>
          <w:szCs w:val="17"/>
          <w:color w:val="212529"/>
        </w:rPr>
        <w:t xml:space="preserve"> </w:t>
      </w:r>
      <w:r>
        <w:rPr>
          <w:rFonts w:ascii="Arial" w:cs="Arial" w:eastAsia="Arial" w:hAnsi="Arial"/>
          <w:sz w:val="17"/>
          <w:szCs w:val="17"/>
          <w:color w:val="000000"/>
        </w:rPr>
        <w:t xml:space="preserve">anticipated payments to be received for content, expected financial performance or business prospects in future periods; the development and timing of planned consumer and digital gaming products and entertainment releases; changes in leadership; expected benefits and cost-savings resulting from the Company’s Operational Excellence Program; expected benefits and cost-reductions from certain restructuring actions and divestiture of non-core businesses or assets, such as parts of the Entertainment One film and television business; inventory; capital expenditures; working capital; cash flow and liquidity; timing of and amount of repayment of indebtedness and production financings; capital allocation strategy, including plans for dividends and share repurchases; and other financial, tax, accounting and similar matters. </w:t>
      </w:r>
      <w:r>
        <w:rPr>
          <w:rFonts w:ascii="Arial" w:cs="Arial" w:eastAsia="Arial" w:hAnsi="Arial"/>
          <w:sz w:val="17"/>
          <w:szCs w:val="17"/>
          <w:color w:val="212529"/>
        </w:rPr>
        <w:t>Our actual actions or results may differ materially from those expected or anticipated</w:t>
      </w:r>
      <w:r>
        <w:rPr>
          <w:rFonts w:ascii="Arial" w:cs="Arial" w:eastAsia="Arial" w:hAnsi="Arial"/>
          <w:sz w:val="17"/>
          <w:szCs w:val="17"/>
          <w:color w:val="000000"/>
        </w:rPr>
        <w:t xml:space="preserve"> </w:t>
      </w:r>
      <w:r>
        <w:rPr>
          <w:rFonts w:ascii="Arial" w:cs="Arial" w:eastAsia="Arial" w:hAnsi="Arial"/>
          <w:sz w:val="17"/>
          <w:szCs w:val="17"/>
          <w:color w:val="212529"/>
        </w:rPr>
        <w:t>in the forward-looking statements due to both known and unknown risks and uncertainties. Factors that might cause such a difference include, but are not limited to:</w:t>
      </w:r>
    </w:p>
    <w:p>
      <w:pPr>
        <w:spacing w:after="0" w:line="64" w:lineRule="exact"/>
        <w:rPr>
          <w:sz w:val="20"/>
          <w:szCs w:val="20"/>
          <w:color w:val="auto"/>
        </w:rPr>
      </w:pPr>
    </w:p>
    <w:p>
      <w:pPr>
        <w:ind w:left="660" w:hanging="328"/>
        <w:spacing w:after="0" w:line="239"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execute on our Blueprint 2.0 strategy, including to focus on and scale select business initiatives and brands to drive profitability and to achieve anticipated cost savings;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design, develop, manufacture, and ship products on a timely, cost-effective and profitable basis;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compete in the play and entertainment industry;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evolve and transform our business and capabilities to address the global consumer landscape;</w:t>
      </w:r>
    </w:p>
    <w:p>
      <w:pPr>
        <w:spacing w:after="0" w:line="80" w:lineRule="exact"/>
        <w:rPr>
          <w:rFonts w:ascii="Arial" w:cs="Arial" w:eastAsia="Arial" w:hAnsi="Arial"/>
          <w:sz w:val="22"/>
          <w:szCs w:val="22"/>
          <w:color w:val="auto"/>
        </w:rPr>
      </w:pPr>
    </w:p>
    <w:p>
      <w:pPr>
        <w:jc w:val="both"/>
        <w:ind w:left="660" w:hanging="328"/>
        <w:spacing w:after="0" w:line="23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inflation and downturns in global and regional economic conditions impacting one or more of the markets in which we sell products, which can negatively impact our retail customers and consumers, result in lower employment levels, consumer disposable income, retailer inventories and spending, including lower spending on purchases of our products;</w:t>
      </w:r>
    </w:p>
    <w:p>
      <w:pPr>
        <w:spacing w:after="0" w:line="81"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dependence on third party relationships, including with third party manufacturers, licensors of brands, studios, content producers and entertainment distribution channels;</w:t>
      </w:r>
    </w:p>
    <w:p>
      <w:pPr>
        <w:spacing w:after="0" w:line="81" w:lineRule="exact"/>
        <w:rPr>
          <w:rFonts w:ascii="Arial" w:cs="Arial" w:eastAsia="Arial" w:hAnsi="Arial"/>
          <w:sz w:val="22"/>
          <w:szCs w:val="22"/>
          <w:color w:val="auto"/>
        </w:rPr>
      </w:pPr>
    </w:p>
    <w:p>
      <w:pPr>
        <w:ind w:left="660" w:right="340" w:hanging="328"/>
        <w:spacing w:after="0" w:line="264" w:lineRule="auto"/>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risk that any prolonged strike by, or lockout of, one or more of the unions that provide personnel essential to the production of films or television programs, such as the ongoing strike by the writers’ and actors' unions in May 2023 and July 2023, could delay or halt our ongoing development, production and distribution activities; halts or delays, depending on the length of time, could cause a delay or interruption in our release of new films and television programs, which could impact our entertainment business;</w:t>
      </w:r>
    </w:p>
    <w:p>
      <w:pPr>
        <w:spacing w:after="0" w:line="61" w:lineRule="exact"/>
        <w:rPr>
          <w:rFonts w:ascii="Arial" w:cs="Arial" w:eastAsia="Arial" w:hAnsi="Arial"/>
          <w:sz w:val="21"/>
          <w:szCs w:val="21"/>
          <w:color w:val="auto"/>
        </w:rPr>
      </w:pPr>
    </w:p>
    <w:p>
      <w:pPr>
        <w:ind w:left="660" w:hanging="328"/>
        <w:spacing w:after="0" w:line="232"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relating to the concentration of manufacturing for many of our products in the People’s Republic of China and our ability to successfully diversify sourcing of our products to reduce reliance on sources of supply in China;</w:t>
      </w:r>
    </w:p>
    <w:p>
      <w:pPr>
        <w:spacing w:after="0" w:line="81" w:lineRule="exact"/>
        <w:rPr>
          <w:rFonts w:ascii="Arial" w:cs="Arial" w:eastAsia="Arial" w:hAnsi="Arial"/>
          <w:sz w:val="22"/>
          <w:szCs w:val="22"/>
          <w:color w:val="auto"/>
        </w:rPr>
      </w:pPr>
    </w:p>
    <w:p>
      <w:pPr>
        <w:jc w:val="both"/>
        <w:ind w:left="66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related to economic and public health conditions or regulatory changes in the markets in which we and our customers, partners, licensees, suppliers and manufacturers operate, such as inflation, rising interest rates, higher commodity prices, labor costs or transportation costs, the coronavirus or other outbreaks of illness or disease, the occurrence of which could create work slowdowns, delays or shortages in production or shipment of products, increases in costs or delays in revenue;</w:t>
      </w:r>
    </w:p>
    <w:p>
      <w:pPr>
        <w:spacing w:after="0" w:line="80" w:lineRule="exact"/>
        <w:rPr>
          <w:rFonts w:ascii="Arial" w:cs="Arial" w:eastAsia="Arial" w:hAnsi="Arial"/>
          <w:sz w:val="22"/>
          <w:szCs w:val="22"/>
          <w:color w:val="auto"/>
        </w:rPr>
      </w:pPr>
    </w:p>
    <w:p>
      <w:pPr>
        <w:ind w:left="660" w:hanging="328"/>
        <w:spacing w:after="0" w:line="251" w:lineRule="auto"/>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color w:val="auto"/>
        </w:rPr>
        <w:t>risks associated with international operations, such as currency conversion, currency fluctuations, the imposition of tariffs, quotas, shipping delays or difficulties, border adjustment taxes or other protectionist measures, and other challenges in the territories in which we operate;</w:t>
      </w:r>
    </w:p>
    <w:p>
      <w:pPr>
        <w:spacing w:after="0" w:line="69" w:lineRule="exact"/>
        <w:rPr>
          <w:rFonts w:ascii="Arial" w:cs="Arial" w:eastAsia="Arial" w:hAnsi="Arial"/>
          <w:sz w:val="21"/>
          <w:szCs w:val="21"/>
          <w:color w:val="auto"/>
        </w:rPr>
      </w:pPr>
    </w:p>
    <w:p>
      <w:pPr>
        <w:ind w:left="660" w:hanging="328"/>
        <w:spacing w:after="0" w:line="251" w:lineRule="auto"/>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46" w:lineRule="exact"/>
        <w:rPr>
          <w:rFonts w:ascii="Arial" w:cs="Arial" w:eastAsia="Arial" w:hAnsi="Arial"/>
          <w:sz w:val="21"/>
          <w:szCs w:val="2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related to our leadership changes;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attract and retain talented and diverse employees;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realize the benefits of cost-savings and efficiency and/or revenue and operating profit enhancing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relating to the impairment and/or write-offs of businesses, products and content we acquire and/or produce;</w:t>
      </w:r>
    </w:p>
    <w:p>
      <w:pPr>
        <w:spacing w:after="0" w:line="80" w:lineRule="exact"/>
        <w:rPr>
          <w:rFonts w:ascii="Arial" w:cs="Arial" w:eastAsia="Arial" w:hAnsi="Arial"/>
          <w:sz w:val="22"/>
          <w:szCs w:val="22"/>
          <w:color w:val="auto"/>
        </w:rPr>
      </w:pPr>
    </w:p>
    <w:p>
      <w:pPr>
        <w:jc w:val="both"/>
        <w:ind w:left="660" w:hanging="328"/>
        <w:spacing w:after="0" w:line="238"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risk that acquisitions, dispositions and other investments we complete may not provide us with the benefits we expect, or the realization of such benefits may be significantly delayed. We may not achieve a successful or timely sale of non-core assets, including certain film and television assets;</w:t>
      </w:r>
    </w:p>
    <w:p>
      <w:pPr>
        <w:spacing w:after="0" w:line="81" w:lineRule="exact"/>
        <w:rPr>
          <w:rFonts w:ascii="Arial" w:cs="Arial" w:eastAsia="Arial" w:hAnsi="Arial"/>
          <w:sz w:val="22"/>
          <w:szCs w:val="22"/>
          <w:color w:val="auto"/>
        </w:rPr>
      </w:pPr>
    </w:p>
    <w:p>
      <w:pPr>
        <w:ind w:left="660" w:hanging="328"/>
        <w:spacing w:after="0" w:line="239"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protect our assets and intellectual property, including as a result of infringement, theft, misappropriation, cyber-attacks or other acts compromising the integrity of our assets or intellectual property;</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fluctuations in our business due to seasonality;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risk of product recalls or product liability suits and costs associated with product safety regulations;</w:t>
      </w:r>
    </w:p>
    <w:p>
      <w:pPr>
        <w:spacing w:after="0" w:line="80"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in tax laws or regulations, or the interpretation and application of such laws and regulations, which may cause us to alter tax reserves or make other changes which significantly impact our reported financial results;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impact of litigation or arbitration decisions or settlement actions;</w:t>
      </w:r>
    </w:p>
    <w:p>
      <w:pPr>
        <w:spacing w:after="0" w:line="80" w:lineRule="exact"/>
        <w:rPr>
          <w:rFonts w:ascii="Arial" w:cs="Arial" w:eastAsia="Arial" w:hAnsi="Arial"/>
          <w:sz w:val="22"/>
          <w:szCs w:val="22"/>
          <w:color w:val="auto"/>
        </w:rPr>
      </w:pPr>
    </w:p>
    <w:p>
      <w:pPr>
        <w:ind w:left="660" w:hanging="328"/>
        <w:spacing w:after="0" w:line="239"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concentration of our customers, potentially increasing the negative impact to our business of difficulties experienced by any of our customers or changes in their purchasing or selling patterns;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bankruptcy or other lack of success of one or more of our significant retailers, licensees and other partners; and</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19"/>
          <w:szCs w:val="19"/>
          <w:color w:val="auto"/>
        </w:rPr>
      </w:pPr>
      <w:r>
        <w:rPr>
          <w:rFonts w:ascii="Arial" w:cs="Arial" w:eastAsia="Arial" w:hAnsi="Arial"/>
          <w:sz w:val="16"/>
          <w:szCs w:val="16"/>
          <w:color w:val="auto"/>
        </w:rPr>
        <w:t>other risks and uncertainties as may be detailed in our public announcements and U.S. Securities and Exchange Commission (“SEC”) filings.</w:t>
      </w:r>
    </w:p>
    <w:p>
      <w:pPr>
        <w:spacing w:after="0" w:line="106" w:lineRule="exact"/>
        <w:rPr>
          <w:sz w:val="20"/>
          <w:szCs w:val="20"/>
          <w:color w:val="auto"/>
        </w:rPr>
      </w:pPr>
    </w:p>
    <w:p>
      <w:pPr>
        <w:spacing w:after="0" w:line="342" w:lineRule="auto"/>
        <w:rPr>
          <w:sz w:val="20"/>
          <w:szCs w:val="20"/>
          <w:color w:val="auto"/>
        </w:rPr>
      </w:pPr>
      <w:r>
        <w:rPr>
          <w:rFonts w:ascii="Arial" w:cs="Arial" w:eastAsia="Arial" w:hAnsi="Arial"/>
          <w:sz w:val="16"/>
          <w:szCs w:val="16"/>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b w:val="1"/>
                <w:bCs w:val="1"/>
                <w:color w:val="auto"/>
              </w:rPr>
              <w:t>July 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b w:val="1"/>
                <w:bCs w:val="1"/>
                <w:color w:val="auto"/>
              </w:rPr>
              <w:t>June 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December 25,</w:t>
            </w:r>
          </w:p>
        </w:tc>
      </w:tr>
      <w:tr>
        <w:trPr>
          <w:trHeight w:val="213"/>
        </w:trPr>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line="185" w:lineRule="exact"/>
              <w:rPr>
                <w:sz w:val="20"/>
                <w:szCs w:val="20"/>
                <w:color w:val="auto"/>
              </w:rPr>
            </w:pPr>
            <w:r>
              <w:rPr>
                <w:rFonts w:ascii="Arial" w:cs="Arial" w:eastAsia="Arial" w:hAnsi="Arial"/>
                <w:sz w:val="18"/>
                <w:szCs w:val="18"/>
                <w:b w:val="1"/>
                <w:bCs w:val="1"/>
                <w:color w:val="auto"/>
                <w:w w:val="91"/>
              </w:rPr>
              <w:t>ASSETS</w:t>
            </w:r>
          </w:p>
        </w:tc>
        <w:tc>
          <w:tcPr>
            <w:tcW w:w="6320" w:type="dxa"/>
            <w:vAlign w:val="bottom"/>
            <w:tcBorders>
              <w:bottom w:val="single" w:sz="8" w:color="CCEEFF"/>
            </w:tcBorders>
            <w:gridSpan w:val="2"/>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6"/>
              </w:rPr>
              <w:t>Cash and cash equivalents including restricted cash of $4.9 million, $41.9 million and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20" w:type="dxa"/>
            <w:vAlign w:val="bottom"/>
            <w:shd w:val="clear" w:color="auto" w:fill="CCEEFF"/>
          </w:tcPr>
          <w:p>
            <w:pPr>
              <w:spacing w:after="0"/>
              <w:rPr>
                <w:sz w:val="22"/>
                <w:szCs w:val="22"/>
                <w:color w:val="auto"/>
              </w:rPr>
            </w:pPr>
          </w:p>
        </w:tc>
        <w:tc>
          <w:tcPr>
            <w:tcW w:w="7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$14.5 million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r>
      <w:tr>
        <w:trPr>
          <w:trHeight w:val="229"/>
        </w:trPr>
        <w:tc>
          <w:tcPr>
            <w:tcW w:w="20" w:type="dxa"/>
            <w:vAlign w:val="bottom"/>
          </w:tcPr>
          <w:p>
            <w:pPr>
              <w:spacing w:after="0"/>
              <w:rPr>
                <w:sz w:val="19"/>
                <w:szCs w:val="19"/>
                <w:color w:val="auto"/>
              </w:rPr>
            </w:pPr>
          </w:p>
        </w:tc>
        <w:tc>
          <w:tcPr>
            <w:tcW w:w="7000" w:type="dxa"/>
            <w:vAlign w:val="bottom"/>
            <w:gridSpan w:val="3"/>
          </w:tcPr>
          <w:p>
            <w:pPr>
              <w:ind w:left="440"/>
              <w:spacing w:after="0"/>
              <w:rPr>
                <w:sz w:val="20"/>
                <w:szCs w:val="20"/>
                <w:color w:val="auto"/>
              </w:rPr>
            </w:pPr>
            <w:r>
              <w:rPr>
                <w:rFonts w:ascii="Arial" w:cs="Arial" w:eastAsia="Arial" w:hAnsi="Arial"/>
                <w:sz w:val="18"/>
                <w:szCs w:val="18"/>
                <w:color w:val="auto"/>
                <w:w w:val="93"/>
              </w:rPr>
              <w:t>Accounts receivable, less allowance for doubtful accounts of $22.2 million, $24.9 million</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000" w:type="dxa"/>
            <w:vAlign w:val="bottom"/>
            <w:gridSpan w:val="3"/>
          </w:tcPr>
          <w:p>
            <w:pPr>
              <w:ind w:left="440"/>
              <w:spacing w:after="0"/>
              <w:rPr>
                <w:sz w:val="20"/>
                <w:szCs w:val="20"/>
                <w:color w:val="auto"/>
              </w:rPr>
            </w:pPr>
            <w:r>
              <w:rPr>
                <w:rFonts w:ascii="Arial" w:cs="Arial" w:eastAsia="Arial" w:hAnsi="Arial"/>
                <w:sz w:val="18"/>
                <w:szCs w:val="18"/>
                <w:color w:val="auto"/>
              </w:rPr>
              <w:t>and $20.0 million</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1,132.4</w:t>
            </w: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w:t>
            </w:r>
          </w:p>
        </w:tc>
      </w:tr>
      <w:tr>
        <w:trPr>
          <w:trHeight w:val="229"/>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3"/>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w:t>
            </w:r>
          </w:p>
        </w:tc>
      </w:tr>
      <w:tr>
        <w:trPr>
          <w:trHeight w:val="223"/>
        </w:trPr>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2,999.1</w:t>
            </w:r>
          </w:p>
        </w:tc>
      </w:tr>
      <w:tr>
        <w:trPr>
          <w:trHeight w:val="229"/>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w w:val="93"/>
              </w:rPr>
              <w:t>Property, plant and equipment, less accumulated depreciation of $643.4 million, $644.2 million</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and $654.5 million</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3,470.1</w:t>
            </w:r>
          </w:p>
        </w:tc>
      </w:tr>
      <w:tr>
        <w:trPr>
          <w:trHeight w:val="235"/>
        </w:trPr>
        <w:tc>
          <w:tcPr>
            <w:tcW w:w="20" w:type="dxa"/>
            <w:vAlign w:val="bottom"/>
            <w:shd w:val="clear" w:color="auto" w:fill="CCEEFF"/>
          </w:tcPr>
          <w:p>
            <w:pPr>
              <w:spacing w:after="0"/>
              <w:rPr>
                <w:sz w:val="20"/>
                <w:szCs w:val="20"/>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6"/>
              </w:rPr>
              <w:t>Other intangible assets, net of accumulated amortization of $1,259.9 million, $1,089.4</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57"/>
        </w:trPr>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 and $1,137.2 million</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r>
      <w:tr>
        <w:trPr>
          <w:trHeight w:val="230"/>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3"/>
          </w:tcPr>
          <w:p>
            <w:pPr>
              <w:ind w:left="4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1,589.3</w:t>
            </w: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5,585.3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5,874.0</w:t>
            </w: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2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8,609.7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9,503.0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9,295.9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NONCONTROLLING INTERESTS AND SHAREHOLDERS' EQUITY</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6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Short-term borrowings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263"/>
        </w:trPr>
        <w:tc>
          <w:tcPr>
            <w:tcW w:w="20" w:type="dxa"/>
            <w:vAlign w:val="bottom"/>
          </w:tcPr>
          <w:p>
            <w:pPr>
              <w:spacing w:after="0"/>
              <w:rPr>
                <w:sz w:val="22"/>
                <w:szCs w:val="22"/>
                <w:color w:val="auto"/>
              </w:rPr>
            </w:pPr>
          </w:p>
        </w:tc>
        <w:tc>
          <w:tcPr>
            <w:tcW w:w="7000" w:type="dxa"/>
            <w:vAlign w:val="bottom"/>
            <w:gridSpan w:val="3"/>
          </w:tcPr>
          <w:p>
            <w:pPr>
              <w:ind w:left="3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77"/>
        </w:trPr>
        <w:tc>
          <w:tcPr>
            <w:tcW w:w="20" w:type="dxa"/>
            <w:vAlign w:val="bottom"/>
            <w:shd w:val="clear" w:color="auto" w:fill="CCEEFF"/>
          </w:tcPr>
          <w:p>
            <w:pPr>
              <w:spacing w:after="0"/>
              <w:rPr>
                <w:sz w:val="24"/>
                <w:szCs w:val="24"/>
                <w:color w:val="auto"/>
              </w:rPr>
            </w:pPr>
          </w:p>
        </w:tc>
        <w:tc>
          <w:tcPr>
            <w:tcW w:w="7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r>
      <w:tr>
        <w:trPr>
          <w:trHeight w:val="256"/>
        </w:trPr>
        <w:tc>
          <w:tcPr>
            <w:tcW w:w="20" w:type="dxa"/>
            <w:vAlign w:val="bottom"/>
          </w:tcPr>
          <w:p>
            <w:pPr>
              <w:spacing w:after="0"/>
              <w:rPr>
                <w:sz w:val="22"/>
                <w:szCs w:val="22"/>
                <w:color w:val="auto"/>
              </w:rPr>
            </w:pPr>
          </w:p>
        </w:tc>
        <w:tc>
          <w:tcPr>
            <w:tcW w:w="7000" w:type="dxa"/>
            <w:vAlign w:val="bottom"/>
            <w:gridSpan w:val="3"/>
          </w:tcPr>
          <w:p>
            <w:pPr>
              <w:ind w:left="38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1,379.4</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1,506.8</w:t>
            </w:r>
          </w:p>
        </w:tc>
      </w:tr>
      <w:tr>
        <w:trPr>
          <w:trHeight w:val="263"/>
        </w:trPr>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2,189.7</w:t>
            </w:r>
          </w:p>
        </w:tc>
      </w:tr>
      <w:tr>
        <w:trPr>
          <w:trHeight w:val="263"/>
        </w:trPr>
        <w:tc>
          <w:tcPr>
            <w:tcW w:w="20" w:type="dxa"/>
            <w:vAlign w:val="bottom"/>
          </w:tcPr>
          <w:p>
            <w:pPr>
              <w:spacing w:after="0"/>
              <w:rPr>
                <w:sz w:val="22"/>
                <w:szCs w:val="22"/>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3,711.2</w:t>
            </w: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32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6,139.5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6,467.2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6,434.0</w:t>
            </w:r>
          </w:p>
        </w:tc>
      </w:tr>
      <w:tr>
        <w:trPr>
          <w:trHeight w:val="263"/>
        </w:trPr>
        <w:tc>
          <w:tcPr>
            <w:tcW w:w="20" w:type="dxa"/>
            <w:vAlign w:val="bottom"/>
            <w:shd w:val="clear" w:color="auto" w:fill="CCEEFF"/>
          </w:tcPr>
          <w:p>
            <w:pPr>
              <w:spacing w:after="0"/>
              <w:rPr>
                <w:sz w:val="22"/>
                <w:szCs w:val="22"/>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2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p>
      <w:pPr>
        <w:spacing w:after="0" w:line="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Preference stock of $2.50 par value. Authorized 5,000,000 shares; none issued</w:t>
      </w:r>
    </w:p>
    <w:p>
      <w:pPr>
        <w:spacing w:after="0" w:line="63" w:lineRule="exact"/>
        <w:rPr>
          <w:sz w:val="20"/>
          <w:szCs w:val="20"/>
          <w:color w:val="auto"/>
        </w:rPr>
      </w:pPr>
    </w:p>
    <w:p>
      <w:pPr>
        <w:ind w:left="720" w:right="300" w:hanging="323"/>
        <w:spacing w:after="0" w:line="298" w:lineRule="auto"/>
        <w:rPr>
          <w:sz w:val="20"/>
          <w:szCs w:val="20"/>
          <w:color w:val="auto"/>
        </w:rPr>
      </w:pPr>
      <w:r>
        <w:rPr>
          <w:rFonts w:ascii="Arial" w:cs="Arial" w:eastAsia="Arial" w:hAnsi="Arial"/>
          <w:sz w:val="17"/>
          <w:szCs w:val="17"/>
          <w:color w:val="auto"/>
        </w:rPr>
        <w:t>Common stock of $0.50 par value. Authorized 600,000,000 shares; issued 220,286,736 shares at July 2, 2023, June 26, 2022, and December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ind w:left="720" w:right="240" w:hanging="323"/>
        <w:spacing w:after="0" w:line="277" w:lineRule="auto"/>
        <w:rPr>
          <w:sz w:val="20"/>
          <w:szCs w:val="20"/>
          <w:color w:val="auto"/>
        </w:rPr>
      </w:pPr>
      <w:r>
        <w:rPr>
          <w:rFonts w:ascii="Arial" w:cs="Arial" w:eastAsia="Arial" w:hAnsi="Arial"/>
          <w:sz w:val="18"/>
          <w:szCs w:val="18"/>
          <w:color w:val="auto"/>
        </w:rPr>
        <w:t>Treasury stock, at cost; 81,568,249 shares at July 2, 2023; 82,199,298 shares at June 26, 2022; and 82,106,383 shares at December 25, 2022</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420"/>
        <w:spacing w:after="0"/>
        <w:tabs>
          <w:tab w:leader="none" w:pos="1860" w:val="left"/>
          <w:tab w:leader="none" w:pos="3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220"/>
        <w:spacing w:after="0"/>
        <w:tabs>
          <w:tab w:leader="none" w:pos="1640" w:val="left"/>
          <w:tab w:leader="none" w:pos="306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8"/>
          <w:szCs w:val="18"/>
          <w:color w:val="auto"/>
        </w:rPr>
        <w:t>110.1</w:t>
      </w:r>
      <w:r>
        <w:rPr>
          <w:sz w:val="20"/>
          <w:szCs w:val="20"/>
          <w:color w:val="auto"/>
        </w:rPr>
        <w:tab/>
      </w:r>
      <w:r>
        <w:rPr>
          <w:rFonts w:ascii="Arial" w:cs="Arial" w:eastAsia="Arial" w:hAnsi="Arial"/>
          <w:sz w:val="15"/>
          <w:szCs w:val="15"/>
          <w:color w:val="auto"/>
        </w:rPr>
        <w:t>110.1</w:t>
      </w:r>
    </w:p>
    <w:p>
      <w:pPr>
        <w:spacing w:after="0" w:line="63" w:lineRule="exact"/>
        <w:rPr>
          <w:sz w:val="20"/>
          <w:szCs w:val="20"/>
          <w:color w:val="auto"/>
        </w:rPr>
      </w:pPr>
    </w:p>
    <w:p>
      <w:pPr>
        <w:ind w:left="60"/>
        <w:spacing w:after="0"/>
        <w:tabs>
          <w:tab w:leader="none" w:pos="1500" w:val="left"/>
          <w:tab w:leader="none" w:pos="2920" w:val="left"/>
        </w:tabs>
        <w:rPr>
          <w:sz w:val="20"/>
          <w:szCs w:val="20"/>
          <w:color w:val="auto"/>
        </w:rPr>
      </w:pPr>
      <w:r>
        <w:rPr>
          <w:rFonts w:ascii="Arial" w:cs="Arial" w:eastAsia="Arial" w:hAnsi="Arial"/>
          <w:sz w:val="18"/>
          <w:szCs w:val="18"/>
          <w:color w:val="auto"/>
        </w:rPr>
        <w:t>2,554.6</w:t>
      </w:r>
      <w:r>
        <w:rPr>
          <w:sz w:val="20"/>
          <w:szCs w:val="20"/>
          <w:color w:val="auto"/>
        </w:rPr>
        <w:tab/>
      </w:r>
      <w:r>
        <w:rPr>
          <w:rFonts w:ascii="Arial" w:cs="Arial" w:eastAsia="Arial" w:hAnsi="Arial"/>
          <w:sz w:val="18"/>
          <w:szCs w:val="18"/>
          <w:color w:val="auto"/>
        </w:rPr>
        <w:t>2,503.4</w:t>
      </w:r>
      <w:r>
        <w:rPr>
          <w:sz w:val="20"/>
          <w:szCs w:val="20"/>
          <w:color w:val="auto"/>
        </w:rPr>
        <w:tab/>
      </w:r>
      <w:r>
        <w:rPr>
          <w:rFonts w:ascii="Arial" w:cs="Arial" w:eastAsia="Arial" w:hAnsi="Arial"/>
          <w:sz w:val="16"/>
          <w:szCs w:val="16"/>
          <w:color w:val="auto"/>
        </w:rPr>
        <w:t>2,540.6</w:t>
      </w:r>
    </w:p>
    <w:p>
      <w:pPr>
        <w:spacing w:after="0" w:line="63" w:lineRule="exact"/>
        <w:rPr>
          <w:sz w:val="20"/>
          <w:szCs w:val="20"/>
          <w:color w:val="auto"/>
        </w:rPr>
      </w:pPr>
    </w:p>
    <w:p>
      <w:pPr>
        <w:ind w:left="60"/>
        <w:spacing w:after="0"/>
        <w:tabs>
          <w:tab w:leader="none" w:pos="1500" w:val="left"/>
          <w:tab w:leader="none" w:pos="2920" w:val="left"/>
        </w:tabs>
        <w:rPr>
          <w:sz w:val="20"/>
          <w:szCs w:val="20"/>
          <w:color w:val="auto"/>
        </w:rPr>
      </w:pPr>
      <w:r>
        <w:rPr>
          <w:rFonts w:ascii="Arial" w:cs="Arial" w:eastAsia="Arial" w:hAnsi="Arial"/>
          <w:sz w:val="18"/>
          <w:szCs w:val="18"/>
          <w:color w:val="auto"/>
        </w:rPr>
        <w:t>3,618.1</w:t>
      </w:r>
      <w:r>
        <w:rPr>
          <w:sz w:val="20"/>
          <w:szCs w:val="20"/>
          <w:color w:val="auto"/>
        </w:rPr>
        <w:tab/>
      </w:r>
      <w:r>
        <w:rPr>
          <w:rFonts w:ascii="Arial" w:cs="Arial" w:eastAsia="Arial" w:hAnsi="Arial"/>
          <w:sz w:val="18"/>
          <w:szCs w:val="18"/>
          <w:color w:val="auto"/>
        </w:rPr>
        <w:t>4,265.9</w:t>
      </w:r>
      <w:r>
        <w:rPr>
          <w:sz w:val="20"/>
          <w:szCs w:val="20"/>
          <w:color w:val="auto"/>
        </w:rPr>
        <w:tab/>
      </w:r>
      <w:r>
        <w:rPr>
          <w:rFonts w:ascii="Arial" w:cs="Arial" w:eastAsia="Arial" w:hAnsi="Arial"/>
          <w:sz w:val="16"/>
          <w:szCs w:val="16"/>
          <w:color w:val="auto"/>
        </w:rPr>
        <w:t>4,071.4</w:t>
      </w:r>
    </w:p>
    <w:p>
      <w:pPr>
        <w:spacing w:after="0" w:line="63" w:lineRule="exact"/>
        <w:rPr>
          <w:sz w:val="20"/>
          <w:szCs w:val="20"/>
          <w:color w:val="auto"/>
        </w:rPr>
      </w:pPr>
    </w:p>
    <w:p>
      <w:pPr>
        <w:ind w:left="120"/>
        <w:spacing w:after="0"/>
        <w:tabs>
          <w:tab w:leader="none" w:pos="1560" w:val="left"/>
          <w:tab w:leader="none" w:pos="2980" w:val="left"/>
        </w:tabs>
        <w:rPr>
          <w:sz w:val="20"/>
          <w:szCs w:val="20"/>
          <w:color w:val="auto"/>
        </w:rPr>
      </w:pPr>
      <w:r>
        <w:rPr>
          <w:rFonts w:ascii="Arial" w:cs="Arial" w:eastAsia="Arial" w:hAnsi="Arial"/>
          <w:sz w:val="18"/>
          <w:szCs w:val="18"/>
          <w:color w:val="auto"/>
        </w:rPr>
        <w:t>(213.5)</w:t>
      </w:r>
      <w:r>
        <w:rPr>
          <w:sz w:val="20"/>
          <w:szCs w:val="20"/>
          <w:color w:val="auto"/>
        </w:rPr>
        <w:tab/>
      </w:r>
      <w:r>
        <w:rPr>
          <w:rFonts w:ascii="Arial" w:cs="Arial" w:eastAsia="Arial" w:hAnsi="Arial"/>
          <w:sz w:val="18"/>
          <w:szCs w:val="18"/>
          <w:color w:val="auto"/>
        </w:rPr>
        <w:t>(259.6)</w:t>
      </w:r>
      <w:r>
        <w:rPr>
          <w:sz w:val="20"/>
          <w:szCs w:val="20"/>
          <w:color w:val="auto"/>
        </w:rPr>
        <w:tab/>
      </w:r>
      <w:r>
        <w:rPr>
          <w:rFonts w:ascii="Arial" w:cs="Arial" w:eastAsia="Arial" w:hAnsi="Arial"/>
          <w:sz w:val="17"/>
          <w:szCs w:val="17"/>
          <w:color w:val="auto"/>
        </w:rPr>
        <w:t>(254.9)</w:t>
      </w:r>
    </w:p>
    <w:p>
      <w:pPr>
        <w:spacing w:after="0" w:line="279" w:lineRule="exact"/>
        <w:rPr>
          <w:sz w:val="20"/>
          <w:szCs w:val="20"/>
          <w:color w:val="auto"/>
        </w:rPr>
      </w:pPr>
    </w:p>
    <w:p>
      <w:pPr>
        <w:spacing w:after="0"/>
        <w:tabs>
          <w:tab w:leader="none" w:pos="1420" w:val="left"/>
          <w:tab w:leader="none" w:pos="2860" w:val="left"/>
        </w:tabs>
        <w:rPr>
          <w:sz w:val="20"/>
          <w:szCs w:val="20"/>
          <w:color w:val="auto"/>
        </w:rPr>
      </w:pPr>
      <w:r>
        <w:rPr>
          <w:rFonts w:ascii="Arial" w:cs="Arial" w:eastAsia="Arial" w:hAnsi="Arial"/>
          <w:sz w:val="18"/>
          <w:szCs w:val="18"/>
          <w:color w:val="auto"/>
        </w:rPr>
        <w:t>(3,626.3)</w:t>
      </w:r>
      <w:r>
        <w:rPr>
          <w:sz w:val="20"/>
          <w:szCs w:val="20"/>
          <w:color w:val="auto"/>
        </w:rPr>
        <w:tab/>
      </w:r>
      <w:r>
        <w:rPr>
          <w:rFonts w:ascii="Arial" w:cs="Arial" w:eastAsia="Arial" w:hAnsi="Arial"/>
          <w:sz w:val="18"/>
          <w:szCs w:val="18"/>
          <w:color w:val="auto"/>
        </w:rPr>
        <w:t>(3,636.2)</w:t>
      </w:r>
      <w:r>
        <w:rPr>
          <w:sz w:val="20"/>
          <w:szCs w:val="20"/>
          <w:color w:val="auto"/>
        </w:rPr>
        <w:tab/>
      </w:r>
      <w:r>
        <w:rPr>
          <w:rFonts w:ascii="Arial" w:cs="Arial" w:eastAsia="Arial" w:hAnsi="Arial"/>
          <w:sz w:val="16"/>
          <w:szCs w:val="16"/>
          <w:color w:val="auto"/>
        </w:rPr>
        <w:t>(3,634.4)</w:t>
      </w:r>
    </w:p>
    <w:p>
      <w:pPr>
        <w:spacing w:after="0" w:line="43" w:lineRule="exact"/>
        <w:rPr>
          <w:sz w:val="20"/>
          <w:szCs w:val="20"/>
          <w:color w:val="auto"/>
        </w:rPr>
      </w:pPr>
    </w:p>
    <w:p>
      <w:pPr>
        <w:sectPr>
          <w:pgSz w:w="11900" w:h="16838" w:orient="portrait"/>
          <w:cols w:equalWidth="0" w:num="2">
            <w:col w:w="6960" w:space="720"/>
            <w:col w:w="3560"/>
          </w:cols>
          <w:pgMar w:left="320" w:top="1066"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50"/>
        </w:trPr>
        <w:tc>
          <w:tcPr>
            <w:tcW w:w="7020" w:type="dxa"/>
            <w:vAlign w:val="bottom"/>
          </w:tcPr>
          <w:p>
            <w:pPr>
              <w:ind w:left="880"/>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3,012.8</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2,861.9</w:t>
            </w:r>
          </w:p>
        </w:tc>
      </w:tr>
      <w:tr>
        <w:trPr>
          <w:trHeight w:val="256"/>
        </w:trPr>
        <w:tc>
          <w:tcPr>
            <w:tcW w:w="7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noncontrolling interests and shareholders' equity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1">
            <w:col w:w="11240"/>
          </w:cols>
          <w:pgMar w:left="320" w:top="1066" w:right="339" w:bottom="1440" w:gutter="0" w:footer="0" w:header="0"/>
          <w:type w:val="continuous"/>
        </w:sectPr>
      </w:pPr>
    </w:p>
    <w:p>
      <w:pPr>
        <w:spacing w:after="0"/>
        <w:rPr>
          <w:sz w:val="20"/>
          <w:szCs w:val="20"/>
          <w:color w:val="auto"/>
        </w:rPr>
      </w:pPr>
      <w:r>
        <w:rPr>
          <w:rFonts w:ascii="Arial" w:cs="Arial" w:eastAsia="Arial" w:hAnsi="Arial"/>
          <w:sz w:val="16"/>
          <w:szCs w:val="16"/>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139"/>
        </w:trPr>
        <w:tc>
          <w:tcPr>
            <w:tcW w:w="5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352"/>
              <w:spacing w:after="0" w:line="139" w:lineRule="exact"/>
              <w:rPr>
                <w:sz w:val="20"/>
                <w:szCs w:val="20"/>
                <w:color w:val="auto"/>
              </w:rPr>
            </w:pPr>
            <w:r>
              <w:rPr>
                <w:rFonts w:ascii="Arial" w:cs="Arial" w:eastAsia="Arial" w:hAnsi="Arial"/>
                <w:sz w:val="14"/>
                <w:szCs w:val="14"/>
                <w:b w:val="1"/>
                <w:bCs w:val="1"/>
                <w:color w:val="auto"/>
              </w:rPr>
              <w:t>July 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311"/>
              <w:spacing w:after="0" w:line="139" w:lineRule="exact"/>
              <w:rPr>
                <w:sz w:val="20"/>
                <w:szCs w:val="20"/>
                <w:color w:val="auto"/>
              </w:rPr>
            </w:pPr>
            <w:r>
              <w:rPr>
                <w:rFonts w:ascii="Arial" w:cs="Arial" w:eastAsia="Arial" w:hAnsi="Arial"/>
                <w:sz w:val="14"/>
                <w:szCs w:val="14"/>
                <w:b w:val="1"/>
                <w:bCs w:val="1"/>
                <w:color w:val="auto"/>
              </w:rPr>
              <w:t>June 26,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352"/>
              <w:spacing w:after="0" w:line="139" w:lineRule="exact"/>
              <w:rPr>
                <w:sz w:val="20"/>
                <w:szCs w:val="20"/>
                <w:color w:val="auto"/>
              </w:rPr>
            </w:pPr>
            <w:r>
              <w:rPr>
                <w:rFonts w:ascii="Arial" w:cs="Arial" w:eastAsia="Arial" w:hAnsi="Arial"/>
                <w:sz w:val="14"/>
                <w:szCs w:val="14"/>
                <w:b w:val="1"/>
                <w:bCs w:val="1"/>
                <w:color w:val="auto"/>
              </w:rPr>
              <w:t>July 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311"/>
              <w:spacing w:after="0" w:line="139" w:lineRule="exact"/>
              <w:rPr>
                <w:sz w:val="20"/>
                <w:szCs w:val="20"/>
                <w:color w:val="auto"/>
              </w:rPr>
            </w:pPr>
            <w:r>
              <w:rPr>
                <w:rFonts w:ascii="Arial" w:cs="Arial" w:eastAsia="Arial" w:hAnsi="Arial"/>
                <w:sz w:val="14"/>
                <w:szCs w:val="14"/>
                <w:b w:val="1"/>
                <w:bCs w:val="1"/>
                <w:color w:val="auto"/>
              </w:rPr>
              <w:t>June 26,</w:t>
            </w:r>
          </w:p>
        </w:tc>
      </w:tr>
      <w:tr>
        <w:trPr>
          <w:trHeight w:val="186"/>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6"/>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2,502.3</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3"/>
        </w:trPr>
        <w:tc>
          <w:tcPr>
            <w:tcW w:w="5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w:t>
            </w:r>
          </w:p>
        </w:tc>
      </w:tr>
      <w:tr>
        <w:trPr>
          <w:trHeight w:val="229"/>
        </w:trPr>
        <w:tc>
          <w:tcPr>
            <w:tcW w:w="5600" w:type="dxa"/>
            <w:vAlign w:val="bottom"/>
          </w:tcPr>
          <w:p>
            <w:pPr>
              <w:ind w:left="800"/>
              <w:spacing w:after="0"/>
              <w:rPr>
                <w:sz w:val="20"/>
                <w:szCs w:val="20"/>
                <w:color w:val="auto"/>
              </w:rPr>
            </w:pPr>
            <w:r>
              <w:rPr>
                <w:rFonts w:ascii="Arial" w:cs="Arial" w:eastAsia="Arial" w:hAnsi="Arial"/>
                <w:sz w:val="18"/>
                <w:szCs w:val="18"/>
                <w:color w:val="auto"/>
              </w:rPr>
              <w:t>Program cost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30"/>
        </w:trPr>
        <w:tc>
          <w:tcPr>
            <w:tcW w:w="5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Royalties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37"/>
        </w:trPr>
        <w:tc>
          <w:tcPr>
            <w:tcW w:w="5600" w:type="dxa"/>
            <w:vAlign w:val="bottom"/>
          </w:tcPr>
          <w:p>
            <w:pPr>
              <w:ind w:left="80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148.8</w:t>
            </w:r>
          </w:p>
        </w:tc>
      </w:tr>
      <w:tr>
        <w:trPr>
          <w:trHeight w:val="236"/>
        </w:trPr>
        <w:tc>
          <w:tcPr>
            <w:tcW w:w="5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29"/>
        </w:trPr>
        <w:tc>
          <w:tcPr>
            <w:tcW w:w="5600" w:type="dxa"/>
            <w:vAlign w:val="bottom"/>
          </w:tcPr>
          <w:p>
            <w:pPr>
              <w:ind w:left="80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43"/>
        </w:trPr>
        <w:tc>
          <w:tcPr>
            <w:tcW w:w="5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Selling, distribution and administration</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r>
      <w:tr>
        <w:trPr>
          <w:trHeight w:val="229"/>
        </w:trPr>
        <w:tc>
          <w:tcPr>
            <w:tcW w:w="5600" w:type="dxa"/>
            <w:vAlign w:val="bottom"/>
          </w:tcPr>
          <w:p>
            <w:pPr>
              <w:ind w:left="800"/>
              <w:spacing w:after="0"/>
              <w:rPr>
                <w:sz w:val="20"/>
                <w:szCs w:val="20"/>
                <w:color w:val="auto"/>
              </w:rPr>
            </w:pPr>
            <w:r>
              <w:rPr>
                <w:rFonts w:ascii="Arial" w:cs="Arial" w:eastAsia="Arial" w:hAnsi="Arial"/>
                <w:sz w:val="18"/>
                <w:szCs w:val="18"/>
                <w:color w:val="auto"/>
              </w:rPr>
              <w:t>Impairment of goodwill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2,381.7</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2,163.2</w:t>
            </w:r>
          </w:p>
        </w:tc>
      </w:tr>
      <w:tr>
        <w:trPr>
          <w:trHeight w:val="23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profit (loss)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w:t>
            </w: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560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6"/>
        </w:trPr>
        <w:tc>
          <w:tcPr>
            <w:tcW w:w="5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5600" w:type="dxa"/>
            <w:vAlign w:val="bottom"/>
          </w:tcPr>
          <w:p>
            <w:pPr>
              <w:ind w:left="80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5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non-operating expense, net</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3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3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noncontrolling interests</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Net earnings (loss) attributable to Hasbro,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(235.0)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142.0</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203.2</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5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Net earnings (loss) per common share: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56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5600" w:type="dxa"/>
            <w:vAlign w:val="bottom"/>
          </w:tcPr>
          <w:p>
            <w:pPr>
              <w:ind w:left="80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39"/>
        </w:trPr>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15"/>
              <w:spacing w:after="0" w:line="139" w:lineRule="exact"/>
              <w:rPr>
                <w:sz w:val="20"/>
                <w:szCs w:val="20"/>
                <w:color w:val="auto"/>
              </w:rPr>
            </w:pPr>
            <w:r>
              <w:rPr>
                <w:rFonts w:ascii="Arial" w:cs="Arial" w:eastAsia="Arial" w:hAnsi="Arial"/>
                <w:sz w:val="14"/>
                <w:szCs w:val="14"/>
                <w:b w:val="1"/>
                <w:bCs w:val="1"/>
                <w:color w:val="auto"/>
              </w:rPr>
              <w:t>July 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53"/>
              <w:spacing w:after="0" w:line="139" w:lineRule="exact"/>
              <w:rPr>
                <w:sz w:val="20"/>
                <w:szCs w:val="20"/>
                <w:color w:val="auto"/>
              </w:rPr>
            </w:pPr>
            <w:r>
              <w:rPr>
                <w:rFonts w:ascii="Arial" w:cs="Arial" w:eastAsia="Arial" w:hAnsi="Arial"/>
                <w:sz w:val="14"/>
                <w:szCs w:val="14"/>
                <w:b w:val="1"/>
                <w:bCs w:val="1"/>
                <w:color w:val="auto"/>
              </w:rPr>
              <w:t>June 26,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315"/>
              <w:spacing w:after="0" w:line="139" w:lineRule="exact"/>
              <w:rPr>
                <w:sz w:val="20"/>
                <w:szCs w:val="20"/>
                <w:color w:val="auto"/>
              </w:rPr>
            </w:pPr>
            <w:r>
              <w:rPr>
                <w:rFonts w:ascii="Arial" w:cs="Arial" w:eastAsia="Arial" w:hAnsi="Arial"/>
                <w:sz w:val="14"/>
                <w:szCs w:val="14"/>
                <w:b w:val="1"/>
                <w:bCs w:val="1"/>
                <w:color w:val="auto"/>
              </w:rPr>
              <w:t>July 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53"/>
              <w:spacing w:after="0" w:line="139" w:lineRule="exact"/>
              <w:rPr>
                <w:sz w:val="20"/>
                <w:szCs w:val="20"/>
                <w:color w:val="auto"/>
              </w:rPr>
            </w:pPr>
            <w:r>
              <w:rPr>
                <w:rFonts w:ascii="Arial" w:cs="Arial" w:eastAsia="Arial" w:hAnsi="Arial"/>
                <w:sz w:val="14"/>
                <w:szCs w:val="14"/>
                <w:b w:val="1"/>
                <w:bCs w:val="1"/>
                <w:color w:val="auto"/>
              </w:rPr>
              <w:t>June 26,</w:t>
            </w:r>
          </w:p>
        </w:tc>
      </w:tr>
      <w:tr>
        <w:trPr>
          <w:trHeight w:val="186"/>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6"/>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17"/>
        </w:trPr>
        <w:tc>
          <w:tcPr>
            <w:tcW w:w="6120" w:type="dxa"/>
            <w:vAlign w:val="bottom"/>
          </w:tcPr>
          <w:p>
            <w:pPr>
              <w:ind w:left="20"/>
              <w:spacing w:after="0"/>
              <w:rPr>
                <w:sz w:val="20"/>
                <w:szCs w:val="20"/>
                <w:color w:val="auto"/>
              </w:rPr>
            </w:pPr>
            <w:r>
              <w:rPr>
                <w:rFonts w:ascii="Arial" w:cs="Arial" w:eastAsia="Arial" w:hAnsi="Arial"/>
                <w:sz w:val="18"/>
                <w:szCs w:val="18"/>
                <w:color w:val="auto"/>
              </w:rPr>
              <w:t>Other comprehensive earnings (loss):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6"/>
        </w:trPr>
        <w:tc>
          <w:tcPr>
            <w:tcW w:w="6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adjustments, net of tax</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6120" w:type="dxa"/>
            <w:vAlign w:val="bottom"/>
          </w:tcPr>
          <w:p>
            <w:pPr>
              <w:ind w:left="640"/>
              <w:spacing w:after="0"/>
              <w:rPr>
                <w:sz w:val="20"/>
                <w:szCs w:val="20"/>
                <w:color w:val="auto"/>
              </w:rPr>
            </w:pPr>
            <w:r>
              <w:rPr>
                <w:rFonts w:ascii="Arial" w:cs="Arial" w:eastAsia="Arial" w:hAnsi="Arial"/>
                <w:sz w:val="18"/>
                <w:szCs w:val="18"/>
                <w:color w:val="auto"/>
              </w:rPr>
              <w:t>Unrealized holding losses on available-for-sale securities, net of tax</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gains (losses) on cash flow hedging activities, net of tax</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6120" w:type="dxa"/>
            <w:vAlign w:val="bottom"/>
          </w:tcPr>
          <w:p>
            <w:pPr>
              <w:ind w:left="640"/>
              <w:spacing w:after="0"/>
              <w:rPr>
                <w:sz w:val="20"/>
                <w:szCs w:val="20"/>
                <w:color w:val="auto"/>
              </w:rPr>
            </w:pPr>
            <w:r>
              <w:rPr>
                <w:rFonts w:ascii="Arial" w:cs="Arial" w:eastAsia="Arial" w:hAnsi="Arial"/>
                <w:sz w:val="18"/>
                <w:szCs w:val="18"/>
                <w:color w:val="auto"/>
              </w:rPr>
              <w:t>Reclassifications to earnings, net of tax:</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1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Net (gains) losses on cash flow hedging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6120" w:type="dxa"/>
            <w:vAlign w:val="bottom"/>
          </w:tcPr>
          <w:p>
            <w:pPr>
              <w:ind w:left="1160"/>
              <w:spacing w:after="0"/>
              <w:rPr>
                <w:sz w:val="20"/>
                <w:szCs w:val="20"/>
                <w:color w:val="auto"/>
              </w:rPr>
            </w:pPr>
            <w:r>
              <w:rPr>
                <w:rFonts w:ascii="Arial" w:cs="Arial" w:eastAsia="Arial" w:hAnsi="Arial"/>
                <w:sz w:val="18"/>
                <w:szCs w:val="18"/>
                <w:color w:val="auto"/>
                <w:w w:val="93"/>
              </w:rPr>
              <w:t>Amortization of unrecognized pension and postretirement amounts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earnings (loss), net of tax</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3"/>
        </w:trPr>
        <w:tc>
          <w:tcPr>
            <w:tcW w:w="61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comprehensive earnings (loss) attributable to noncontrolling interests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earnings (loss) attributable to Hasbro,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239"/>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r>
      <w:tr>
        <w:trPr>
          <w:trHeight w:val="139"/>
        </w:trPr>
        <w:tc>
          <w:tcPr>
            <w:tcW w:w="7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371"/>
              <w:spacing w:after="0" w:line="139" w:lineRule="exact"/>
              <w:rPr>
                <w:sz w:val="20"/>
                <w:szCs w:val="20"/>
                <w:color w:val="auto"/>
              </w:rPr>
            </w:pPr>
            <w:r>
              <w:rPr>
                <w:rFonts w:ascii="Arial" w:cs="Arial" w:eastAsia="Arial" w:hAnsi="Arial"/>
                <w:sz w:val="14"/>
                <w:szCs w:val="14"/>
                <w:b w:val="1"/>
                <w:bCs w:val="1"/>
                <w:color w:val="auto"/>
              </w:rPr>
              <w:t>July 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331"/>
              <w:spacing w:after="0" w:line="139" w:lineRule="exact"/>
              <w:rPr>
                <w:sz w:val="20"/>
                <w:szCs w:val="20"/>
                <w:color w:val="auto"/>
              </w:rPr>
            </w:pPr>
            <w:r>
              <w:rPr>
                <w:rFonts w:ascii="Arial" w:cs="Arial" w:eastAsia="Arial" w:hAnsi="Arial"/>
                <w:sz w:val="14"/>
                <w:szCs w:val="14"/>
                <w:b w:val="1"/>
                <w:bCs w:val="1"/>
                <w:color w:val="auto"/>
              </w:rPr>
              <w:t>June 26,</w:t>
            </w:r>
          </w:p>
        </w:tc>
      </w:tr>
      <w:tr>
        <w:trPr>
          <w:trHeight w:val="186"/>
        </w:trPr>
        <w:tc>
          <w:tcPr>
            <w:tcW w:w="7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6"/>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796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(256.6)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3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7960" w:type="dxa"/>
            <w:vAlign w:val="bottom"/>
          </w:tcPr>
          <w:p>
            <w:pPr>
              <w:ind w:left="540"/>
              <w:spacing w:after="0"/>
              <w:rPr>
                <w:sz w:val="20"/>
                <w:szCs w:val="20"/>
                <w:color w:val="auto"/>
              </w:rPr>
            </w:pPr>
            <w:r>
              <w:rPr>
                <w:rFonts w:ascii="Arial" w:cs="Arial" w:eastAsia="Arial" w:hAnsi="Arial"/>
                <w:sz w:val="18"/>
                <w:szCs w:val="18"/>
                <w:color w:val="auto"/>
              </w:rPr>
              <w:t>Depreciation of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43"/>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7960" w:type="dxa"/>
            <w:vAlign w:val="bottom"/>
          </w:tcPr>
          <w:p>
            <w:pPr>
              <w:ind w:left="540"/>
              <w:spacing w:after="0"/>
              <w:rPr>
                <w:sz w:val="20"/>
                <w:szCs w:val="20"/>
                <w:color w:val="auto"/>
              </w:rPr>
            </w:pPr>
            <w:r>
              <w:rPr>
                <w:rFonts w:ascii="Arial" w:cs="Arial" w:eastAsia="Arial" w:hAnsi="Arial"/>
                <w:sz w:val="18"/>
                <w:szCs w:val="18"/>
                <w:color w:val="auto"/>
              </w:rPr>
              <w:t>Impairment of goodwill</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Impairment of intangible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960" w:type="dxa"/>
            <w:vAlign w:val="bottom"/>
          </w:tcPr>
          <w:p>
            <w:pPr>
              <w:ind w:left="540"/>
              <w:spacing w:after="0"/>
              <w:rPr>
                <w:sz w:val="20"/>
                <w:szCs w:val="20"/>
                <w:color w:val="auto"/>
              </w:rPr>
            </w:pPr>
            <w:r>
              <w:rPr>
                <w:rFonts w:ascii="Arial" w:cs="Arial" w:eastAsia="Arial" w:hAnsi="Arial"/>
                <w:sz w:val="18"/>
                <w:szCs w:val="18"/>
                <w:color w:val="auto"/>
              </w:rPr>
              <w:t>Program cost amortization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36"/>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7960" w:type="dxa"/>
            <w:vAlign w:val="bottom"/>
          </w:tcPr>
          <w:p>
            <w:pPr>
              <w:ind w:left="5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43"/>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non-cash items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Change in operating assets and liabilities net of acquired balances: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 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r>
      <w:tr>
        <w:trPr>
          <w:trHeight w:val="237"/>
        </w:trPr>
        <w:tc>
          <w:tcPr>
            <w:tcW w:w="7960" w:type="dxa"/>
            <w:vAlign w:val="bottom"/>
          </w:tcPr>
          <w:p>
            <w:pPr>
              <w:ind w:left="540"/>
              <w:spacing w:after="0"/>
              <w:rPr>
                <w:sz w:val="20"/>
                <w:szCs w:val="20"/>
                <w:color w:val="auto"/>
              </w:rPr>
            </w:pPr>
            <w:r>
              <w:rPr>
                <w:rFonts w:ascii="Arial" w:cs="Arial" w:eastAsia="Arial" w:hAnsi="Arial"/>
                <w:sz w:val="18"/>
                <w:szCs w:val="18"/>
                <w:color w:val="auto"/>
              </w:rPr>
              <w:t>Increase in inventories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(324.7)</w:t>
            </w:r>
          </w:p>
        </w:tc>
      </w:tr>
      <w:tr>
        <w:trPr>
          <w:trHeight w:val="236"/>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(Increase) decrease in prepaid expenses and other current assets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7960" w:type="dxa"/>
            <w:vAlign w:val="bottom"/>
          </w:tcPr>
          <w:p>
            <w:pPr>
              <w:ind w:left="540"/>
              <w:spacing w:after="0"/>
              <w:rPr>
                <w:sz w:val="20"/>
                <w:szCs w:val="20"/>
                <w:color w:val="auto"/>
              </w:rPr>
            </w:pPr>
            <w:r>
              <w:rPr>
                <w:rFonts w:ascii="Arial" w:cs="Arial" w:eastAsia="Arial" w:hAnsi="Arial"/>
                <w:sz w:val="18"/>
                <w:szCs w:val="18"/>
                <w:color w:val="auto"/>
              </w:rPr>
              <w:t>Program spend,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43"/>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 accounts payable and accrued liabilities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30"/>
        </w:trPr>
        <w:tc>
          <w:tcPr>
            <w:tcW w:w="7960" w:type="dxa"/>
            <w:vAlign w:val="bottom"/>
          </w:tcPr>
          <w:p>
            <w:pPr>
              <w:ind w:left="540"/>
              <w:spacing w:after="0"/>
              <w:rPr>
                <w:sz w:val="20"/>
                <w:szCs w:val="20"/>
                <w:color w:val="auto"/>
              </w:rPr>
            </w:pPr>
            <w:r>
              <w:rPr>
                <w:rFonts w:ascii="Arial" w:cs="Arial" w:eastAsia="Arial" w:hAnsi="Arial"/>
                <w:sz w:val="18"/>
                <w:szCs w:val="18"/>
                <w:color w:val="auto"/>
              </w:rPr>
              <w:t>Change in net deemed repatriation tax</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7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796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960" w:type="dxa"/>
            <w:vAlign w:val="bottom"/>
          </w:tcPr>
          <w:p>
            <w:pPr>
              <w:ind w:left="54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30"/>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43"/>
        </w:trPr>
        <w:tc>
          <w:tcPr>
            <w:tcW w:w="79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79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utilized by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r>
      <w:tr>
        <w:trPr>
          <w:trHeight w:val="21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Proceeds from borrowings with maturity greater than three months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960" w:type="dxa"/>
            <w:vAlign w:val="bottom"/>
          </w:tcPr>
          <w:p>
            <w:pPr>
              <w:ind w:left="540"/>
              <w:spacing w:after="0"/>
              <w:rPr>
                <w:sz w:val="20"/>
                <w:szCs w:val="20"/>
                <w:color w:val="auto"/>
              </w:rPr>
            </w:pPr>
            <w:r>
              <w:rPr>
                <w:rFonts w:ascii="Arial" w:cs="Arial" w:eastAsia="Arial" w:hAnsi="Arial"/>
                <w:sz w:val="18"/>
                <w:szCs w:val="18"/>
                <w:color w:val="auto"/>
              </w:rPr>
              <w:t>Repayments of borrowings with maturity greater than three months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(152.5)</w:t>
            </w:r>
          </w:p>
        </w:tc>
      </w:tr>
      <w:tr>
        <w:trPr>
          <w:trHeight w:val="243"/>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proceeds from other short-term borrowings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30"/>
        </w:trPr>
        <w:tc>
          <w:tcPr>
            <w:tcW w:w="7960" w:type="dxa"/>
            <w:vAlign w:val="bottom"/>
          </w:tcPr>
          <w:p>
            <w:pPr>
              <w:ind w:left="540"/>
              <w:spacing w:after="0"/>
              <w:rPr>
                <w:sz w:val="20"/>
                <w:szCs w:val="20"/>
                <w:color w:val="auto"/>
              </w:rPr>
            </w:pPr>
            <w:r>
              <w:rPr>
                <w:rFonts w:ascii="Arial" w:cs="Arial" w:eastAsia="Arial" w:hAnsi="Arial"/>
                <w:sz w:val="18"/>
                <w:szCs w:val="18"/>
                <w:color w:val="auto"/>
              </w:rPr>
              <w:t>Purchases of common stock</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30"/>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 transactions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37"/>
        </w:trPr>
        <w:tc>
          <w:tcPr>
            <w:tcW w:w="7960" w:type="dxa"/>
            <w:vAlign w:val="bottom"/>
          </w:tcPr>
          <w:p>
            <w:pPr>
              <w:ind w:left="54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(191.9)</w:t>
            </w:r>
          </w:p>
        </w:tc>
      </w:tr>
      <w:tr>
        <w:trPr>
          <w:trHeight w:val="236"/>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Payments related to tax withholding for share-based compensation</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9"/>
        </w:trPr>
        <w:tc>
          <w:tcPr>
            <w:tcW w:w="7960" w:type="dxa"/>
            <w:vAlign w:val="bottom"/>
          </w:tcPr>
          <w:p>
            <w:pPr>
              <w:ind w:left="5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79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utilized by financing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r>
      <w:tr>
        <w:trPr>
          <w:trHeight w:val="24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1,019.2</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960" w:type="dxa"/>
            <w:vAlign w:val="bottom"/>
          </w:tcPr>
          <w:p>
            <w:pPr>
              <w:ind w:left="540"/>
              <w:spacing w:after="0"/>
              <w:rPr>
                <w:sz w:val="20"/>
                <w:szCs w:val="20"/>
                <w:color w:val="auto"/>
              </w:rPr>
            </w:pPr>
            <w:r>
              <w:rPr>
                <w:rFonts w:ascii="Arial" w:cs="Arial" w:eastAsia="Arial" w:hAnsi="Arial"/>
                <w:sz w:val="18"/>
                <w:szCs w:val="18"/>
                <w:color w:val="auto"/>
              </w:rPr>
              <w:t>Cash paid during the period for:</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79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7960" w:type="dxa"/>
            <w:vAlign w:val="bottom"/>
          </w:tcPr>
          <w:p>
            <w:pPr>
              <w:ind w:left="98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95.1</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86" w:right="5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auto"/>
              </w:rPr>
              <w:t>Three Months Ended July 2, 2023</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48"/>
              <w:spacing w:after="0" w:line="137" w:lineRule="exact"/>
              <w:rPr>
                <w:sz w:val="20"/>
                <w:szCs w:val="20"/>
                <w:color w:val="auto"/>
              </w:rPr>
            </w:pPr>
            <w:r>
              <w:rPr>
                <w:rFonts w:ascii="Arial" w:cs="Arial" w:eastAsia="Arial" w:hAnsi="Arial"/>
                <w:sz w:val="14"/>
                <w:szCs w:val="14"/>
                <w:color w:val="auto"/>
                <w:w w:val="96"/>
              </w:rPr>
              <w:t>Total</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37" w:lineRule="exact"/>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8"/>
              <w:spacing w:after="0" w:line="141" w:lineRule="exact"/>
              <w:rPr>
                <w:sz w:val="20"/>
                <w:szCs w:val="20"/>
                <w:color w:val="auto"/>
              </w:rPr>
            </w:pPr>
            <w:r>
              <w:rPr>
                <w:rFonts w:ascii="Arial" w:cs="Arial" w:eastAsia="Arial" w:hAnsi="Arial"/>
                <w:sz w:val="14"/>
                <w:szCs w:val="14"/>
                <w:color w:val="auto"/>
                <w:w w:val="91"/>
              </w:rPr>
              <w:t>Common</w:t>
            </w:r>
          </w:p>
        </w:tc>
        <w:tc>
          <w:tcPr>
            <w:tcW w:w="120" w:type="dxa"/>
            <w:vAlign w:val="bottom"/>
          </w:tcPr>
          <w:p>
            <w:pPr>
              <w:spacing w:after="0"/>
              <w:rPr>
                <w:sz w:val="12"/>
                <w:szCs w:val="12"/>
                <w:color w:val="auto"/>
              </w:rPr>
            </w:pPr>
          </w:p>
        </w:tc>
        <w:tc>
          <w:tcPr>
            <w:tcW w:w="960" w:type="dxa"/>
            <w:vAlign w:val="bottom"/>
          </w:tcPr>
          <w:p>
            <w:pPr>
              <w:jc w:val="right"/>
              <w:ind w:right="108"/>
              <w:spacing w:after="0" w:line="141"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980" w:type="dxa"/>
            <w:vAlign w:val="bottom"/>
          </w:tcPr>
          <w:p>
            <w:pPr>
              <w:jc w:val="right"/>
              <w:ind w:right="168"/>
              <w:spacing w:after="0" w:line="141"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2"/>
                <w:szCs w:val="12"/>
                <w:color w:val="auto"/>
              </w:rPr>
            </w:pPr>
          </w:p>
        </w:tc>
        <w:tc>
          <w:tcPr>
            <w:tcW w:w="1320" w:type="dxa"/>
            <w:vAlign w:val="bottom"/>
          </w:tcPr>
          <w:p>
            <w:pPr>
              <w:jc w:val="right"/>
              <w:ind w:right="28"/>
              <w:spacing w:after="0" w:line="141" w:lineRule="exact"/>
              <w:rPr>
                <w:sz w:val="20"/>
                <w:szCs w:val="20"/>
                <w:color w:val="auto"/>
              </w:rPr>
            </w:pPr>
            <w:r>
              <w:rPr>
                <w:rFonts w:ascii="Arial" w:cs="Arial" w:eastAsia="Arial" w:hAnsi="Arial"/>
                <w:sz w:val="14"/>
                <w:szCs w:val="14"/>
                <w:color w:val="auto"/>
              </w:rPr>
              <w:t>Accumulated Other</w:t>
            </w:r>
          </w:p>
        </w:tc>
        <w:tc>
          <w:tcPr>
            <w:tcW w:w="100" w:type="dxa"/>
            <w:vAlign w:val="bottom"/>
          </w:tcPr>
          <w:p>
            <w:pPr>
              <w:spacing w:after="0"/>
              <w:rPr>
                <w:sz w:val="12"/>
                <w:szCs w:val="12"/>
                <w:color w:val="auto"/>
              </w:rPr>
            </w:pPr>
          </w:p>
        </w:tc>
        <w:tc>
          <w:tcPr>
            <w:tcW w:w="1020" w:type="dxa"/>
            <w:vAlign w:val="bottom"/>
          </w:tcPr>
          <w:p>
            <w:pPr>
              <w:jc w:val="right"/>
              <w:ind w:right="188"/>
              <w:spacing w:after="0" w:line="141" w:lineRule="exact"/>
              <w:rPr>
                <w:sz w:val="20"/>
                <w:szCs w:val="20"/>
                <w:color w:val="auto"/>
              </w:rPr>
            </w:pPr>
            <w:r>
              <w:rPr>
                <w:rFonts w:ascii="Arial" w:cs="Arial" w:eastAsia="Arial" w:hAnsi="Arial"/>
                <w:sz w:val="14"/>
                <w:szCs w:val="14"/>
                <w:color w:val="auto"/>
              </w:rPr>
              <w:t>Treasury</w:t>
            </w:r>
          </w:p>
        </w:tc>
        <w:tc>
          <w:tcPr>
            <w:tcW w:w="100" w:type="dxa"/>
            <w:vAlign w:val="bottom"/>
          </w:tcPr>
          <w:p>
            <w:pPr>
              <w:spacing w:after="0"/>
              <w:rPr>
                <w:sz w:val="12"/>
                <w:szCs w:val="12"/>
                <w:color w:val="auto"/>
              </w:rPr>
            </w:pPr>
          </w:p>
        </w:tc>
        <w:tc>
          <w:tcPr>
            <w:tcW w:w="1180" w:type="dxa"/>
            <w:vAlign w:val="bottom"/>
          </w:tcPr>
          <w:p>
            <w:pPr>
              <w:jc w:val="right"/>
              <w:ind w:right="68"/>
              <w:spacing w:after="0" w:line="141"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48"/>
              <w:spacing w:after="0" w:line="141" w:lineRule="exact"/>
              <w:rPr>
                <w:sz w:val="20"/>
                <w:szCs w:val="20"/>
                <w:color w:val="auto"/>
              </w:rPr>
            </w:pPr>
            <w:r>
              <w:rPr>
                <w:rFonts w:ascii="Arial" w:cs="Arial" w:eastAsia="Arial" w:hAnsi="Arial"/>
                <w:sz w:val="14"/>
                <w:szCs w:val="14"/>
                <w:color w:val="auto"/>
                <w:w w:val="90"/>
              </w:rPr>
              <w:t>Shareholders'</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8"/>
              <w:spacing w:after="0" w:line="141"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w w:val="96"/>
              </w:rPr>
              <w:t>Paid-in Capital</w:t>
            </w:r>
          </w:p>
        </w:tc>
        <w:tc>
          <w:tcPr>
            <w:tcW w:w="100" w:type="dxa"/>
            <w:vAlign w:val="bottom"/>
          </w:tcPr>
          <w:p>
            <w:pPr>
              <w:spacing w:after="0"/>
              <w:rPr>
                <w:sz w:val="15"/>
                <w:szCs w:val="15"/>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w w:val="94"/>
              </w:rPr>
              <w:t>Comprehensive Loss</w:t>
            </w:r>
          </w:p>
        </w:tc>
        <w:tc>
          <w:tcPr>
            <w:tcW w:w="100" w:type="dxa"/>
            <w:vAlign w:val="bottom"/>
          </w:tcPr>
          <w:p>
            <w:pPr>
              <w:spacing w:after="0"/>
              <w:rPr>
                <w:sz w:val="15"/>
                <w:szCs w:val="15"/>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48"/>
              <w:spacing w:after="0"/>
              <w:rPr>
                <w:sz w:val="20"/>
                <w:szCs w:val="20"/>
                <w:color w:val="auto"/>
              </w:rPr>
            </w:pPr>
            <w:r>
              <w:rPr>
                <w:rFonts w:ascii="Arial" w:cs="Arial" w:eastAsia="Arial" w:hAnsi="Arial"/>
                <w:sz w:val="14"/>
                <w:szCs w:val="14"/>
                <w:color w:val="auto"/>
                <w:w w:val="97"/>
              </w:rPr>
              <w:t>Equity</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April 2,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2,535.7</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3,951.8</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(237.4)</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(3,629.4)</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2,758.7</w:t>
            </w: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line="135" w:lineRule="exact"/>
              <w:rPr>
                <w:sz w:val="20"/>
                <w:szCs w:val="20"/>
                <w:color w:val="auto"/>
              </w:rPr>
            </w:pPr>
            <w:r>
              <w:rPr>
                <w:rFonts w:ascii="Arial" w:cs="Arial" w:eastAsia="Arial" w:hAnsi="Arial"/>
                <w:sz w:val="14"/>
                <w:szCs w:val="14"/>
                <w:color w:val="auto"/>
              </w:rPr>
              <w:t>Net loss attributable to</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(235.0)</w:t>
            </w:r>
          </w:p>
        </w:tc>
        <w:tc>
          <w:tcPr>
            <w:tcW w:w="120" w:type="dxa"/>
            <w:vAlign w:val="bottom"/>
          </w:tcPr>
          <w:p>
            <w:pPr>
              <w:spacing w:after="0"/>
              <w:rPr>
                <w:sz w:val="11"/>
                <w:szCs w:val="11"/>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(235.0)</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840" w:type="dxa"/>
            <w:vAlign w:val="bottom"/>
          </w:tcPr>
          <w:p>
            <w:pPr>
              <w:ind w:left="140"/>
              <w:spacing w:after="0"/>
              <w:rPr>
                <w:sz w:val="20"/>
                <w:szCs w:val="20"/>
                <w:color w:val="auto"/>
              </w:rPr>
            </w:pPr>
            <w:r>
              <w:rPr>
                <w:rFonts w:ascii="Arial" w:cs="Arial" w:eastAsia="Arial" w:hAnsi="Arial"/>
                <w:sz w:val="14"/>
                <w:szCs w:val="14"/>
                <w:color w:val="auto"/>
              </w:rPr>
              <w:t>Hasbro, Inc.</w:t>
            </w: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w w:val="99"/>
              </w:rPr>
              <w:t>Net earnings attributable to</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rPr>
              <w:t>Other comprehensive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14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23.9</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9"/>
              </w:rPr>
              <w:t>Stock-based compensation</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0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vMerge w:val="continue"/>
            <w:shd w:val="clear" w:color="auto" w:fill="CCEEFF"/>
          </w:tcPr>
          <w:p>
            <w:pPr>
              <w:spacing w:after="0"/>
              <w:rPr>
                <w:sz w:val="15"/>
                <w:szCs w:val="15"/>
                <w:color w:val="auto"/>
              </w:rPr>
            </w:pP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w w:val="99"/>
              </w:rPr>
              <w:t>Stock-based compensation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20.9</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line="135" w:lineRule="exact"/>
              <w:rPr>
                <w:sz w:val="20"/>
                <w:szCs w:val="20"/>
                <w:color w:val="auto"/>
              </w:rPr>
            </w:pPr>
            <w:r>
              <w:rPr>
                <w:rFonts w:ascii="Arial" w:cs="Arial" w:eastAsia="Arial" w:hAnsi="Arial"/>
                <w:sz w:val="14"/>
                <w:szCs w:val="14"/>
                <w:color w:val="auto"/>
              </w:rPr>
              <w:t>Distributions paid to</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rPr>
              <w:t>noncontrolling owners and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other foreign exchange</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July 2, 2023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2,554.6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3,618.1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(3,626.3)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2,470.2</w:t>
            </w:r>
          </w:p>
        </w:tc>
        <w:tc>
          <w:tcPr>
            <w:tcW w:w="140" w:type="dxa"/>
            <w:vAlign w:val="bottom"/>
            <w:tcBorders>
              <w:right w:val="single" w:sz="8" w:color="auto"/>
            </w:tcBorders>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Three Months Ended June 26, 2022</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w w:val="91"/>
              </w:rPr>
              <w:t>Common</w:t>
            </w:r>
          </w:p>
        </w:tc>
        <w:tc>
          <w:tcPr>
            <w:tcW w:w="120" w:type="dxa"/>
            <w:vAlign w:val="bottom"/>
          </w:tcPr>
          <w:p>
            <w:pPr>
              <w:spacing w:after="0"/>
              <w:rPr>
                <w:sz w:val="11"/>
                <w:szCs w:val="11"/>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1"/>
                <w:szCs w:val="11"/>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1"/>
                <w:szCs w:val="11"/>
                <w:color w:val="auto"/>
              </w:rPr>
            </w:pP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Accumulated Other</w:t>
            </w:r>
          </w:p>
        </w:tc>
        <w:tc>
          <w:tcPr>
            <w:tcW w:w="100" w:type="dxa"/>
            <w:vAlign w:val="bottom"/>
          </w:tcPr>
          <w:p>
            <w:pPr>
              <w:spacing w:after="0"/>
              <w:rPr>
                <w:sz w:val="11"/>
                <w:szCs w:val="11"/>
                <w:color w:val="auto"/>
              </w:rPr>
            </w:pPr>
          </w:p>
        </w:tc>
        <w:tc>
          <w:tcPr>
            <w:tcW w:w="1020" w:type="dxa"/>
            <w:vAlign w:val="bottom"/>
            <w:vMerge w:val="restart"/>
          </w:tcPr>
          <w:p>
            <w:pPr>
              <w:jc w:val="right"/>
              <w:ind w:right="188"/>
              <w:spacing w:after="0"/>
              <w:rPr>
                <w:sz w:val="20"/>
                <w:szCs w:val="20"/>
                <w:color w:val="auto"/>
              </w:rPr>
            </w:pPr>
            <w:r>
              <w:rPr>
                <w:rFonts w:ascii="Arial" w:cs="Arial" w:eastAsia="Arial" w:hAnsi="Arial"/>
                <w:sz w:val="14"/>
                <w:szCs w:val="14"/>
                <w:color w:val="auto"/>
              </w:rPr>
              <w:t>Treasury</w:t>
            </w:r>
          </w:p>
        </w:tc>
        <w:tc>
          <w:tcPr>
            <w:tcW w:w="100" w:type="dxa"/>
            <w:vAlign w:val="bottom"/>
          </w:tcPr>
          <w:p>
            <w:pPr>
              <w:spacing w:after="0"/>
              <w:rPr>
                <w:sz w:val="11"/>
                <w:szCs w:val="11"/>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6"/>
              </w:rPr>
              <w:t>Total</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43"/>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0"/>
              </w:rPr>
              <w:t>Shareholders'</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w w:val="96"/>
              </w:rPr>
              <w:t>Paid-in Capital</w:t>
            </w:r>
          </w:p>
        </w:tc>
        <w:tc>
          <w:tcPr>
            <w:tcW w:w="100" w:type="dxa"/>
            <w:vAlign w:val="bottom"/>
          </w:tcPr>
          <w:p>
            <w:pPr>
              <w:spacing w:after="0"/>
              <w:rPr>
                <w:sz w:val="15"/>
                <w:szCs w:val="15"/>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w w:val="94"/>
              </w:rPr>
              <w:t>Comprehensive Loss</w:t>
            </w:r>
          </w:p>
        </w:tc>
        <w:tc>
          <w:tcPr>
            <w:tcW w:w="100" w:type="dxa"/>
            <w:vAlign w:val="bottom"/>
          </w:tcPr>
          <w:p>
            <w:pPr>
              <w:spacing w:after="0"/>
              <w:rPr>
                <w:sz w:val="15"/>
                <w:szCs w:val="15"/>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48"/>
              <w:spacing w:after="0"/>
              <w:rPr>
                <w:sz w:val="20"/>
                <w:szCs w:val="20"/>
                <w:color w:val="auto"/>
              </w:rPr>
            </w:pPr>
            <w:r>
              <w:rPr>
                <w:rFonts w:ascii="Arial" w:cs="Arial" w:eastAsia="Arial" w:hAnsi="Arial"/>
                <w:sz w:val="14"/>
                <w:szCs w:val="14"/>
                <w:color w:val="auto"/>
                <w:w w:val="97"/>
              </w:rPr>
              <w:t>Equity</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March 27, 2022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2,475.7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4,220.9</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(3,513.8)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3,080.7</w:t>
            </w: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3"/>
        </w:trPr>
        <w:tc>
          <w:tcPr>
            <w:tcW w:w="1840" w:type="dxa"/>
            <w:vAlign w:val="bottom"/>
          </w:tcPr>
          <w:p>
            <w:pPr>
              <w:ind w:left="220"/>
              <w:spacing w:after="0" w:line="143" w:lineRule="exact"/>
              <w:rPr>
                <w:sz w:val="20"/>
                <w:szCs w:val="20"/>
                <w:color w:val="auto"/>
              </w:rPr>
            </w:pPr>
            <w:r>
              <w:rPr>
                <w:rFonts w:ascii="Arial" w:cs="Arial" w:eastAsia="Arial" w:hAnsi="Arial"/>
                <w:sz w:val="14"/>
                <w:szCs w:val="14"/>
                <w:color w:val="auto"/>
                <w:w w:val="95"/>
              </w:rPr>
              <w:t>Net earnings attributable to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20"/>
              <w:spacing w:after="0"/>
              <w:rPr>
                <w:sz w:val="20"/>
                <w:szCs w:val="20"/>
                <w:color w:val="auto"/>
              </w:rPr>
            </w:pPr>
            <w:r>
              <w:rPr>
                <w:rFonts w:ascii="Arial" w:cs="Arial" w:eastAsia="Arial" w:hAnsi="Arial"/>
                <w:sz w:val="14"/>
                <w:szCs w:val="14"/>
                <w:color w:val="auto"/>
              </w:rPr>
              <w:t>Hasbro, Inc.</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142.0</w:t>
            </w:r>
          </w:p>
        </w:tc>
        <w:tc>
          <w:tcPr>
            <w:tcW w:w="12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142.0</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Net earnings (loss)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attributable to</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noncontrolling interests</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1840" w:type="dxa"/>
            <w:vAlign w:val="bottom"/>
          </w:tcPr>
          <w:p>
            <w:pPr>
              <w:ind w:left="220"/>
              <w:spacing w:after="0"/>
              <w:rPr>
                <w:sz w:val="20"/>
                <w:szCs w:val="20"/>
                <w:color w:val="auto"/>
              </w:rPr>
            </w:pPr>
            <w:r>
              <w:rPr>
                <w:rFonts w:ascii="Arial" w:cs="Arial" w:eastAsia="Arial" w:hAnsi="Arial"/>
                <w:sz w:val="14"/>
                <w:szCs w:val="14"/>
                <w:color w:val="auto"/>
                <w:w w:val="98"/>
              </w:rPr>
              <w:t>Other comprehensive loss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840" w:type="dxa"/>
            <w:vAlign w:val="bottom"/>
            <w:shd w:val="clear" w:color="auto" w:fill="CCEEFF"/>
          </w:tcPr>
          <w:p>
            <w:pPr>
              <w:ind w:left="220"/>
              <w:spacing w:after="0" w:line="147" w:lineRule="exact"/>
              <w:rPr>
                <w:sz w:val="20"/>
                <w:szCs w:val="20"/>
                <w:color w:val="auto"/>
              </w:rPr>
            </w:pPr>
            <w:r>
              <w:rPr>
                <w:rFonts w:ascii="Arial" w:cs="Arial" w:eastAsia="Arial" w:hAnsi="Arial"/>
                <w:sz w:val="14"/>
                <w:szCs w:val="14"/>
                <w:color w:val="auto"/>
                <w:w w:val="94"/>
              </w:rPr>
              <w:t>Stock-based compensation</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40" w:type="dxa"/>
            <w:vAlign w:val="bottom"/>
          </w:tcPr>
          <w:p>
            <w:pPr>
              <w:ind w:left="220"/>
              <w:spacing w:after="0" w:line="143" w:lineRule="exact"/>
              <w:rPr>
                <w:sz w:val="20"/>
                <w:szCs w:val="20"/>
                <w:color w:val="auto"/>
              </w:rPr>
            </w:pPr>
            <w:r>
              <w:rPr>
                <w:rFonts w:ascii="Arial" w:cs="Arial" w:eastAsia="Arial" w:hAnsi="Arial"/>
                <w:sz w:val="14"/>
                <w:szCs w:val="14"/>
                <w:color w:val="auto"/>
              </w:rPr>
              <w:t>Purchases of common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2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(124.0)</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w w:val="94"/>
              </w:rPr>
              <w:t>Stock-based compensation</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0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vMerge w:val="continue"/>
            <w:shd w:val="clear" w:color="auto" w:fill="CCEEFF"/>
          </w:tcPr>
          <w:p>
            <w:pPr>
              <w:spacing w:after="0"/>
              <w:rPr>
                <w:sz w:val="15"/>
                <w:szCs w:val="15"/>
                <w:color w:val="auto"/>
              </w:rPr>
            </w:pP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20"/>
              <w:spacing w:after="0"/>
              <w:rPr>
                <w:sz w:val="20"/>
                <w:szCs w:val="20"/>
                <w:color w:val="auto"/>
              </w:rPr>
            </w:pPr>
            <w:r>
              <w:rPr>
                <w:rFonts w:ascii="Arial" w:cs="Arial" w:eastAsia="Arial" w:hAnsi="Arial"/>
                <w:sz w:val="14"/>
                <w:szCs w:val="14"/>
                <w:color w:val="auto"/>
              </w:rPr>
              <w:t>Dividends declared</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0.5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(96.5)</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Distributions paid to</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w w:val="97"/>
              </w:rPr>
              <w:t>noncontrolling owners and</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foreign exchange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42"/>
        </w:trPr>
        <w:tc>
          <w:tcPr>
            <w:tcW w:w="1840" w:type="dxa"/>
            <w:vAlign w:val="bottom"/>
          </w:tcPr>
          <w:p>
            <w:pPr>
              <w:ind w:left="20"/>
              <w:spacing w:after="0"/>
              <w:rPr>
                <w:sz w:val="20"/>
                <w:szCs w:val="20"/>
                <w:color w:val="auto"/>
              </w:rPr>
            </w:pPr>
            <w:r>
              <w:rPr>
                <w:rFonts w:ascii="Arial" w:cs="Arial" w:eastAsia="Arial" w:hAnsi="Arial"/>
                <w:sz w:val="14"/>
                <w:szCs w:val="14"/>
                <w:color w:val="auto"/>
              </w:rPr>
              <w:t>Balance, June 26, 2022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110.1</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2,503.4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4,265.9</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(259.6)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(3,636.2)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29.2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3,012.8</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216"/>
        </w:trPr>
        <w:tc>
          <w:tcPr>
            <w:tcW w:w="1840" w:type="dxa"/>
            <w:vAlign w:val="bottom"/>
            <w:tcBorders>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6"/>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Six Months Ended July 2, 2023</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w w:val="91"/>
              </w:rPr>
              <w:t>Common</w:t>
            </w:r>
          </w:p>
        </w:tc>
        <w:tc>
          <w:tcPr>
            <w:tcW w:w="120" w:type="dxa"/>
            <w:vAlign w:val="bottom"/>
          </w:tcPr>
          <w:p>
            <w:pPr>
              <w:spacing w:after="0"/>
              <w:rPr>
                <w:sz w:val="11"/>
                <w:szCs w:val="11"/>
                <w:color w:val="auto"/>
              </w:rPr>
            </w:pP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1"/>
                <w:szCs w:val="11"/>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1"/>
                <w:szCs w:val="11"/>
                <w:color w:val="auto"/>
              </w:rPr>
            </w:pP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Accumulated Other</w:t>
            </w:r>
          </w:p>
        </w:tc>
        <w:tc>
          <w:tcPr>
            <w:tcW w:w="100" w:type="dxa"/>
            <w:vAlign w:val="bottom"/>
          </w:tcPr>
          <w:p>
            <w:pPr>
              <w:spacing w:after="0"/>
              <w:rPr>
                <w:sz w:val="11"/>
                <w:szCs w:val="11"/>
                <w:color w:val="auto"/>
              </w:rPr>
            </w:pPr>
          </w:p>
        </w:tc>
        <w:tc>
          <w:tcPr>
            <w:tcW w:w="1000" w:type="dxa"/>
            <w:vAlign w:val="bottom"/>
            <w:vMerge w:val="restart"/>
          </w:tcPr>
          <w:p>
            <w:pPr>
              <w:jc w:val="right"/>
              <w:ind w:right="168"/>
              <w:spacing w:after="0"/>
              <w:rPr>
                <w:sz w:val="20"/>
                <w:szCs w:val="20"/>
                <w:color w:val="auto"/>
              </w:rPr>
            </w:pPr>
            <w:r>
              <w:rPr>
                <w:rFonts w:ascii="Arial" w:cs="Arial" w:eastAsia="Arial" w:hAnsi="Arial"/>
                <w:sz w:val="14"/>
                <w:szCs w:val="14"/>
                <w:color w:val="auto"/>
              </w:rPr>
              <w:t>Treasury</w:t>
            </w:r>
          </w:p>
        </w:tc>
        <w:tc>
          <w:tcPr>
            <w:tcW w:w="100" w:type="dxa"/>
            <w:vAlign w:val="bottom"/>
          </w:tcPr>
          <w:p>
            <w:pPr>
              <w:spacing w:after="0"/>
              <w:rPr>
                <w:sz w:val="11"/>
                <w:szCs w:val="11"/>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28"/>
              <w:spacing w:after="0" w:line="129" w:lineRule="exact"/>
              <w:rPr>
                <w:sz w:val="20"/>
                <w:szCs w:val="20"/>
                <w:color w:val="auto"/>
              </w:rPr>
            </w:pPr>
            <w:r>
              <w:rPr>
                <w:rFonts w:ascii="Arial" w:cs="Arial" w:eastAsia="Arial" w:hAnsi="Arial"/>
                <w:sz w:val="14"/>
                <w:szCs w:val="14"/>
                <w:color w:val="auto"/>
                <w:w w:val="89"/>
              </w:rPr>
              <w:t>Total</w:t>
            </w: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43"/>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0"/>
              </w:rPr>
              <w:t>Shareholders'</w:t>
            </w: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2"/>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w w:val="96"/>
              </w:rPr>
              <w:t>Paid-in Capital</w:t>
            </w:r>
          </w:p>
        </w:tc>
        <w:tc>
          <w:tcPr>
            <w:tcW w:w="100" w:type="dxa"/>
            <w:vAlign w:val="bottom"/>
          </w:tcPr>
          <w:p>
            <w:pPr>
              <w:spacing w:after="0"/>
              <w:rPr>
                <w:sz w:val="15"/>
                <w:szCs w:val="15"/>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w w:val="94"/>
              </w:rPr>
              <w:t>Comprehensive Loss</w:t>
            </w:r>
          </w:p>
        </w:tc>
        <w:tc>
          <w:tcPr>
            <w:tcW w:w="100" w:type="dxa"/>
            <w:vAlign w:val="bottom"/>
          </w:tcPr>
          <w:p>
            <w:pPr>
              <w:spacing w:after="0"/>
              <w:rPr>
                <w:sz w:val="15"/>
                <w:szCs w:val="15"/>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48"/>
              <w:spacing w:after="0"/>
              <w:rPr>
                <w:sz w:val="20"/>
                <w:szCs w:val="20"/>
                <w:color w:val="auto"/>
              </w:rPr>
            </w:pPr>
            <w:r>
              <w:rPr>
                <w:rFonts w:ascii="Arial" w:cs="Arial" w:eastAsia="Arial" w:hAnsi="Arial"/>
                <w:sz w:val="14"/>
                <w:szCs w:val="14"/>
                <w:color w:val="auto"/>
                <w:w w:val="97"/>
              </w:rPr>
              <w:t>Equity</w:t>
            </w: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26"/>
        </w:trPr>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Balance, December 25, 2022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2,540.6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(3,634.4)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2,861.9</w:t>
            </w:r>
          </w:p>
        </w:tc>
        <w:tc>
          <w:tcPr>
            <w:tcW w:w="140" w:type="dxa"/>
            <w:vAlign w:val="bottom"/>
            <w:tcBorders>
              <w:right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20" w:type="dxa"/>
            <w:vAlign w:val="bottom"/>
          </w:tcPr>
          <w:p>
            <w:pPr>
              <w:ind w:left="140"/>
              <w:spacing w:after="0" w:line="143" w:lineRule="exact"/>
              <w:rPr>
                <w:sz w:val="20"/>
                <w:szCs w:val="20"/>
                <w:color w:val="auto"/>
              </w:rPr>
            </w:pPr>
            <w:r>
              <w:rPr>
                <w:rFonts w:ascii="Arial" w:cs="Arial" w:eastAsia="Arial" w:hAnsi="Arial"/>
                <w:sz w:val="14"/>
                <w:szCs w:val="14"/>
                <w:color w:val="auto"/>
              </w:rPr>
              <w:t>Net loss attributable to</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14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(257.1)</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(257.1)</w:t>
            </w: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8"/>
              </w:rPr>
              <w:t>Net earnings attributable to</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12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820" w:type="dxa"/>
            <w:vAlign w:val="bottom"/>
          </w:tcPr>
          <w:p>
            <w:pPr>
              <w:ind w:left="140"/>
              <w:spacing w:after="0" w:line="143" w:lineRule="exact"/>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20" w:type="dxa"/>
            <w:vAlign w:val="bottom"/>
          </w:tcPr>
          <w:p>
            <w:pPr>
              <w:ind w:left="14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41.4</w:t>
            </w: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8"/>
              </w:rPr>
              <w:t>Stock-based compensation</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20" w:type="dxa"/>
            <w:vAlign w:val="bottom"/>
          </w:tcPr>
          <w:p>
            <w:pPr>
              <w:ind w:left="140"/>
              <w:spacing w:after="0" w:line="135" w:lineRule="exact"/>
              <w:rPr>
                <w:sz w:val="20"/>
                <w:szCs w:val="20"/>
                <w:color w:val="auto"/>
              </w:rPr>
            </w:pPr>
            <w:r>
              <w:rPr>
                <w:rFonts w:ascii="Arial" w:cs="Arial" w:eastAsia="Arial" w:hAnsi="Arial"/>
                <w:sz w:val="14"/>
                <w:szCs w:val="14"/>
                <w:color w:val="auto"/>
                <w:w w:val="98"/>
              </w:rPr>
              <w:t>Stock-based compensation</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36.6</w:t>
            </w: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820" w:type="dxa"/>
            <w:vAlign w:val="bottom"/>
          </w:tcPr>
          <w:p>
            <w:pPr>
              <w:ind w:left="14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20" w:type="dxa"/>
            <w:vAlign w:val="bottom"/>
          </w:tcPr>
          <w:p>
            <w:pPr>
              <w:ind w:left="140"/>
              <w:spacing w:after="0" w:line="135"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820" w:type="dxa"/>
            <w:vAlign w:val="bottom"/>
          </w:tcPr>
          <w:p>
            <w:pPr>
              <w:ind w:left="140"/>
              <w:spacing w:after="0" w:line="143" w:lineRule="exact"/>
              <w:rPr>
                <w:sz w:val="20"/>
                <w:szCs w:val="20"/>
                <w:color w:val="auto"/>
              </w:rPr>
            </w:pPr>
            <w:r>
              <w:rPr>
                <w:rFonts w:ascii="Arial" w:cs="Arial" w:eastAsia="Arial" w:hAnsi="Arial"/>
                <w:sz w:val="14"/>
                <w:szCs w:val="14"/>
                <w:color w:val="auto"/>
              </w:rPr>
              <w:t>noncontrolling owners and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20" w:type="dxa"/>
            <w:vAlign w:val="bottom"/>
          </w:tcPr>
          <w:p>
            <w:pPr>
              <w:ind w:left="14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Renegade Buyout</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1820" w:type="dxa"/>
            <w:vAlign w:val="bottom"/>
          </w:tcPr>
          <w:p>
            <w:pPr>
              <w:ind w:left="20"/>
              <w:spacing w:after="0"/>
              <w:rPr>
                <w:sz w:val="20"/>
                <w:szCs w:val="20"/>
                <w:color w:val="auto"/>
              </w:rPr>
            </w:pPr>
            <w:r>
              <w:rPr>
                <w:rFonts w:ascii="Arial" w:cs="Arial" w:eastAsia="Arial" w:hAnsi="Arial"/>
                <w:sz w:val="14"/>
                <w:szCs w:val="14"/>
                <w:color w:val="auto"/>
              </w:rPr>
              <w:t>Balance, July 2,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2,554.6</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3,618.1</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(213.5)</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(3,626.3)</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2,470.2</w:t>
            </w:r>
          </w:p>
        </w:tc>
        <w:tc>
          <w:tcPr>
            <w:tcW w:w="1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jc w:val="right"/>
              <w:ind w:right="548"/>
              <w:spacing w:after="0"/>
              <w:rPr>
                <w:sz w:val="20"/>
                <w:szCs w:val="20"/>
                <w:color w:val="auto"/>
              </w:rPr>
            </w:pPr>
            <w:r>
              <w:rPr>
                <w:rFonts w:ascii="Arial" w:cs="Arial" w:eastAsia="Arial" w:hAnsi="Arial"/>
                <w:sz w:val="14"/>
                <w:szCs w:val="14"/>
                <w:b w:val="1"/>
                <w:bCs w:val="1"/>
                <w:color w:val="auto"/>
              </w:rPr>
              <w:t>Six Months Ended June 26, 2022</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8"/>
              <w:spacing w:after="0" w:line="143" w:lineRule="exact"/>
              <w:rPr>
                <w:sz w:val="20"/>
                <w:szCs w:val="20"/>
                <w:color w:val="auto"/>
              </w:rPr>
            </w:pPr>
            <w:r>
              <w:rPr>
                <w:rFonts w:ascii="Arial" w:cs="Arial" w:eastAsia="Arial" w:hAnsi="Arial"/>
                <w:sz w:val="14"/>
                <w:szCs w:val="14"/>
                <w:color w:val="auto"/>
                <w:w w:val="89"/>
              </w:rPr>
              <w:t>Total</w:t>
            </w: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1"/>
              </w:rPr>
              <w:t>Common</w:t>
            </w:r>
          </w:p>
        </w:tc>
        <w:tc>
          <w:tcPr>
            <w:tcW w:w="120" w:type="dxa"/>
            <w:vAlign w:val="bottom"/>
          </w:tcPr>
          <w:p>
            <w:pPr>
              <w:spacing w:after="0"/>
              <w:rPr>
                <w:sz w:val="12"/>
                <w:szCs w:val="12"/>
                <w:color w:val="auto"/>
              </w:rPr>
            </w:pPr>
          </w:p>
        </w:tc>
        <w:tc>
          <w:tcPr>
            <w:tcW w:w="9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9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2"/>
                <w:szCs w:val="12"/>
                <w:color w:val="auto"/>
              </w:rPr>
            </w:pPr>
          </w:p>
        </w:tc>
        <w:tc>
          <w:tcPr>
            <w:tcW w:w="13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Accumulated Other</w:t>
            </w:r>
          </w:p>
        </w:tc>
        <w:tc>
          <w:tcPr>
            <w:tcW w:w="100" w:type="dxa"/>
            <w:vAlign w:val="bottom"/>
          </w:tcPr>
          <w:p>
            <w:pPr>
              <w:spacing w:after="0"/>
              <w:rPr>
                <w:sz w:val="12"/>
                <w:szCs w:val="12"/>
                <w:color w:val="auto"/>
              </w:rPr>
            </w:pPr>
          </w:p>
        </w:tc>
        <w:tc>
          <w:tcPr>
            <w:tcW w:w="10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Treasury</w:t>
            </w:r>
          </w:p>
        </w:tc>
        <w:tc>
          <w:tcPr>
            <w:tcW w:w="100" w:type="dxa"/>
            <w:vAlign w:val="bottom"/>
          </w:tcPr>
          <w:p>
            <w:pPr>
              <w:spacing w:after="0"/>
              <w:rPr>
                <w:sz w:val="12"/>
                <w:szCs w:val="12"/>
                <w:color w:val="auto"/>
              </w:rPr>
            </w:pPr>
          </w:p>
        </w:tc>
        <w:tc>
          <w:tcPr>
            <w:tcW w:w="11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Shareholders'</w:t>
            </w: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Paid-in Capital</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Comprehensive Loss</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Equity</w:t>
            </w: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2"/>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Balance, December 26, 2021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2,428.0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4,257.8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(3,534.7)</w:t>
            </w:r>
          </w:p>
        </w:tc>
        <w:tc>
          <w:tcPr>
            <w:tcW w:w="1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37.2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3,063.1</w:t>
            </w: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3"/>
        </w:trPr>
        <w:tc>
          <w:tcPr>
            <w:tcW w:w="1820" w:type="dxa"/>
            <w:vAlign w:val="bottom"/>
          </w:tcPr>
          <w:p>
            <w:pPr>
              <w:ind w:left="220"/>
              <w:spacing w:after="0" w:line="143" w:lineRule="exact"/>
              <w:rPr>
                <w:sz w:val="20"/>
                <w:szCs w:val="20"/>
                <w:color w:val="auto"/>
              </w:rPr>
            </w:pPr>
            <w:r>
              <w:rPr>
                <w:rFonts w:ascii="Arial" w:cs="Arial" w:eastAsia="Arial" w:hAnsi="Arial"/>
                <w:sz w:val="14"/>
                <w:szCs w:val="14"/>
                <w:color w:val="auto"/>
                <w:w w:val="93"/>
              </w:rPr>
              <w:t>Net earnings attributable to</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20" w:type="dxa"/>
            <w:vAlign w:val="bottom"/>
          </w:tcPr>
          <w:p>
            <w:pPr>
              <w:ind w:left="22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203.2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203.2</w:t>
            </w: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earnings (loss)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attributable to</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2"/>
        </w:trPr>
        <w:tc>
          <w:tcPr>
            <w:tcW w:w="1820" w:type="dxa"/>
            <w:vAlign w:val="bottom"/>
          </w:tcPr>
          <w:p>
            <w:pPr>
              <w:ind w:left="220"/>
              <w:spacing w:after="0"/>
              <w:rPr>
                <w:sz w:val="20"/>
                <w:szCs w:val="20"/>
                <w:color w:val="auto"/>
              </w:rPr>
            </w:pPr>
            <w:r>
              <w:rPr>
                <w:rFonts w:ascii="Arial" w:cs="Arial" w:eastAsia="Arial" w:hAnsi="Arial"/>
                <w:sz w:val="14"/>
                <w:szCs w:val="14"/>
                <w:color w:val="auto"/>
                <w:w w:val="94"/>
              </w:rPr>
              <w:t>Change in put option value</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(0.4)</w:t>
            </w: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7"/>
              </w:rPr>
              <w:t>Other comprehensive loss</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20" w:type="dxa"/>
            <w:vAlign w:val="bottom"/>
          </w:tcPr>
          <w:p>
            <w:pPr>
              <w:ind w:left="220"/>
              <w:spacing w:after="0" w:line="135" w:lineRule="exact"/>
              <w:rPr>
                <w:sz w:val="20"/>
                <w:szCs w:val="20"/>
                <w:color w:val="auto"/>
              </w:rPr>
            </w:pPr>
            <w:r>
              <w:rPr>
                <w:rFonts w:ascii="Arial" w:cs="Arial" w:eastAsia="Arial" w:hAnsi="Arial"/>
                <w:sz w:val="14"/>
                <w:szCs w:val="14"/>
                <w:color w:val="auto"/>
                <w:w w:val="93"/>
              </w:rPr>
              <w:t>Stock-based compensation</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1"/>
                <w:szCs w:val="11"/>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54.7</w:t>
            </w: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820" w:type="dxa"/>
            <w:vAlign w:val="bottom"/>
          </w:tcPr>
          <w:p>
            <w:pPr>
              <w:ind w:left="2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2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Purchases of common</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14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20" w:type="dxa"/>
            <w:vAlign w:val="bottom"/>
          </w:tcPr>
          <w:p>
            <w:pPr>
              <w:ind w:left="220"/>
              <w:spacing w:after="0" w:line="143" w:lineRule="exact"/>
              <w:rPr>
                <w:sz w:val="20"/>
                <w:szCs w:val="20"/>
                <w:color w:val="auto"/>
              </w:rPr>
            </w:pPr>
            <w:r>
              <w:rPr>
                <w:rFonts w:ascii="Arial" w:cs="Arial" w:eastAsia="Arial" w:hAnsi="Arial"/>
                <w:sz w:val="14"/>
                <w:szCs w:val="14"/>
                <w:color w:val="auto"/>
                <w:w w:val="93"/>
              </w:rPr>
              <w:t>Stock-based compensation</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22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43.1</w:t>
            </w: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(195.1)</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c>
          <w:tcPr>
            <w:tcW w:w="14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20" w:type="dxa"/>
            <w:vAlign w:val="bottom"/>
          </w:tcPr>
          <w:p>
            <w:pPr>
              <w:ind w:left="220"/>
              <w:spacing w:after="0" w:line="143"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220"/>
              <w:spacing w:after="0" w:line="149" w:lineRule="exact"/>
              <w:rPr>
                <w:sz w:val="20"/>
                <w:szCs w:val="20"/>
                <w:color w:val="auto"/>
              </w:rPr>
            </w:pPr>
            <w:r>
              <w:rPr>
                <w:rFonts w:ascii="Arial" w:cs="Arial" w:eastAsia="Arial" w:hAnsi="Arial"/>
                <w:sz w:val="14"/>
                <w:szCs w:val="14"/>
                <w:color w:val="auto"/>
                <w:w w:val="96"/>
              </w:rPr>
              <w:t>noncontrolling owners and</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8"/>
        </w:trPr>
        <w:tc>
          <w:tcPr>
            <w:tcW w:w="1820" w:type="dxa"/>
            <w:vAlign w:val="bottom"/>
          </w:tcPr>
          <w:p>
            <w:pPr>
              <w:ind w:left="22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26,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3,012.8</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2"/>
        </w:trPr>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02"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In the opinion of management, the accompanying unaudited interim consolidated financial statements contain all normal and recurring adjustments necessary to present fairly the consolidated financial position of Hasbro, Inc. and all majority-owned subsidiaries ("Hasbro" or the "Company") as of July 2, 2023 and June 26, 2022, and the results of its operations and cash flows and shareholders' equity for the periods then ended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notes thereto. Actual results could differ from those estimates.</w:t>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quarters ended July 2, 2023 and June 26, 2022 were each 13-week periods. The six-month periods ended July 2, 2023 and June 26, 2022 were 27-week and 26-week periods, respectively.</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results of operations for the quarter ended July 2, 2023 are not necessarily indicative of results to be expected for the full year 2023, nor were those of the comparable 2022 period representative of those actually experienced for the full year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significant accounting policies are summarized in note 1 to the consolidated financial statements included in the Company's Annual Report on Form 10-K for the year ended December 25, 2022 ("2022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Film and TV Reporting Unit</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During the second quarter of 2023, the Company determined that a triggering event occurred following a downward revision of the Company's financial forecast for its Film and TV business, driven by challenging industry conditions that include the ongoing strike by the Writers Guild of America. As a result, the Company performed a quantitative impairment test and determined that the Film and TV reporting unit within the Company's Entertainment segment, was impaired. During the second quarter of 2023, the Company recorded pre-tax non-cash impairment charges of $296.2 million as the carrying value of the Film and TV reporting unit exceeded its expected fair value, as determined using a discounted cash flow model which is primarily based on management’s future revenue and cost estimates. These impairment charges consisted of a $231.2 million goodwill impairment charge associated with goodwill assigned to the Company's Film and TV reporting unit, recorded within Impairment of Goodwill and a $65.0 million intangible asset impairment charge related to the Company's definite-lived intangible eOne Trademark, recorded in Selling, Distribution and Administration costs, within the Consolidated Statements of Operations for the quarter and six months ended July 2,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D&amp;D Beyond Acquisition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19, 2022, the Company acquired D&amp;D Beyond, a strategic, complementary acquisition of the premier digital content platform for DUNGEONS &amp; DRAGONS. The all-cash transaction in the purchase amount of $146.3 million was funded with cash on hand. The final allocation of assets acquired included $81.4 million to intangible assets, $64.7 million to goodwill, with the remainder allocated to property, plant, and equipment, all of which are included in the Company's consolidated balance sheets as of June 26,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Blueprint 2.0 and Operational Excellence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2022, following a several months long strategic review of our business led by our CEO, the Company announced a new strategic plan guided by our new Blueprint 2.0, a consumer-centric framework for bringing compelling and expansive brand experiences to audiences around the world. During the review, with the assistance of a third party consultant, the Company identified opportunities to focus and scale its business, enhance operational excellence, including through specialized organizational programs and supply chain transformation, to drive growth and profit and enhance shareholder value. The Company is increasing strategic investment in its most valuable and profitable franchises across toys, games, entertainment and licensing, and exiting certain non-core aspects of the business.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Brand Portfolio Realignment</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212529"/>
        </w:rPr>
        <w:t>Effective for the first quarter 2023, we realigned our brand portfolios to correspond with the evolution of our Blueprint 2.0 strategy. We are focusing on fewer, bigger, more profitable brands that showcase our leadership in preschool toys, action figures and accessories, games, arts &amp; crafts, and outdoor action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0" w:name="page11"/>
    <w:bookmarkEnd w:id="1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212529"/>
        </w:rPr>
        <w:t>Our new product categories beginning in the first quarter of 2023 are as follows:</w:t>
      </w:r>
    </w:p>
    <w:p>
      <w:pPr>
        <w:spacing w:after="0" w:line="11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u w:val="single" w:color="auto"/>
          <w:color w:val="212529"/>
        </w:rPr>
        <w:t>Franchise Brands</w:t>
      </w:r>
      <w:r>
        <w:rPr>
          <w:rFonts w:ascii="Arial" w:cs="Arial" w:eastAsia="Arial" w:hAnsi="Arial"/>
          <w:sz w:val="17"/>
          <w:szCs w:val="17"/>
          <w:color w:val="212529"/>
        </w:rPr>
        <w:t xml:space="preserve"> - A refreshed group of our most financially significant brands which we consider to have the greatest long-term potential including DUNGEONS &amp; DRAGONS, Hasbro Gaming, MAGIC: THE GATHERING, NERF, PEPPA PIG, PLAY-DOH, and TRANSFORMERS.</w:t>
      </w:r>
    </w:p>
    <w:p>
      <w:pPr>
        <w:spacing w:after="0" w:line="3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u w:val="single" w:color="auto"/>
          <w:color w:val="212529"/>
        </w:rPr>
        <w:t>Partner Brands</w:t>
      </w:r>
      <w:r>
        <w:rPr>
          <w:rFonts w:ascii="Arial" w:cs="Arial" w:eastAsia="Arial" w:hAnsi="Arial"/>
          <w:sz w:val="18"/>
          <w:szCs w:val="18"/>
          <w:color w:val="212529"/>
        </w:rPr>
        <w:t xml:space="preserve"> - The Partner Brands category includes those brands we license from other parties such as Disney's STAR WARS and MARVEL brands as well as other partners, for which we develop toy and game products, with a focus on those key Partner Brands that give us the largest growth potential and where we can lead and innovate in the category.</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212529"/>
        </w:rPr>
        <w:t>Portfolio Brands</w:t>
      </w:r>
      <w:r>
        <w:rPr>
          <w:rFonts w:ascii="Arial" w:cs="Arial" w:eastAsia="Arial" w:hAnsi="Arial"/>
          <w:sz w:val="18"/>
          <w:szCs w:val="18"/>
          <w:color w:val="212529"/>
        </w:rPr>
        <w:t xml:space="preserve"> - Our Portfolio Brands category includes those brands we own or control which we feel have upside in revenue and profitability that have not yet grown to the significance of a franchise brand.</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212529"/>
        </w:rPr>
        <w:t>Non-Hasbro Branded Film &amp; TV</w:t>
      </w:r>
      <w:r>
        <w:rPr>
          <w:rFonts w:ascii="Arial" w:cs="Arial" w:eastAsia="Arial" w:hAnsi="Arial"/>
          <w:sz w:val="18"/>
          <w:szCs w:val="18"/>
          <w:color w:val="212529"/>
        </w:rPr>
        <w:t xml:space="preserve"> - The Non-Hasbro Branded Film &amp; TV category includes non-Hasbro-branded film, TV and other entertainment related revenues. All Hasbro-branded content is included in the portfolios noted above.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25, 2022 in its 2022 Form 10-K, which includes all such information and disclosures and, accordingly, should be read in conjunction with the financial information included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July 2, 2023, there were no recently adopted accounting standards that had a material effect on the Company’s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As of July 2, 2023, there were no recently issued accounting pronouncements that had a material effect on the Company’s financial statements.</w:t>
      </w:r>
    </w:p>
    <w:p>
      <w:pPr>
        <w:spacing w:after="0" w:line="206"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Assets and Liabilities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ordinary course of business, the Company’s Consumer Products, Wizards of the Coast and Digital Gaming and Entertainment segments enter into contracts to license certain of the Company’s intellectual property, providing licensees right-to-use or access to such intellectual property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or through in-application purchases. These digital gaming revenues are recognized over a period of time, determined based on player usage patterns or the estimated playing life of the user or when additional downloadable content is made available.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respectively, and the long-term portion is recorded within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40" w:type="dxa"/>
            <w:vAlign w:val="bottom"/>
          </w:tcPr>
          <w:p>
            <w:pPr>
              <w:ind w:left="2700"/>
              <w:spacing w:after="0"/>
              <w:rPr>
                <w:sz w:val="20"/>
                <w:szCs w:val="20"/>
                <w:color w:val="auto"/>
              </w:rPr>
            </w:pPr>
            <w:r>
              <w:rPr>
                <w:rFonts w:ascii="Arial" w:cs="Arial" w:eastAsia="Arial" w:hAnsi="Arial"/>
                <w:sz w:val="18"/>
                <w:szCs w:val="18"/>
                <w:b w:val="1"/>
                <w:bCs w:val="1"/>
                <w:color w:val="auto"/>
              </w:rPr>
              <w:t>Condensed Notes to Consolidated Financial Statements</w:t>
            </w:r>
          </w:p>
        </w:tc>
        <w:tc>
          <w:tcPr>
            <w:tcW w:w="3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40" w:type="dxa"/>
            <w:vAlign w:val="bottom"/>
          </w:tcPr>
          <w:p>
            <w:pPr>
              <w:ind w:left="2700"/>
              <w:spacing w:after="0"/>
              <w:rPr>
                <w:sz w:val="20"/>
                <w:szCs w:val="20"/>
                <w:color w:val="auto"/>
              </w:rPr>
            </w:pPr>
            <w:r>
              <w:rPr>
                <w:rFonts w:ascii="Arial" w:cs="Arial" w:eastAsia="Arial" w:hAnsi="Arial"/>
                <w:sz w:val="18"/>
                <w:szCs w:val="18"/>
                <w:b w:val="1"/>
                <w:bCs w:val="1"/>
                <w:color w:val="auto"/>
              </w:rPr>
              <w:t>(Millions of Dollars and Shares Except Per Share Data)</w:t>
            </w:r>
          </w:p>
        </w:tc>
        <w:tc>
          <w:tcPr>
            <w:tcW w:w="3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756"/>
        </w:trPr>
        <w:tc>
          <w:tcPr>
            <w:tcW w:w="9040" w:type="dxa"/>
            <w:vAlign w:val="bottom"/>
            <w:gridSpan w:val="4"/>
          </w:tcPr>
          <w:p>
            <w:pPr>
              <w:spacing w:after="0"/>
              <w:rPr>
                <w:sz w:val="20"/>
                <w:szCs w:val="20"/>
                <w:color w:val="auto"/>
              </w:rPr>
            </w:pPr>
            <w:r>
              <w:rPr>
                <w:rFonts w:ascii="Arial" w:cs="Arial" w:eastAsia="Arial" w:hAnsi="Arial"/>
                <w:sz w:val="18"/>
                <w:szCs w:val="18"/>
                <w:color w:val="auto"/>
                <w:w w:val="95"/>
              </w:rPr>
              <w:t>The changes in carrying amounts of contract assets and liabilities for the six months ended July 2, 2023 are as follows:</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51"/>
        </w:trPr>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2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July 2, 2023</w:t>
            </w:r>
          </w:p>
        </w:tc>
      </w:tr>
      <w:tr>
        <w:trPr>
          <w:trHeight w:val="169"/>
        </w:trPr>
        <w:tc>
          <w:tcPr>
            <w:tcW w:w="20" w:type="dxa"/>
            <w:vAlign w:val="bottom"/>
            <w:shd w:val="clear" w:color="auto" w:fill="CCEEFF"/>
          </w:tcPr>
          <w:p>
            <w:pPr>
              <w:spacing w:after="0"/>
              <w:rPr>
                <w:sz w:val="14"/>
                <w:szCs w:val="14"/>
                <w:color w:val="auto"/>
              </w:rPr>
            </w:pPr>
          </w:p>
        </w:tc>
        <w:tc>
          <w:tcPr>
            <w:tcW w:w="902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2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9020" w:type="dxa"/>
            <w:vAlign w:val="bottom"/>
            <w:gridSpan w:val="3"/>
          </w:tcPr>
          <w:p>
            <w:pPr>
              <w:spacing w:after="0"/>
              <w:rPr>
                <w:sz w:val="20"/>
                <w:szCs w:val="20"/>
                <w:color w:val="auto"/>
              </w:rPr>
            </w:pPr>
            <w:r>
              <w:rPr>
                <w:rFonts w:ascii="Arial" w:cs="Arial" w:eastAsia="Arial" w:hAnsi="Arial"/>
                <w:sz w:val="18"/>
                <w:szCs w:val="18"/>
                <w:color w:val="auto"/>
              </w:rPr>
              <w:t>Balance at beginning of the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594.4</w:t>
            </w:r>
          </w:p>
        </w:tc>
      </w:tr>
      <w:tr>
        <w:trPr>
          <w:trHeight w:val="230"/>
        </w:trPr>
        <w:tc>
          <w:tcPr>
            <w:tcW w:w="20" w:type="dxa"/>
            <w:vAlign w:val="bottom"/>
            <w:shd w:val="clear" w:color="auto" w:fill="CCEEFF"/>
          </w:tcPr>
          <w:p>
            <w:pPr>
              <w:spacing w:after="0"/>
              <w:rPr>
                <w:sz w:val="19"/>
                <w:szCs w:val="19"/>
                <w:color w:val="auto"/>
              </w:rPr>
            </w:pPr>
          </w:p>
        </w:tc>
        <w:tc>
          <w:tcPr>
            <w:tcW w:w="9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Recognized in current year</w:t>
            </w: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r>
      <w:tr>
        <w:trPr>
          <w:trHeight w:val="237"/>
        </w:trPr>
        <w:tc>
          <w:tcPr>
            <w:tcW w:w="20" w:type="dxa"/>
            <w:vAlign w:val="bottom"/>
          </w:tcPr>
          <w:p>
            <w:pPr>
              <w:spacing w:after="0"/>
              <w:rPr>
                <w:sz w:val="20"/>
                <w:szCs w:val="20"/>
                <w:color w:val="auto"/>
              </w:rPr>
            </w:pP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Amounts reclassified to accounts receivable</w:t>
            </w:r>
          </w:p>
        </w:tc>
        <w:tc>
          <w:tcPr>
            <w:tcW w:w="3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(352.1)</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90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Foreign currency impact</w:t>
            </w:r>
          </w:p>
        </w:tc>
        <w:tc>
          <w:tcPr>
            <w:tcW w:w="38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20" w:type="dxa"/>
            <w:vAlign w:val="bottom"/>
          </w:tcPr>
          <w:p>
            <w:pPr>
              <w:spacing w:after="0"/>
              <w:rPr>
                <w:sz w:val="19"/>
                <w:szCs w:val="19"/>
                <w:color w:val="auto"/>
              </w:rPr>
            </w:pPr>
          </w:p>
        </w:tc>
        <w:tc>
          <w:tcPr>
            <w:tcW w:w="902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90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9"/>
        </w:trPr>
        <w:tc>
          <w:tcPr>
            <w:tcW w:w="20" w:type="dxa"/>
            <w:vAlign w:val="bottom"/>
          </w:tcPr>
          <w:p>
            <w:pPr>
              <w:spacing w:after="0"/>
              <w:rPr>
                <w:sz w:val="19"/>
                <w:szCs w:val="19"/>
                <w:color w:val="auto"/>
              </w:rPr>
            </w:pP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Recognized in current year</w:t>
            </w:r>
          </w:p>
        </w:tc>
        <w:tc>
          <w:tcPr>
            <w:tcW w:w="3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164.0</w:t>
            </w:r>
          </w:p>
        </w:tc>
      </w:tr>
      <w:tr>
        <w:trPr>
          <w:trHeight w:val="243"/>
        </w:trPr>
        <w:tc>
          <w:tcPr>
            <w:tcW w:w="20" w:type="dxa"/>
            <w:vAlign w:val="bottom"/>
            <w:shd w:val="clear" w:color="auto" w:fill="CCEEFF"/>
          </w:tcPr>
          <w:p>
            <w:pPr>
              <w:spacing w:after="0"/>
              <w:rPr>
                <w:sz w:val="21"/>
                <w:szCs w:val="21"/>
                <w:color w:val="auto"/>
              </w:rPr>
            </w:pPr>
          </w:p>
        </w:tc>
        <w:tc>
          <w:tcPr>
            <w:tcW w:w="9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Amounts in beginning balance reclassified to revenue</w:t>
            </w:r>
          </w:p>
        </w:tc>
        <w:tc>
          <w:tcPr>
            <w:tcW w:w="3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29"/>
        </w:trPr>
        <w:tc>
          <w:tcPr>
            <w:tcW w:w="20" w:type="dxa"/>
            <w:vAlign w:val="bottom"/>
          </w:tcPr>
          <w:p>
            <w:pPr>
              <w:spacing w:after="0"/>
              <w:rPr>
                <w:sz w:val="19"/>
                <w:szCs w:val="19"/>
                <w:color w:val="auto"/>
              </w:rPr>
            </w:pP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Current year amounts reclassified to revenue</w:t>
            </w:r>
          </w:p>
        </w:tc>
        <w:tc>
          <w:tcPr>
            <w:tcW w:w="3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90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Foreign currency impact</w:t>
            </w:r>
          </w:p>
        </w:tc>
        <w:tc>
          <w:tcPr>
            <w:tcW w:w="3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6"/>
        </w:trPr>
        <w:tc>
          <w:tcPr>
            <w:tcW w:w="20" w:type="dxa"/>
            <w:vAlign w:val="bottom"/>
          </w:tcPr>
          <w:p>
            <w:pPr>
              <w:spacing w:after="0"/>
              <w:rPr>
                <w:sz w:val="20"/>
                <w:szCs w:val="20"/>
                <w:color w:val="auto"/>
              </w:rPr>
            </w:pPr>
          </w:p>
        </w:tc>
        <w:tc>
          <w:tcPr>
            <w:tcW w:w="902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Unsatisfied performance obligations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July 2, 2023, unrecognized revenue attributable to unsatisfied performance obligations expected to be recognized in the future was $158.6 million. Of this amount, we expect to recognize $135.3 million in the remainder of 2023, $19.0 million in 2024, $4.2 million in 2025 and $0.1 million in 2026. These amounts include only fixed consideration.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and Allowance for Credit Losses</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Company’s balance for accounts receivable on the consolidated balance sheets as of July 2, 2023 and June 26, 2022 are primarily from contracts with customers. The Company had no material expense for credit losses for the quarters ended July 2, 2023 and June 26, 2022.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Company disaggregates its revenues from contracts with customers by reportable segment: Consumer Products, Wizards of the Coast and Digital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Gaming, and Entertainment. The Company further disaggregates revenues within its Consumer Products segment by major geographic region: North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America, Europe, Latin America, and Asia Pacific; within its Wizards of the Coast and Digital Gaming segment by category: Tabletop Gaming and Digital</w:t>
      </w:r>
    </w:p>
    <w:p>
      <w:pPr>
        <w:spacing w:after="0" w:line="3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and Licensed Gaming; and within its Entertainment segment by category: Film &amp; TV, Family Brands, and Other. Finally, the Company disaggregates its revenues by brand portfolio into four brand categories: Franchise Brands, Partner Brands, Portfolio Brands, and Non-Hasbro Branded Film &amp; TV. We believe these collectively depict how the nature, amount, timing and uncertainty of revenue and cash flows are affected by economic factors. See note 13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12" w:name="page13"/>
    <w:bookmarkEnd w:id="1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earnings (loss) per share data for the quarters and six months ended July 2, 2023 and June 26, 2022 were computed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59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Quarter</w:t>
            </w:r>
          </w:p>
        </w:tc>
        <w:tc>
          <w:tcPr>
            <w:tcW w:w="280" w:type="dxa"/>
            <w:vAlign w:val="bottom"/>
          </w:tcPr>
          <w:p>
            <w:pPr>
              <w:spacing w:after="0"/>
              <w:rPr>
                <w:sz w:val="17"/>
                <w:szCs w:val="17"/>
                <w:color w:val="auto"/>
              </w:rPr>
            </w:pPr>
          </w:p>
        </w:tc>
        <w:tc>
          <w:tcPr>
            <w:tcW w:w="1300" w:type="dxa"/>
            <w:vAlign w:val="bottom"/>
            <w:gridSpan w:val="3"/>
          </w:tcPr>
          <w:p>
            <w:pPr>
              <w:jc w:val="right"/>
              <w:ind w:right="740"/>
              <w:spacing w:after="0" w:line="196" w:lineRule="exact"/>
              <w:rPr>
                <w:sz w:val="20"/>
                <w:szCs w:val="20"/>
                <w:color w:val="auto"/>
              </w:rPr>
            </w:pPr>
            <w:r>
              <w:rPr>
                <w:rFonts w:ascii="Arial" w:cs="Arial" w:eastAsia="Arial" w:hAnsi="Arial"/>
                <w:sz w:val="18"/>
                <w:szCs w:val="18"/>
                <w:b w:val="1"/>
                <w:bCs w:val="1"/>
                <w:color w:val="auto"/>
              </w:rPr>
              <w:t>Basic</w:t>
            </w:r>
          </w:p>
        </w:tc>
        <w:tc>
          <w:tcPr>
            <w:tcW w:w="100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Diluted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right"/>
              <w:ind w:right="760"/>
              <w:spacing w:after="0" w:line="196" w:lineRule="exact"/>
              <w:rPr>
                <w:sz w:val="20"/>
                <w:szCs w:val="20"/>
                <w:color w:val="auto"/>
              </w:rPr>
            </w:pPr>
            <w:r>
              <w:rPr>
                <w:rFonts w:ascii="Arial" w:cs="Arial" w:eastAsia="Arial" w:hAnsi="Arial"/>
                <w:sz w:val="18"/>
                <w:szCs w:val="18"/>
                <w:b w:val="1"/>
                <w:bCs w:val="1"/>
                <w:color w:val="auto"/>
              </w:rPr>
              <w:t>Basic</w:t>
            </w:r>
          </w:p>
        </w:tc>
        <w:tc>
          <w:tcPr>
            <w:tcW w:w="100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Diluted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earnings attributable to Hasbro,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37"/>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6"/>
        </w:trPr>
        <w:tc>
          <w:tcPr>
            <w:tcW w:w="20" w:type="dxa"/>
            <w:vAlign w:val="bottom"/>
            <w:shd w:val="clear" w:color="auto" w:fill="CCEEFF"/>
          </w:tcPr>
          <w:p>
            <w:pPr>
              <w:spacing w:after="0"/>
              <w:rPr>
                <w:sz w:val="20"/>
                <w:szCs w:val="20"/>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Options and other share-based awards</w:t>
            </w:r>
          </w:p>
        </w:tc>
        <w:tc>
          <w:tcPr>
            <w:tcW w:w="2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 (loss) earnings attributable to Hasbro, Inc.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Six Months</w:t>
            </w:r>
          </w:p>
        </w:tc>
        <w:tc>
          <w:tcPr>
            <w:tcW w:w="280" w:type="dxa"/>
            <w:vAlign w:val="bottom"/>
          </w:tcPr>
          <w:p>
            <w:pPr>
              <w:spacing w:after="0"/>
              <w:rPr>
                <w:sz w:val="15"/>
                <w:szCs w:val="15"/>
                <w:color w:val="auto"/>
              </w:rPr>
            </w:pPr>
          </w:p>
        </w:tc>
        <w:tc>
          <w:tcPr>
            <w:tcW w:w="1300" w:type="dxa"/>
            <w:vAlign w:val="bottom"/>
            <w:gridSpan w:val="3"/>
          </w:tcPr>
          <w:p>
            <w:pPr>
              <w:jc w:val="right"/>
              <w:ind w:right="740"/>
              <w:spacing w:after="0" w:line="182" w:lineRule="exact"/>
              <w:rPr>
                <w:sz w:val="20"/>
                <w:szCs w:val="20"/>
                <w:color w:val="auto"/>
              </w:rPr>
            </w:pPr>
            <w:r>
              <w:rPr>
                <w:rFonts w:ascii="Arial" w:cs="Arial" w:eastAsia="Arial" w:hAnsi="Arial"/>
                <w:sz w:val="18"/>
                <w:szCs w:val="18"/>
                <w:b w:val="1"/>
                <w:bCs w:val="1"/>
                <w:color w:val="auto"/>
              </w:rPr>
              <w:t>Basic</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Diluted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ind w:right="760"/>
              <w:spacing w:after="0" w:line="182" w:lineRule="exact"/>
              <w:rPr>
                <w:sz w:val="20"/>
                <w:szCs w:val="20"/>
                <w:color w:val="auto"/>
              </w:rPr>
            </w:pPr>
            <w:r>
              <w:rPr>
                <w:rFonts w:ascii="Arial" w:cs="Arial" w:eastAsia="Arial" w:hAnsi="Arial"/>
                <w:sz w:val="18"/>
                <w:szCs w:val="18"/>
                <w:b w:val="1"/>
                <w:bCs w:val="1"/>
                <w:color w:val="auto"/>
              </w:rPr>
              <w:t>Basic</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Diluted</w:t>
            </w: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earnings attributable to Hasbro,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Options and other share-based awards</w:t>
            </w:r>
          </w:p>
        </w:tc>
        <w:tc>
          <w:tcPr>
            <w:tcW w:w="28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 (loss) earnings attributable to Hasbro, Inc.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quarter and six months ended July 2, 2023, options and restricted stock units totaling 4.3 million and 4.2 million, respectively, were excluded from the calculation of diluted earnings per share because to include them would have been anti-dilutive. For the quarter and six months ended June 26, 2022, options and restricted stock units totaling 3.0 million and 3.8 million, respectively, were excluded from the calculation of diluted earnings per share because to include them would have been anti-dilutive. Of the fiscal 2023 amount, 1.2 million and 1.6 million shares, respectively, would have been included in the calculation of diluted shares had the Company not had a net loss for the quarter and six months ended July 2, 2023. Assuming that these awards and options were included, under the treasury stock method, they would have resulted in an additional 0.2 million and 0.1 million shares, respectively, being included in the diluted earnings per share calculation for the quarter and six months ended July 2, 2023.</w:t>
      </w:r>
    </w:p>
    <w:p>
      <w:pPr>
        <w:spacing w:after="0" w:line="11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operating segment, for the six months ended July 2, 2023 and June 26, 2022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w w:val="92"/>
              </w:rPr>
              <w:t>Wizards of the Coast</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Consumer Products</w:t>
            </w: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and Digital Gaming</w:t>
            </w: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Entertainment</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169"/>
        </w:trPr>
        <w:tc>
          <w:tcPr>
            <w:tcW w:w="20" w:type="dxa"/>
            <w:vAlign w:val="bottom"/>
            <w:shd w:val="clear" w:color="auto" w:fill="CCEEFF"/>
          </w:tcPr>
          <w:p>
            <w:pPr>
              <w:spacing w:after="0"/>
              <w:rPr>
                <w:sz w:val="14"/>
                <w:szCs w:val="14"/>
                <w:color w:val="auto"/>
              </w:rPr>
            </w:pPr>
          </w:p>
        </w:tc>
        <w:tc>
          <w:tcPr>
            <w:tcW w:w="39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2023</w:t>
            </w: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Balance at December 25, 2022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1,584.7</w:t>
            </w:r>
          </w:p>
        </w:tc>
        <w:tc>
          <w:tcPr>
            <w:tcW w:w="1840" w:type="dxa"/>
            <w:vAlign w:val="bottom"/>
            <w:gridSpan w:val="2"/>
          </w:tcPr>
          <w:p>
            <w:pPr>
              <w:jc w:val="right"/>
              <w:ind w:right="90"/>
              <w:spacing w:after="0"/>
              <w:rPr>
                <w:sz w:val="20"/>
                <w:szCs w:val="20"/>
                <w:color w:val="auto"/>
              </w:rPr>
            </w:pPr>
            <w:r>
              <w:rPr>
                <w:rFonts w:ascii="Arial" w:cs="Arial" w:eastAsia="Arial" w:hAnsi="Arial"/>
                <w:sz w:val="18"/>
                <w:szCs w:val="18"/>
                <w:color w:val="auto"/>
              </w:rPr>
              <w:t>371.5</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1,513.9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3,470.1</w:t>
            </w: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29"/>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Impairment during the period</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(231.2)</w:t>
            </w:r>
          </w:p>
        </w:tc>
      </w:tr>
      <w:tr>
        <w:trPr>
          <w:trHeight w:val="250"/>
        </w:trPr>
        <w:tc>
          <w:tcPr>
            <w:tcW w:w="20" w:type="dxa"/>
            <w:vAlign w:val="bottom"/>
            <w:shd w:val="clear" w:color="auto" w:fill="CCEEFF"/>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July 2,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1,584.8</w:t>
            </w:r>
          </w:p>
        </w:tc>
        <w:tc>
          <w:tcPr>
            <w:tcW w:w="1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371.7</w:t>
            </w:r>
          </w:p>
        </w:tc>
        <w:tc>
          <w:tcPr>
            <w:tcW w:w="1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1,282.7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3,239.2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540"/>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discussion of goodwill impairment recorded during the second quarter of 2023.</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8"/>
              </w:rPr>
              <w:t>Consumer Products</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w w:val="93"/>
              </w:rPr>
              <w:t>Wizards of the Coast</w:t>
            </w:r>
          </w:p>
        </w:tc>
        <w:tc>
          <w:tcPr>
            <w:tcW w:w="100" w:type="dxa"/>
            <w:vAlign w:val="bottom"/>
          </w:tcPr>
          <w:p>
            <w:pPr>
              <w:spacing w:after="0"/>
              <w:rPr>
                <w:sz w:val="17"/>
                <w:szCs w:val="17"/>
                <w:color w:val="auto"/>
              </w:rPr>
            </w:pPr>
          </w:p>
        </w:tc>
        <w:tc>
          <w:tcPr>
            <w:tcW w:w="17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Entertainment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and Digital Gaming</w:t>
            </w:r>
          </w:p>
        </w:tc>
        <w:tc>
          <w:tcPr>
            <w:tcW w:w="100" w:type="dxa"/>
            <w:vAlign w:val="bottom"/>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2022</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Balance at December 26,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1,584.9</w:t>
            </w:r>
          </w:p>
        </w:tc>
        <w:tc>
          <w:tcPr>
            <w:tcW w:w="1840" w:type="dxa"/>
            <w:vAlign w:val="bottom"/>
            <w:gridSpan w:val="2"/>
          </w:tcPr>
          <w:p>
            <w:pPr>
              <w:jc w:val="right"/>
              <w:ind w:right="90"/>
              <w:spacing w:after="0"/>
              <w:rPr>
                <w:sz w:val="20"/>
                <w:szCs w:val="20"/>
                <w:color w:val="auto"/>
              </w:rPr>
            </w:pPr>
            <w:r>
              <w:rPr>
                <w:rFonts w:ascii="Arial" w:cs="Arial" w:eastAsia="Arial" w:hAnsi="Arial"/>
                <w:sz w:val="18"/>
                <w:szCs w:val="18"/>
                <w:color w:val="auto"/>
              </w:rPr>
              <w:t>307.3</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1,527.4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3,419.6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during the period</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Foreign exchange translation</w:t>
            </w: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26,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1,584.7</w:t>
            </w:r>
          </w:p>
        </w:tc>
        <w:tc>
          <w:tcPr>
            <w:tcW w:w="1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371.9</w:t>
            </w:r>
          </w:p>
        </w:tc>
        <w:tc>
          <w:tcPr>
            <w:tcW w:w="1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1,526.6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3,483.2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discussion of D&amp;D Beyond acquisition completed in the second quarter of 2022.</w:t>
      </w:r>
    </w:p>
    <w:p>
      <w:pPr>
        <w:spacing w:after="0" w:line="194"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1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Components of other comprehensive earnings (loss) are presented within the consolidated statements of comprehensive earnings (loss). The following table presents the related tax effects on changes in other comprehensive earnings (loss) for the quarters and six months ended July 2, 2023 and June 26,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w w:val="91"/>
              </w:rPr>
              <w:t>Quarter Ended</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8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July 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26,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July 2,</w:t>
            </w:r>
          </w:p>
        </w:tc>
        <w:tc>
          <w:tcPr>
            <w:tcW w:w="100" w:type="dxa"/>
            <w:vAlign w:val="bottom"/>
          </w:tcPr>
          <w:p>
            <w:pPr>
              <w:spacing w:after="0"/>
              <w:rPr>
                <w:sz w:val="14"/>
                <w:szCs w:val="14"/>
                <w:color w:val="auto"/>
              </w:rPr>
            </w:pPr>
          </w:p>
        </w:tc>
        <w:tc>
          <w:tcPr>
            <w:tcW w:w="14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8"/>
              </w:rPr>
              <w:t>June 26,</w:t>
            </w:r>
          </w:p>
        </w:tc>
      </w:tr>
      <w:tr>
        <w:trPr>
          <w:trHeight w:val="239"/>
        </w:trPr>
        <w:tc>
          <w:tcPr>
            <w:tcW w:w="48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5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54"/>
        </w:trPr>
        <w:tc>
          <w:tcPr>
            <w:tcW w:w="486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Other comprehensive earnings (loss), tax effect:</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on unrealized holding losses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87"/>
              </w:rPr>
              <w:t>0.1</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Tax benefit (expense) on cash flow hedging activities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560" w:type="dxa"/>
            <w:vAlign w:val="bottom"/>
            <w:gridSpan w:val="2"/>
          </w:tcPr>
          <w:p>
            <w:pPr>
              <w:jc w:val="center"/>
              <w:ind w:left="1070"/>
              <w:spacing w:after="0"/>
              <w:rPr>
                <w:sz w:val="20"/>
                <w:szCs w:val="20"/>
                <w:color w:val="auto"/>
              </w:rPr>
            </w:pPr>
            <w:r>
              <w:rPr>
                <w:rFonts w:ascii="Arial" w:cs="Arial" w:eastAsia="Arial" w:hAnsi="Arial"/>
                <w:sz w:val="18"/>
                <w:szCs w:val="18"/>
                <w:color w:val="auto"/>
                <w:w w:val="97"/>
              </w:rPr>
              <w:t>(0.4)</w:t>
            </w: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to earnings, tax effect:</w:t>
            </w: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9"/>
        </w:trPr>
        <w:tc>
          <w:tcPr>
            <w:tcW w:w="4860" w:type="dxa"/>
            <w:vAlign w:val="bottom"/>
          </w:tcPr>
          <w:p>
            <w:pPr>
              <w:ind w:left="340"/>
              <w:spacing w:after="0"/>
              <w:rPr>
                <w:sz w:val="20"/>
                <w:szCs w:val="20"/>
                <w:color w:val="auto"/>
              </w:rPr>
            </w:pPr>
            <w:r>
              <w:rPr>
                <w:rFonts w:ascii="Arial" w:cs="Arial" w:eastAsia="Arial" w:hAnsi="Arial"/>
                <w:sz w:val="18"/>
                <w:szCs w:val="18"/>
                <w:color w:val="auto"/>
              </w:rPr>
              <w:t>Tax (benefit) expense on cash flow hedging activities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560" w:type="dxa"/>
            <w:vAlign w:val="bottom"/>
            <w:gridSpan w:val="2"/>
          </w:tcPr>
          <w:p>
            <w:pPr>
              <w:jc w:val="center"/>
              <w:ind w:left="1070"/>
              <w:spacing w:after="0"/>
              <w:rPr>
                <w:sz w:val="20"/>
                <w:szCs w:val="20"/>
                <w:color w:val="auto"/>
              </w:rPr>
            </w:pPr>
            <w:r>
              <w:rPr>
                <w:rFonts w:ascii="Arial" w:cs="Arial" w:eastAsia="Arial" w:hAnsi="Arial"/>
                <w:sz w:val="18"/>
                <w:szCs w:val="18"/>
                <w:color w:val="auto"/>
                <w:w w:val="97"/>
              </w:rPr>
              <w:t>(0.1)</w:t>
            </w:r>
          </w:p>
        </w:tc>
      </w:tr>
      <w:tr>
        <w:trPr>
          <w:trHeight w:val="21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unrecognized pension and postretirement</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w:t>
            </w:r>
          </w:p>
        </w:tc>
        <w:tc>
          <w:tcPr>
            <w:tcW w:w="1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center"/>
              <w:ind w:left="970"/>
              <w:spacing w:after="0"/>
              <w:rPr>
                <w:sz w:val="20"/>
                <w:szCs w:val="20"/>
                <w:color w:val="auto"/>
              </w:rPr>
            </w:pPr>
            <w:r>
              <w:rPr>
                <w:rFonts w:ascii="Arial" w:cs="Arial" w:eastAsia="Arial" w:hAnsi="Arial"/>
                <w:sz w:val="18"/>
                <w:szCs w:val="18"/>
                <w:color w:val="auto"/>
                <w:w w:val="97"/>
              </w:rPr>
              <w:t>(0.1)</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 tax effect on other comprehensive earnings (loss)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26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560" w:type="dxa"/>
            <w:vAlign w:val="bottom"/>
            <w:gridSpan w:val="2"/>
          </w:tcPr>
          <w:p>
            <w:pPr>
              <w:jc w:val="center"/>
              <w:ind w:left="1070"/>
              <w:spacing w:after="0"/>
              <w:rPr>
                <w:sz w:val="20"/>
                <w:szCs w:val="20"/>
                <w:color w:val="auto"/>
              </w:rPr>
            </w:pPr>
            <w:r>
              <w:rPr>
                <w:rFonts w:ascii="Arial" w:cs="Arial" w:eastAsia="Arial" w:hAnsi="Arial"/>
                <w:sz w:val="18"/>
                <w:szCs w:val="18"/>
                <w:color w:val="auto"/>
                <w:w w:val="97"/>
              </w:rPr>
              <w:t>(0.5)</w:t>
            </w:r>
          </w:p>
        </w:tc>
      </w:tr>
      <w:tr>
        <w:trPr>
          <w:trHeight w:val="20"/>
        </w:trPr>
        <w:tc>
          <w:tcPr>
            <w:tcW w:w="4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973"/>
        </w:trPr>
        <w:tc>
          <w:tcPr>
            <w:tcW w:w="48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Changes in the components of accumulated other comprehensive earnings (loss), net of tax for the six months ended July 2, 2023 and June 26, 2022 are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Holding</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(Losses) on</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(Losses) on</w:t>
            </w:r>
          </w:p>
        </w:tc>
        <w:tc>
          <w:tcPr>
            <w:tcW w:w="12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Available-</w:t>
            </w:r>
          </w:p>
        </w:tc>
        <w:tc>
          <w:tcPr>
            <w:tcW w:w="12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6"/>
              <w:spacing w:after="0" w:line="139" w:lineRule="exact"/>
              <w:rPr>
                <w:sz w:val="20"/>
                <w:szCs w:val="20"/>
                <w:color w:val="auto"/>
              </w:rPr>
            </w:pPr>
            <w:r>
              <w:rPr>
                <w:rFonts w:ascii="Arial" w:cs="Arial" w:eastAsia="Arial" w:hAnsi="Arial"/>
                <w:sz w:val="14"/>
                <w:szCs w:val="14"/>
                <w:b w:val="1"/>
                <w:bCs w:val="1"/>
                <w:color w:val="auto"/>
                <w:w w:val="93"/>
              </w:rPr>
              <w:t>Postretirement</w:t>
            </w:r>
          </w:p>
        </w:tc>
        <w:tc>
          <w:tcPr>
            <w:tcW w:w="140" w:type="dxa"/>
            <w:vAlign w:val="bottom"/>
          </w:tcPr>
          <w:p>
            <w:pPr>
              <w:spacing w:after="0"/>
              <w:rPr>
                <w:sz w:val="12"/>
                <w:szCs w:val="12"/>
                <w:color w:val="auto"/>
              </w:rPr>
            </w:pPr>
          </w:p>
        </w:tc>
        <w:tc>
          <w:tcPr>
            <w:tcW w:w="12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for-Sale</w:t>
            </w:r>
          </w:p>
        </w:tc>
        <w:tc>
          <w:tcPr>
            <w:tcW w:w="12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Amounts</w:t>
            </w:r>
          </w:p>
        </w:tc>
        <w:tc>
          <w:tcPr>
            <w:tcW w:w="1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1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2023</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Balance at December 25,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(239.8)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Balance at July 2,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(190.6)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16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26,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0.2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26,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(Losses) on Derivative Instruments</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July 2, 2023, the Company had remaining net deferred losses on foreign currency forward contracts, net of tax, of $5.0 million in accumulated other comprehensive earnings (loss) ("AOCE"). These instruments hedge payments related to inventory purchased in the second quarter of 2023 or forecasted to be purchased during the remainder of 2023 and throughout 2024, intercompany expenses expected to be paid or received during 2023, television and movie production costs paid in 2023 or expected to be paid in 2024, and cash receipts for sales made at the end of the first quarter of 2023 or forecasted to be made in the remainder of 2023 and throughout 2024. These amounts will be reclassified into the consolidated statements of operations upon the sale of the related inventory, the recognition of the related production costs or the recognition of the related sales or intercompany expenses to be paid or received.</w:t>
      </w:r>
    </w:p>
    <w:p>
      <w:pPr>
        <w:spacing w:after="0" w:line="13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addition to foreign currency forward contracts, the Company entered into hedging contracts on future interest payments related to the 3.15% Notes that were repaid in full in the aggregate principal amount of $300.0 million in 2021 (See note 7), and the 5.10% Notes due 2044. At the date of debt issuance, these contracts were terminated and the fair value on the date of settlement was deferred in AOCE and is being amortized to interest expense over the life of the related notes using the effective interest rate method. At July 2, 2023, deferred losses, net of tax of $14.6 million related to these instruments remained in AOCE. For the quarters ended July 2, 2023 and June 26, 2022, previously deferred losses of $0.2 million related to these instruments were reclassified from AOCE to net earnings. For the six months ended July 2, 2023 and June 26, 2022, previously deferred losses of $0.3 million and $0.4 million were reclassified from AOCE to net earnings, respectively.</w:t>
      </w:r>
    </w:p>
    <w:p>
      <w:pPr>
        <w:spacing w:after="0" w:line="13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Of the net deferred losses included in AOCE at July 2, 2023, the Company expects net losses of approximately $4.8 million to be reclassified to the consolidated statements of operations within the next 12 months. However, the amount ultimately realized in earnings is dependent on the fair value of the hedging instruments on the settlement dates.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additional discussion on reclassifications from AOCE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5" w:name="page16"/>
    <w:bookmarkEnd w:id="1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accrued liabilities for the periods ended July 2, 2023, June 26, 2022 and December 25, 2022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July 2, 2023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June 26, 2022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December 25, 2022</w:t>
            </w:r>
          </w:p>
        </w:tc>
        <w:tc>
          <w:tcPr>
            <w:tcW w:w="280" w:type="dxa"/>
            <w:vAlign w:val="bottom"/>
          </w:tcPr>
          <w:p>
            <w:pPr>
              <w:spacing w:after="0"/>
              <w:rPr>
                <w:sz w:val="21"/>
                <w:szCs w:val="2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Participations and residuals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280" w:type="dxa"/>
            <w:vAlign w:val="bottom"/>
          </w:tcPr>
          <w:p>
            <w:pPr>
              <w:spacing w:after="0"/>
              <w:rPr>
                <w:sz w:val="19"/>
                <w:szCs w:val="19"/>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195.4</w:t>
            </w:r>
          </w:p>
        </w:tc>
        <w:tc>
          <w:tcPr>
            <w:tcW w:w="280" w:type="dxa"/>
            <w:vAlign w:val="bottom"/>
          </w:tcPr>
          <w:p>
            <w:pPr>
              <w:spacing w:after="0"/>
              <w:rPr>
                <w:sz w:val="20"/>
                <w:szCs w:val="20"/>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20"/>
                <w:szCs w:val="20"/>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Pr>
          <w:p>
            <w:pPr>
              <w:spacing w:after="0"/>
              <w:rPr>
                <w:sz w:val="19"/>
                <w:szCs w:val="19"/>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Cancellation charges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80" w:type="dxa"/>
            <w:vAlign w:val="bottom"/>
          </w:tcPr>
          <w:p>
            <w:pPr>
              <w:spacing w:after="0"/>
              <w:rPr>
                <w:sz w:val="21"/>
                <w:szCs w:val="2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Severance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9"/>
                <w:szCs w:val="19"/>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taxes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80" w:type="dxa"/>
            <w:vAlign w:val="bottom"/>
          </w:tcPr>
          <w:p>
            <w:pPr>
              <w:spacing w:after="0"/>
              <w:rPr>
                <w:sz w:val="19"/>
                <w:szCs w:val="19"/>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Accrued expenses - IIP &amp; IIC</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80.8</w:t>
            </w:r>
          </w:p>
        </w:tc>
        <w:tc>
          <w:tcPr>
            <w:tcW w:w="280" w:type="dxa"/>
            <w:vAlign w:val="bottom"/>
          </w:tcPr>
          <w:p>
            <w:pPr>
              <w:spacing w:after="0"/>
              <w:rPr>
                <w:sz w:val="20"/>
                <w:szCs w:val="20"/>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vendor accruals</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80" w:type="dxa"/>
            <w:vAlign w:val="bottom"/>
          </w:tcPr>
          <w:p>
            <w:pPr>
              <w:spacing w:after="0"/>
              <w:rPr>
                <w:sz w:val="20"/>
                <w:szCs w:val="20"/>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19"/>
                <w:szCs w:val="19"/>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 taxes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21"/>
                <w:szCs w:val="2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Lease liability - current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39.6</w:t>
            </w:r>
          </w:p>
        </w:tc>
        <w:tc>
          <w:tcPr>
            <w:tcW w:w="280" w:type="dxa"/>
            <w:vAlign w:val="bottom"/>
          </w:tcPr>
          <w:p>
            <w:pPr>
              <w:spacing w:after="0"/>
              <w:rPr>
                <w:sz w:val="19"/>
                <w:szCs w:val="19"/>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9"/>
                <w:szCs w:val="19"/>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Payroll and management incentives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20"/>
                <w:szCs w:val="20"/>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20"/>
                <w:szCs w:val="20"/>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280" w:type="dxa"/>
            <w:vAlign w:val="bottom"/>
          </w:tcPr>
          <w:p>
            <w:pPr>
              <w:spacing w:after="0"/>
              <w:rPr>
                <w:sz w:val="19"/>
                <w:szCs w:val="19"/>
                <w:color w:val="auto"/>
              </w:rPr>
            </w:pPr>
          </w:p>
        </w:tc>
      </w:tr>
      <w:tr>
        <w:trPr>
          <w:trHeight w:val="257"/>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1,506.8</w:t>
            </w:r>
          </w:p>
        </w:tc>
        <w:tc>
          <w:tcPr>
            <w:tcW w:w="280" w:type="dxa"/>
            <w:vAlign w:val="bottom"/>
          </w:tcPr>
          <w:p>
            <w:pPr>
              <w:spacing w:after="0"/>
              <w:rPr>
                <w:sz w:val="22"/>
                <w:szCs w:val="22"/>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183"/>
        </w:trPr>
        <w:tc>
          <w:tcPr>
            <w:tcW w:w="5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w:t>
      </w:r>
    </w:p>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Company's financial instruments include cash and cash equivalents, accounts receivable, short-term borrowings, accounts payable and certain accrued liabilities. At July 2, 2023, June 26, 2022 and December 25, 2022, the carrying cost of these instruments approximated their fair value. The Company's financial instruments at July 2, 2023, June 26, 2022 and December 25, 2022 also include certain assets and liabilities measured at fair value (see notes 10 and 11) as well as long-term borrowings. The carrying costs, which are equal to the outstanding principal amounts, and fair values of the Company's long-term borrowings as of July 2, 2023, June 26, 2022 and December 25, 2022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0"/>
              </w:rPr>
              <w:t>July 2, 2023</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June 26, 2022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December 25, 2022</w:t>
            </w:r>
          </w:p>
        </w:tc>
      </w:tr>
      <w:tr>
        <w:trPr>
          <w:trHeight w:val="178"/>
        </w:trPr>
        <w:tc>
          <w:tcPr>
            <w:tcW w:w="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3"/>
          </w:tcPr>
          <w:p>
            <w:pPr>
              <w:jc w:val="center"/>
              <w:ind w:right="720"/>
              <w:spacing w:after="0" w:line="177" w:lineRule="exact"/>
              <w:rPr>
                <w:sz w:val="20"/>
                <w:szCs w:val="20"/>
                <w:color w:val="auto"/>
              </w:rPr>
            </w:pPr>
            <w:r>
              <w:rPr>
                <w:rFonts w:ascii="Arial" w:cs="Arial" w:eastAsia="Arial" w:hAnsi="Arial"/>
                <w:sz w:val="18"/>
                <w:szCs w:val="18"/>
                <w:b w:val="1"/>
                <w:bCs w:val="1"/>
                <w:color w:val="auto"/>
                <w:w w:val="97"/>
              </w:rPr>
              <w:t>Carrying</w:t>
            </w:r>
          </w:p>
        </w:tc>
        <w:tc>
          <w:tcPr>
            <w:tcW w:w="880" w:type="dxa"/>
            <w:vAlign w:val="bottom"/>
          </w:tcPr>
          <w:p>
            <w:pPr>
              <w:jc w:val="right"/>
              <w:ind w:right="390"/>
              <w:spacing w:after="0" w:line="177"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5"/>
                <w:szCs w:val="15"/>
                <w:color w:val="auto"/>
              </w:rPr>
            </w:pPr>
          </w:p>
        </w:tc>
        <w:tc>
          <w:tcPr>
            <w:tcW w:w="1300" w:type="dxa"/>
            <w:vAlign w:val="bottom"/>
          </w:tcPr>
          <w:p>
            <w:pPr>
              <w:jc w:val="right"/>
              <w:ind w:right="390"/>
              <w:spacing w:after="0" w:line="177"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10"/>
              <w:spacing w:after="0" w:line="177"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5"/>
                <w:szCs w:val="15"/>
                <w:color w:val="auto"/>
              </w:rPr>
            </w:pPr>
          </w:p>
        </w:tc>
        <w:tc>
          <w:tcPr>
            <w:tcW w:w="1300" w:type="dxa"/>
            <w:vAlign w:val="bottom"/>
          </w:tcPr>
          <w:p>
            <w:pPr>
              <w:jc w:val="right"/>
              <w:ind w:right="390"/>
              <w:spacing w:after="0" w:line="177" w:lineRule="exact"/>
              <w:rPr>
                <w:sz w:val="20"/>
                <w:szCs w:val="20"/>
                <w:color w:val="auto"/>
              </w:rPr>
            </w:pPr>
            <w:r>
              <w:rPr>
                <w:rFonts w:ascii="Arial" w:cs="Arial" w:eastAsia="Arial" w:hAnsi="Arial"/>
                <w:sz w:val="18"/>
                <w:szCs w:val="18"/>
                <w:b w:val="1"/>
                <w:bCs w:val="1"/>
                <w:color w:val="auto"/>
              </w:rPr>
              <w:t>Fair</w:t>
            </w:r>
          </w:p>
        </w:tc>
      </w:tr>
      <w:tr>
        <w:trPr>
          <w:trHeight w:val="234"/>
        </w:trPr>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9"/>
              </w:rPr>
              <w:t>Cost</w:t>
            </w: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23"/>
        </w:trPr>
        <w:tc>
          <w:tcPr>
            <w:tcW w:w="520" w:type="dxa"/>
            <w:vAlign w:val="bottom"/>
          </w:tcPr>
          <w:p>
            <w:pPr>
              <w:ind w:left="20"/>
              <w:spacing w:after="0"/>
              <w:rPr>
                <w:sz w:val="20"/>
                <w:szCs w:val="20"/>
                <w:color w:val="auto"/>
              </w:rPr>
            </w:pPr>
            <w:r>
              <w:rPr>
                <w:rFonts w:ascii="Arial" w:cs="Arial" w:eastAsia="Arial" w:hAnsi="Arial"/>
                <w:sz w:val="18"/>
                <w:szCs w:val="18"/>
                <w:color w:val="auto"/>
                <w:w w:val="93"/>
              </w:rPr>
              <w:t>3.90%</w:t>
            </w:r>
          </w:p>
        </w:tc>
        <w:tc>
          <w:tcPr>
            <w:tcW w:w="2300" w:type="dxa"/>
            <w:vAlign w:val="bottom"/>
          </w:tcPr>
          <w:p>
            <w:pPr>
              <w:ind w:left="20"/>
              <w:spacing w:after="0"/>
              <w:rPr>
                <w:sz w:val="20"/>
                <w:szCs w:val="20"/>
                <w:color w:val="auto"/>
              </w:rPr>
            </w:pPr>
            <w:r>
              <w:rPr>
                <w:rFonts w:ascii="Arial" w:cs="Arial" w:eastAsia="Arial" w:hAnsi="Arial"/>
                <w:sz w:val="18"/>
                <w:szCs w:val="18"/>
                <w:color w:val="auto"/>
              </w:rPr>
              <w:t>Notes Due 2029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808.2</w:t>
            </w:r>
          </w:p>
        </w:tc>
      </w:tr>
      <w:tr>
        <w:trPr>
          <w:trHeight w:val="243"/>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3.55%</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635.3</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3.00%</w:t>
            </w:r>
          </w:p>
        </w:tc>
        <w:tc>
          <w:tcPr>
            <w:tcW w:w="230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487.4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482.2</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6.35%</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498.4</w:t>
            </w:r>
          </w:p>
        </w:tc>
      </w:tr>
      <w:tr>
        <w:trPr>
          <w:trHeight w:val="237"/>
        </w:trPr>
        <w:tc>
          <w:tcPr>
            <w:tcW w:w="520" w:type="dxa"/>
            <w:vAlign w:val="bottom"/>
          </w:tcPr>
          <w:p>
            <w:pPr>
              <w:ind w:left="20"/>
              <w:spacing w:after="0"/>
              <w:rPr>
                <w:sz w:val="20"/>
                <w:szCs w:val="20"/>
                <w:color w:val="auto"/>
              </w:rPr>
            </w:pPr>
            <w:r>
              <w:rPr>
                <w:rFonts w:ascii="Arial" w:cs="Arial" w:eastAsia="Arial" w:hAnsi="Arial"/>
                <w:sz w:val="18"/>
                <w:szCs w:val="18"/>
                <w:color w:val="auto"/>
                <w:w w:val="93"/>
              </w:rPr>
              <w:t>3.50%</w:t>
            </w:r>
          </w:p>
        </w:tc>
        <w:tc>
          <w:tcPr>
            <w:tcW w:w="230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468.7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465.8</w:t>
            </w:r>
          </w:p>
        </w:tc>
      </w:tr>
      <w:tr>
        <w:trPr>
          <w:trHeight w:val="236"/>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5.10%</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2044</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261.1</w:t>
            </w: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6.60%</w:t>
            </w:r>
          </w:p>
        </w:tc>
        <w:tc>
          <w:tcPr>
            <w:tcW w:w="2300" w:type="dxa"/>
            <w:vAlign w:val="bottom"/>
          </w:tcPr>
          <w:p>
            <w:pPr>
              <w:ind w:left="20"/>
              <w:spacing w:after="0"/>
              <w:rPr>
                <w:sz w:val="20"/>
                <w:szCs w:val="20"/>
                <w:color w:val="auto"/>
              </w:rPr>
            </w:pPr>
            <w:r>
              <w:rPr>
                <w:rFonts w:ascii="Arial" w:cs="Arial" w:eastAsia="Arial" w:hAnsi="Arial"/>
                <w:sz w:val="18"/>
                <w:szCs w:val="18"/>
                <w:color w:val="auto"/>
              </w:rPr>
              <w:t>Debentures Due 2028</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112.1</w:t>
            </w:r>
          </w:p>
        </w:tc>
      </w:tr>
      <w:tr>
        <w:trPr>
          <w:trHeight w:val="188"/>
        </w:trPr>
        <w:tc>
          <w:tcPr>
            <w:tcW w:w="2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Variable % Notes Due December 30,</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Production Financing Facilities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37"/>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3,766.5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3,626.3</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Less: Deferred debt expenses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3,668.5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3,556.6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3,739.0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3,766.5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3,711.2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3,626.3</w:t>
            </w:r>
          </w:p>
        </w:tc>
      </w:tr>
      <w:tr>
        <w:trPr>
          <w:trHeight w:val="20"/>
        </w:trPr>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In November 2019, in conjunction with the Company's acquisition of eOne, the Company issued an aggregate of $2.4 billion of senior unsecured debt securities (the "Notes") consisting of the following tranches: $300.0 million of notes due 2022 (the "2022 Notes") that bear interest at a fixed rate</w:t>
      </w:r>
    </w:p>
    <w:p>
      <w:pPr>
        <w:ind w:right="180"/>
        <w:spacing w:after="0" w:line="273" w:lineRule="auto"/>
        <w:rPr>
          <w:sz w:val="20"/>
          <w:szCs w:val="20"/>
          <w:color w:val="auto"/>
        </w:rPr>
      </w:pPr>
      <w:r>
        <w:rPr>
          <w:rFonts w:ascii="Arial" w:cs="Arial" w:eastAsia="Arial" w:hAnsi="Arial"/>
          <w:sz w:val="17"/>
          <w:szCs w:val="17"/>
          <w:color w:val="auto"/>
        </w:rPr>
        <w:t>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outstanding, which range from five years to ten years from the date of issuance.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Notes bear interest at the stated rates but may be subject to upward adjustment if the credit rating of the Company is reduced by Moody's or Standard</w:t>
      </w:r>
    </w:p>
    <w:p>
      <w:pPr>
        <w:spacing w:after="0" w:line="46" w:lineRule="exact"/>
        <w:rPr>
          <w:sz w:val="20"/>
          <w:szCs w:val="20"/>
          <w:color w:val="auto"/>
        </w:rPr>
      </w:pPr>
    </w:p>
    <w:p>
      <w:pPr>
        <w:ind w:right="60" w:firstLine="8"/>
        <w:spacing w:after="0" w:line="290" w:lineRule="auto"/>
        <w:tabs>
          <w:tab w:leader="none" w:pos="1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25 basis points (in the case of the 2024 Notes); (2) 30 basis points (in the case of the 2026 Notes); and (3)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17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The full amount of the Term Loan Facilities was drawn down on December 30, 2019, the closing date of the eOne Acquisition. As of September 25, 2022, the Company has fully repaid the Three-Year Tranche $400.0 million principal term loan, and of the Five-Year Tranche $600.0 million principal balance, the Company has repaid a total of</w:t>
      </w:r>
    </w:p>
    <w:p>
      <w:pPr>
        <w:spacing w:after="0" w:line="4"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$335.0 million in the following increments: $22.5 million in 2020; $180.0 million in 2021; $87.5 million in 2022; and $45.0 million of principal amortization payments in the first six months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7" w:name="page18"/>
    <w:bookmarkEnd w:id="1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Loans under the remaining Five-Year Tranche bear interest at the Company’s option, at either the adjusted Term Secured Overnight Financing Rate ("SOFR"), plus an applicable margin, or the Base Rate, plus a per annum applicable rate that fluctuates between 100.0 basis points and 187.5 basis points, in the case of loans priced at the SOFR,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by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As of July 2, 2023, the Company was in compliance with the financial covenants contained in the Term Loan Agreement.</w:t>
      </w:r>
    </w:p>
    <w:p>
      <w:pPr>
        <w:spacing w:after="0" w:line="15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Current portion of long-term debt at July 2, 2023 of $69.4 million, as shown on the consolidated balance sheet, represents the current portion of required quarterly principal amortization payments for the Five-Year Tranche of the Term Loan Facilities and production financing facilities. All of the Company’s other long-term borrowings have contractual maturities that occur subsequent to 2023 with the exception of certain of the Company's production financing facilities and annual principal payments related to the Term Loan Facilities.</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values of the Company's long-term debt are considered Level 3 fair values (see note 10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8" w:name="page19"/>
    <w:bookmarkEnd w:id="1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Production Financing</w:t>
      </w:r>
    </w:p>
    <w:p>
      <w:pPr>
        <w:spacing w:after="0" w:line="11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212529"/>
        </w:rPr>
        <w:t>In addition to the Company's financial instruments, t</w:t>
      </w:r>
      <w:r>
        <w:rPr>
          <w:rFonts w:ascii="Arial" w:cs="Arial" w:eastAsia="Arial" w:hAnsi="Arial"/>
          <w:sz w:val="17"/>
          <w:szCs w:val="17"/>
          <w:color w:val="000000"/>
        </w:rPr>
        <w:t>he Company uses production financing facilities to fund its film and television productions which are</w:t>
      </w:r>
      <w:r>
        <w:rPr>
          <w:rFonts w:ascii="Arial" w:cs="Arial" w:eastAsia="Arial" w:hAnsi="Arial"/>
          <w:sz w:val="17"/>
          <w:szCs w:val="17"/>
          <w:color w:val="212529"/>
        </w:rPr>
        <w:t xml:space="preserve"> </w:t>
      </w:r>
      <w:r>
        <w:rPr>
          <w:rFonts w:ascii="Arial" w:cs="Arial" w:eastAsia="Arial" w:hAnsi="Arial"/>
          <w:sz w:val="17"/>
          <w:szCs w:val="17"/>
          <w:color w:val="000000"/>
        </w:rPr>
        <w:t>arranged on an individual production basis by either special purpose production subsidiaries, each secured by future revenues of such production subsidiaries, which are non-recourse to the Company's assets, or through a senior revolving credit facility dedicated to production financing obtained in November 2021.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Going forward, the Company expects to utilize the RPCF for the majority of its production financing needs.</w:t>
      </w:r>
    </w:p>
    <w:p>
      <w:pPr>
        <w:spacing w:after="0" w:line="7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Production financing facilities typically have maturities of less than two years, while the titles are in production, and are repaid once delivered and all credits, broadcaster pre-sales and international sales have been received. The production financing facilities as of July 2, 2023, June 26, 2022 and December 25, 2022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July 2, 2023</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June 26, 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December 25, 2022</w:t>
            </w:r>
          </w:p>
        </w:tc>
      </w:tr>
      <w:tr>
        <w:trPr>
          <w:trHeight w:val="216"/>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Production financing facilities included in the consolidated balance sheet as: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157.6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195.6</w:t>
            </w:r>
          </w:p>
        </w:tc>
      </w:tr>
    </w:tbl>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Interest is charged at bank prime rate plus a margin based on the risk of the respective production. The weighted average interest rate on all production financing as of July 2, 2023 was 6.8%.</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Canadian dollar and U.S. dollar production financing loans with various banks. The carrying amounts are denominated in the following currencies: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Canadian Dollars</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1"/>
              </w:rPr>
              <w:t>U.S. Dollars</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Total</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July 2,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r>
      <w:tr>
        <w:trPr>
          <w:trHeight w:val="432"/>
        </w:trPr>
        <w:tc>
          <w:tcPr>
            <w:tcW w:w="8120" w:type="dxa"/>
            <w:vAlign w:val="bottom"/>
            <w:gridSpan w:val="5"/>
          </w:tcPr>
          <w:p>
            <w:pPr>
              <w:spacing w:after="0"/>
              <w:rPr>
                <w:sz w:val="20"/>
                <w:szCs w:val="20"/>
                <w:color w:val="auto"/>
              </w:rPr>
            </w:pPr>
            <w:r>
              <w:rPr>
                <w:rFonts w:ascii="Arial" w:cs="Arial" w:eastAsia="Arial" w:hAnsi="Arial"/>
                <w:sz w:val="18"/>
                <w:szCs w:val="18"/>
                <w:color w:val="auto"/>
                <w:w w:val="91"/>
              </w:rPr>
              <w:t>The following table represents the movements in production financing loans during the first six months of 2023:</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97"/>
        </w:trPr>
        <w:tc>
          <w:tcPr>
            <w:tcW w:w="5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Production</w:t>
            </w:r>
          </w:p>
        </w:tc>
      </w:tr>
      <w:tr>
        <w:trPr>
          <w:trHeight w:val="229"/>
        </w:trPr>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Financing</w:t>
            </w:r>
          </w:p>
        </w:tc>
      </w:tr>
      <w:tr>
        <w:trPr>
          <w:trHeight w:val="23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25, 2022</w:t>
            </w: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Drawdowns</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r>
      <w:tr>
        <w:trPr>
          <w:trHeight w:val="243"/>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differences</w:t>
            </w:r>
          </w:p>
        </w:tc>
        <w:tc>
          <w:tcPr>
            <w:tcW w:w="14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2, 2023</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repay all of its currently outstanding production financing loans by the second quarter of 2024.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Investments in Productions and Investments in Acquired Content Rights</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 amount that appears not to be recoverable from future net revenues is expensed as part of program cost amortization during the period the loss becomes evident.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Company's unamortized investments in productions and investments in acquired content rights consisted of the following at July 2, 2023, June 26, 2022, and December 25,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July 2, 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June 26, 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25, 2022</w:t>
            </w:r>
          </w:p>
        </w:tc>
      </w:tr>
      <w:tr>
        <w:trPr>
          <w:trHeight w:val="203"/>
        </w:trPr>
        <w:tc>
          <w:tcPr>
            <w:tcW w:w="20" w:type="dxa"/>
            <w:vAlign w:val="bottom"/>
            <w:shd w:val="clear" w:color="auto" w:fill="CCEEFF"/>
          </w:tcPr>
          <w:p>
            <w:pPr>
              <w:spacing w:after="0"/>
              <w:rPr>
                <w:sz w:val="17"/>
                <w:szCs w:val="17"/>
                <w:color w:val="auto"/>
              </w:rPr>
            </w:pPr>
          </w:p>
        </w:tc>
        <w:tc>
          <w:tcPr>
            <w:tcW w:w="3800" w:type="dxa"/>
            <w:vAlign w:val="bottom"/>
            <w:gridSpan w:val="6"/>
            <w:shd w:val="clear" w:color="auto" w:fill="CCEEFF"/>
          </w:tcPr>
          <w:p>
            <w:pPr>
              <w:spacing w:after="0" w:line="169" w:lineRule="exact"/>
              <w:rPr>
                <w:sz w:val="20"/>
                <w:szCs w:val="20"/>
                <w:color w:val="auto"/>
              </w:rPr>
            </w:pPr>
            <w:r>
              <w:rPr>
                <w:rFonts w:ascii="Arial" w:cs="Arial" w:eastAsia="Arial" w:hAnsi="Arial"/>
                <w:sz w:val="18"/>
                <w:szCs w:val="18"/>
                <w:color w:val="auto"/>
              </w:rPr>
              <w:t>Investment in Films and Television Programs:</w:t>
            </w: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gridSpan w:val="4"/>
          </w:tcPr>
          <w:p>
            <w:pPr>
              <w:spacing w:after="0" w:line="189" w:lineRule="exact"/>
              <w:rPr>
                <w:sz w:val="20"/>
                <w:szCs w:val="20"/>
                <w:color w:val="auto"/>
              </w:rPr>
            </w:pPr>
            <w:r>
              <w:rPr>
                <w:rFonts w:ascii="Arial" w:cs="Arial" w:eastAsia="Arial" w:hAnsi="Arial"/>
                <w:sz w:val="18"/>
                <w:szCs w:val="18"/>
                <w:color w:val="auto"/>
              </w:rPr>
              <w:t>Individual Monetization</w:t>
            </w:r>
          </w:p>
        </w:tc>
        <w:tc>
          <w:tcPr>
            <w:tcW w:w="4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Released, net of amortization</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5"/>
          </w:tcPr>
          <w:p>
            <w:pPr>
              <w:spacing w:after="0"/>
              <w:rPr>
                <w:sz w:val="20"/>
                <w:szCs w:val="20"/>
                <w:color w:val="auto"/>
              </w:rPr>
            </w:pPr>
            <w:r>
              <w:rPr>
                <w:rFonts w:ascii="Arial" w:cs="Arial" w:eastAsia="Arial" w:hAnsi="Arial"/>
                <w:sz w:val="18"/>
                <w:szCs w:val="18"/>
                <w:color w:val="auto"/>
              </w:rPr>
              <w:t>Completed and not released</w:t>
            </w: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6"/>
        </w:trPr>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 production</w:t>
            </w: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gridSpan w:val="5"/>
          </w:tcPr>
          <w:p>
            <w:pPr>
              <w:spacing w:after="0"/>
              <w:rPr>
                <w:sz w:val="20"/>
                <w:szCs w:val="20"/>
                <w:color w:val="auto"/>
              </w:rPr>
            </w:pPr>
            <w:r>
              <w:rPr>
                <w:rFonts w:ascii="Arial" w:cs="Arial" w:eastAsia="Arial" w:hAnsi="Arial"/>
                <w:sz w:val="18"/>
                <w:szCs w:val="18"/>
                <w:color w:val="auto"/>
              </w:rPr>
              <w:t>Pre-production</w:t>
            </w:r>
          </w:p>
        </w:tc>
        <w:tc>
          <w:tcPr>
            <w:tcW w:w="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37"/>
        </w:trPr>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848.5</w:t>
            </w: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5"/>
          </w:tcPr>
          <w:p>
            <w:pPr>
              <w:spacing w:after="0" w:line="169" w:lineRule="exact"/>
              <w:rPr>
                <w:sz w:val="20"/>
                <w:szCs w:val="20"/>
                <w:color w:val="auto"/>
              </w:rPr>
            </w:pPr>
            <w:r>
              <w:rPr>
                <w:rFonts w:ascii="Arial" w:cs="Arial" w:eastAsia="Arial" w:hAnsi="Arial"/>
                <w:sz w:val="18"/>
                <w:szCs w:val="18"/>
                <w:color w:val="auto"/>
              </w:rPr>
              <w:t>Film/TV Group Monetization</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Released, net of amortization</w:t>
            </w: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In production</w:t>
            </w:r>
          </w:p>
        </w:tc>
        <w:tc>
          <w:tcPr>
            <w:tcW w:w="6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183"/>
        </w:trPr>
        <w:tc>
          <w:tcPr>
            <w:tcW w:w="20" w:type="dxa"/>
            <w:vAlign w:val="bottom"/>
          </w:tcPr>
          <w:p>
            <w:pPr>
              <w:spacing w:after="0"/>
              <w:rPr>
                <w:sz w:val="15"/>
                <w:szCs w:val="15"/>
                <w:color w:val="auto"/>
              </w:rPr>
            </w:pPr>
          </w:p>
        </w:tc>
        <w:tc>
          <w:tcPr>
            <w:tcW w:w="3800" w:type="dxa"/>
            <w:vAlign w:val="bottom"/>
            <w:gridSpan w:val="6"/>
          </w:tcPr>
          <w:p>
            <w:pPr>
              <w:spacing w:after="0" w:line="182" w:lineRule="exact"/>
              <w:rPr>
                <w:sz w:val="20"/>
                <w:szCs w:val="20"/>
                <w:color w:val="auto"/>
              </w:rPr>
            </w:pPr>
            <w:r>
              <w:rPr>
                <w:rFonts w:ascii="Arial" w:cs="Arial" w:eastAsia="Arial" w:hAnsi="Arial"/>
                <w:sz w:val="18"/>
                <w:szCs w:val="18"/>
                <w:color w:val="auto"/>
              </w:rPr>
              <w:t>Investment in Other Programming</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Released, net of amortization</w:t>
            </w: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5"/>
          </w:tcPr>
          <w:p>
            <w:pPr>
              <w:spacing w:after="0"/>
              <w:rPr>
                <w:sz w:val="20"/>
                <w:szCs w:val="20"/>
                <w:color w:val="auto"/>
              </w:rPr>
            </w:pPr>
            <w:r>
              <w:rPr>
                <w:rFonts w:ascii="Arial" w:cs="Arial" w:eastAsia="Arial" w:hAnsi="Arial"/>
                <w:sz w:val="18"/>
                <w:szCs w:val="18"/>
                <w:color w:val="auto"/>
              </w:rPr>
              <w:t>Completed and not released</w:t>
            </w: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 production</w:t>
            </w: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gridSpan w:val="5"/>
          </w:tcPr>
          <w:p>
            <w:pPr>
              <w:spacing w:after="0"/>
              <w:rPr>
                <w:sz w:val="20"/>
                <w:szCs w:val="20"/>
                <w:color w:val="auto"/>
              </w:rPr>
            </w:pPr>
            <w:r>
              <w:rPr>
                <w:rFonts w:ascii="Arial" w:cs="Arial" w:eastAsia="Arial" w:hAnsi="Arial"/>
                <w:sz w:val="18"/>
                <w:szCs w:val="18"/>
                <w:color w:val="auto"/>
              </w:rPr>
              <w:t>Pre-production</w:t>
            </w:r>
          </w:p>
        </w:tc>
        <w:tc>
          <w:tcPr>
            <w:tcW w:w="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56"/>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49"/>
        </w:trPr>
        <w:tc>
          <w:tcPr>
            <w:tcW w:w="20" w:type="dxa"/>
            <w:vAlign w:val="bottom"/>
            <w:shd w:val="clear" w:color="auto" w:fill="CCEEFF"/>
          </w:tcPr>
          <w:p>
            <w:pPr>
              <w:spacing w:after="0"/>
              <w:rPr>
                <w:sz w:val="21"/>
                <w:szCs w:val="21"/>
                <w:color w:val="auto"/>
              </w:rPr>
            </w:pPr>
          </w:p>
        </w:tc>
        <w:tc>
          <w:tcPr>
            <w:tcW w:w="38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 Program Investments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recorded $256.9 million of program cost amortization related to released programming in the six months ended July 2, 2023, consisting of the following:</w:t>
      </w:r>
    </w:p>
    <w:p>
      <w:pPr>
        <w:spacing w:after="0" w:line="54"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Investment in</w:t>
            </w:r>
          </w:p>
        </w:tc>
        <w:tc>
          <w:tcPr>
            <w:tcW w:w="26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Investment in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Production</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Content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3"/>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Program cost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r>
    </w:tbl>
    <w:p>
      <w:pPr>
        <w:spacing w:after="0" w:line="200" w:lineRule="exact"/>
        <w:rPr>
          <w:sz w:val="20"/>
          <w:szCs w:val="20"/>
          <w:color w:val="auto"/>
        </w:rPr>
      </w:pPr>
    </w:p>
    <w:p>
      <w:pPr>
        <w:spacing w:after="0" w:line="2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*During the second quarter of 2023, the Company recorded film production cost impairment charges of $25.0 million associated with </w:t>
      </w:r>
      <w:r>
        <w:rPr>
          <w:rFonts w:ascii="Arial" w:cs="Arial" w:eastAsia="Arial" w:hAnsi="Arial"/>
          <w:sz w:val="18"/>
          <w:szCs w:val="18"/>
          <w:i w:val="1"/>
          <w:iCs w:val="1"/>
          <w:color w:val="auto"/>
        </w:rPr>
        <w:t>Dungeons &amp;</w:t>
      </w:r>
      <w:r>
        <w:rPr>
          <w:rFonts w:ascii="Arial" w:cs="Arial" w:eastAsia="Arial" w:hAnsi="Arial"/>
          <w:sz w:val="18"/>
          <w:szCs w:val="18"/>
          <w:color w:val="auto"/>
        </w:rPr>
        <w:t xml:space="preserve"> </w:t>
      </w:r>
      <w:r>
        <w:rPr>
          <w:rFonts w:ascii="Arial" w:cs="Arial" w:eastAsia="Arial" w:hAnsi="Arial"/>
          <w:sz w:val="18"/>
          <w:szCs w:val="18"/>
          <w:i w:val="1"/>
          <w:iCs w:val="1"/>
          <w:color w:val="auto"/>
        </w:rPr>
        <w:t>Dragons: Honor Among Thieves</w:t>
      </w:r>
      <w:r>
        <w:rPr>
          <w:rFonts w:ascii="Arial" w:cs="Arial" w:eastAsia="Arial" w:hAnsi="Arial"/>
          <w:sz w:val="18"/>
          <w:szCs w:val="18"/>
          <w:color w:val="auto"/>
        </w:rPr>
        <w:t>, within Program Cost Amortization in the Consolidated Statement of Operations, within the Entertainment Segment.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film impairment charges reflected the excess of the unamortized costs of the impaired film over its estimated fair value using estimated discounted future cash flows.</w:t>
      </w:r>
    </w:p>
    <w:p>
      <w:pPr>
        <w:spacing w:after="0" w:line="156"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8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effective tax rate ("ETR") from continuing operations was (3.1)% for the six months ended July 2, 2023 and 21.8% for the six months ended June 26,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caused the year-to-date ETR to be significantly different from the prior year ETR:</w:t>
      </w:r>
    </w:p>
    <w:p>
      <w:pPr>
        <w:ind w:left="660" w:hanging="328"/>
        <w:spacing w:after="0" w:line="235" w:lineRule="auto"/>
        <w:tabs>
          <w:tab w:leader="none" w:pos="660" w:val="left"/>
        </w:tabs>
        <w:numPr>
          <w:ilvl w:val="0"/>
          <w:numId w:val="14"/>
        </w:numPr>
        <w:rPr>
          <w:rFonts w:ascii="Arial" w:cs="Arial" w:eastAsia="Arial" w:hAnsi="Arial"/>
          <w:sz w:val="19"/>
          <w:szCs w:val="19"/>
          <w:color w:val="auto"/>
        </w:rPr>
      </w:pPr>
      <w:r>
        <w:rPr>
          <w:rFonts w:ascii="Arial" w:cs="Arial" w:eastAsia="Arial" w:hAnsi="Arial"/>
          <w:sz w:val="17"/>
          <w:szCs w:val="17"/>
          <w:color w:val="auto"/>
        </w:rPr>
        <w:t>during the six months ended July 2, 2023, the Company recorded an impairment of goodwill related to the Film and TV reporting unit of</w:t>
      </w:r>
    </w:p>
    <w:p>
      <w:pPr>
        <w:jc w:val="both"/>
        <w:ind w:left="660" w:right="240"/>
        <w:spacing w:after="0" w:line="234" w:lineRule="auto"/>
        <w:rPr>
          <w:rFonts w:ascii="Arial" w:cs="Arial" w:eastAsia="Arial" w:hAnsi="Arial"/>
          <w:sz w:val="19"/>
          <w:szCs w:val="19"/>
          <w:color w:val="auto"/>
        </w:rPr>
      </w:pPr>
      <w:r>
        <w:rPr>
          <w:rFonts w:ascii="Arial" w:cs="Arial" w:eastAsia="Arial" w:hAnsi="Arial"/>
          <w:sz w:val="18"/>
          <w:szCs w:val="18"/>
          <w:color w:val="auto"/>
        </w:rPr>
        <w:t>$231.2 million with no tax benefit. The Company also recorded a net discrete tax benefit of $8.9 million, exclusive of the goodwill impairment, primarily associated with a tax benefit on the impairment of trade names in the Entertainment segment, offset by stock-based compensation and net activity related to uncertain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positions, primarily interest accruals, combined with the phasing of the Company's income earned throughout 2023, and;</w:t>
      </w:r>
    </w:p>
    <w:p>
      <w:pPr>
        <w:spacing w:after="0" w:line="185" w:lineRule="exact"/>
        <w:rPr>
          <w:sz w:val="20"/>
          <w:szCs w:val="20"/>
          <w:color w:val="auto"/>
        </w:rPr>
      </w:pPr>
    </w:p>
    <w:p>
      <w:pPr>
        <w:ind w:left="660" w:right="1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six months ended June 26, 2022, the Company recorded a net discrete tax benefit of $3.2 million, primarily associated with the release of certain valuation allowances during the first quarter.</w:t>
      </w:r>
    </w:p>
    <w:p>
      <w:pPr>
        <w:spacing w:after="0" w:line="11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is no longer subject to U.S. federal income tax examinations for years before 2012. With few exceptions, the Company is no longer subject to U.S. state or local and non-U.S. income tax examinations by tax authorities in its major jurisdictions for years before 2016. The Company is currently under income tax examination by the Internal Revenue Service and in several U.S. state and local and non-U.S. jurisdictions.</w:t>
      </w:r>
    </w:p>
    <w:p>
      <w:pPr>
        <w:spacing w:after="0" w:line="121"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 There have been transfers between levels within the fair value hierarchy.</w:t>
      </w:r>
    </w:p>
    <w:p>
      <w:pPr>
        <w:spacing w:after="0" w:line="13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1" w:name="page22"/>
    <w:bookmarkEnd w:id="2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July 2, 2023, June 26, 2022 and December 25, 2022, the Company had the following assets and liabilities measured at fair value in its consolidated balance sheets (excluding assets for which the fair value is measured using net asset value per share):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8"/>
                <w:szCs w:val="18"/>
                <w:b w:val="1"/>
                <w:bCs w:val="1"/>
                <w:color w:val="auto"/>
                <w:w w:val="94"/>
              </w:rPr>
              <w:t>Fair Value Measurements Using:</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2"/>
              </w:rPr>
              <w:t>Quoted</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Prices in</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Active</w:t>
            </w:r>
          </w:p>
        </w:tc>
        <w:tc>
          <w:tcPr>
            <w:tcW w:w="1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Significant</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Markets</w:t>
            </w: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for</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Identical</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Observable</w:t>
            </w:r>
          </w:p>
        </w:tc>
        <w:tc>
          <w:tcPr>
            <w:tcW w:w="12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3"/>
              </w:rPr>
              <w:t>Assets</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Inputs</w:t>
            </w:r>
          </w:p>
        </w:tc>
        <w:tc>
          <w:tcPr>
            <w:tcW w:w="12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Value</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580" w:type="dxa"/>
            <w:vAlign w:val="bottom"/>
            <w:gridSpan w:val="4"/>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July 2, 2023</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4660" w:type="dxa"/>
            <w:vAlign w:val="bottom"/>
            <w:tcBorders>
              <w:top w:val="single" w:sz="8" w:color="CCEEFF"/>
            </w:tcBorders>
            <w:gridSpan w:val="3"/>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Derivatives</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5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46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June 26, 2022</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21.5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580" w:type="dxa"/>
            <w:vAlign w:val="bottom"/>
            <w:gridSpan w:val="4"/>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Option agreement</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25, 2022</w:t>
            </w:r>
          </w:p>
        </w:tc>
        <w:tc>
          <w:tcPr>
            <w:tcW w:w="4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Derivatives</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5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46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 include equity securities of one company quoted on an active public market.</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("Discovery"). The option agreement is included in other liabilities at July 2, 2023, June 26, 2022 and December 25, 2022, and is valued using an option pricing model based on the fair value of the related investment. Inputs used in the option pricing model include the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There were no changes in these valuation techniques during the quarter ended July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2" w:name="page23"/>
    <w:bookmarkEnd w:id="2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financial instruments which use significant unobservable inputs (Level 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37"/>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Balance at end of second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
        </w:trPr>
        <w:tc>
          <w:tcPr>
            <w:tcW w:w="8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Hasbro uses foreign currency forward contracts and foreign exchange option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7)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certain production financing loans and other cross-border transactions, primarily for the remainder of 2023, and to a lesser extent, into 2024.</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July 2, 2023, June 26, 2022 and December 25, 2022, the notional amounts and fair values of the Company's foreign currency forward contracts designated as cash flow hedging instruments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ind w:left="680"/>
              <w:spacing w:after="0"/>
              <w:rPr>
                <w:sz w:val="20"/>
                <w:szCs w:val="20"/>
                <w:color w:val="auto"/>
              </w:rPr>
            </w:pPr>
            <w:r>
              <w:rPr>
                <w:rFonts w:ascii="Arial" w:cs="Arial" w:eastAsia="Arial" w:hAnsi="Arial"/>
                <w:sz w:val="18"/>
                <w:szCs w:val="18"/>
                <w:b w:val="1"/>
                <w:bCs w:val="1"/>
                <w:color w:val="auto"/>
                <w:w w:val="90"/>
              </w:rPr>
              <w:t>July 2, 2023</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3"/>
          </w:tcPr>
          <w:p>
            <w:pPr>
              <w:ind w:left="620"/>
              <w:spacing w:after="0"/>
              <w:rPr>
                <w:sz w:val="20"/>
                <w:szCs w:val="20"/>
                <w:color w:val="auto"/>
              </w:rPr>
            </w:pPr>
            <w:r>
              <w:rPr>
                <w:rFonts w:ascii="Arial" w:cs="Arial" w:eastAsia="Arial" w:hAnsi="Arial"/>
                <w:sz w:val="18"/>
                <w:szCs w:val="18"/>
                <w:b w:val="1"/>
                <w:bCs w:val="1"/>
                <w:color w:val="auto"/>
              </w:rPr>
              <w:t>June 26, 2022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ind w:left="400"/>
              <w:spacing w:after="0"/>
              <w:rPr>
                <w:sz w:val="20"/>
                <w:szCs w:val="20"/>
                <w:color w:val="auto"/>
              </w:rPr>
            </w:pPr>
            <w:r>
              <w:rPr>
                <w:rFonts w:ascii="Arial" w:cs="Arial" w:eastAsia="Arial" w:hAnsi="Arial"/>
                <w:sz w:val="18"/>
                <w:szCs w:val="18"/>
                <w:b w:val="1"/>
                <w:bCs w:val="1"/>
                <w:color w:val="auto"/>
              </w:rPr>
              <w:t>December 25, 2022</w:t>
            </w:r>
          </w:p>
        </w:tc>
      </w:tr>
      <w:tr>
        <w:trPr>
          <w:trHeight w:val="169"/>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ind w:left="120"/>
              <w:spacing w:after="0" w:line="169" w:lineRule="exact"/>
              <w:rPr>
                <w:sz w:val="20"/>
                <w:szCs w:val="20"/>
                <w:color w:val="auto"/>
              </w:rPr>
            </w:pPr>
            <w:r>
              <w:rPr>
                <w:rFonts w:ascii="Arial" w:cs="Arial" w:eastAsia="Arial" w:hAnsi="Arial"/>
                <w:sz w:val="18"/>
                <w:szCs w:val="18"/>
                <w:b w:val="1"/>
                <w:bCs w:val="1"/>
                <w:color w:val="auto"/>
              </w:rPr>
              <w:t>Notional</w:t>
            </w:r>
          </w:p>
        </w:tc>
        <w:tc>
          <w:tcPr>
            <w:tcW w:w="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rPr>
              <w:t>Fair</w:t>
            </w:r>
          </w:p>
        </w:tc>
        <w:tc>
          <w:tcPr>
            <w:tcW w:w="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8"/>
                <w:szCs w:val="18"/>
                <w:b w:val="1"/>
                <w:bCs w:val="1"/>
                <w:color w:val="auto"/>
              </w:rPr>
              <w:t>Notional</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left="330"/>
              <w:spacing w:after="0" w:line="169" w:lineRule="exact"/>
              <w:rPr>
                <w:sz w:val="20"/>
                <w:szCs w:val="20"/>
                <w:color w:val="auto"/>
              </w:rPr>
            </w:pPr>
            <w:r>
              <w:rPr>
                <w:rFonts w:ascii="Arial" w:cs="Arial" w:eastAsia="Arial" w:hAnsi="Arial"/>
                <w:sz w:val="18"/>
                <w:szCs w:val="18"/>
                <w:b w:val="1"/>
                <w:bCs w:val="1"/>
                <w:color w:val="auto"/>
                <w:w w:val="96"/>
              </w:rPr>
              <w:t>Fair</w:t>
            </w:r>
          </w:p>
        </w:tc>
        <w:tc>
          <w:tcPr>
            <w:tcW w:w="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Notional</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6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28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Hedged transaction</w:t>
            </w:r>
          </w:p>
        </w:tc>
        <w:tc>
          <w:tcPr>
            <w:tcW w:w="220" w:type="dxa"/>
            <w:vAlign w:val="bottom"/>
          </w:tcPr>
          <w:p>
            <w:pPr>
              <w:spacing w:after="0"/>
              <w:rPr>
                <w:sz w:val="17"/>
                <w:szCs w:val="17"/>
                <w:color w:val="auto"/>
              </w:rPr>
            </w:pPr>
          </w:p>
        </w:tc>
        <w:tc>
          <w:tcPr>
            <w:tcW w:w="1620" w:type="dxa"/>
            <w:vAlign w:val="bottom"/>
            <w:gridSpan w:val="3"/>
          </w:tcPr>
          <w:p>
            <w:pPr>
              <w:ind w:left="120"/>
              <w:spacing w:after="0" w:line="202" w:lineRule="exact"/>
              <w:rPr>
                <w:sz w:val="20"/>
                <w:szCs w:val="20"/>
                <w:color w:val="auto"/>
              </w:rPr>
            </w:pPr>
            <w:r>
              <w:rPr>
                <w:rFonts w:ascii="Arial" w:cs="Arial" w:eastAsia="Arial" w:hAnsi="Arial"/>
                <w:sz w:val="18"/>
                <w:szCs w:val="18"/>
                <w:b w:val="1"/>
                <w:bCs w:val="1"/>
                <w:color w:val="auto"/>
              </w:rPr>
              <w:t>Amount</w:t>
            </w:r>
          </w:p>
        </w:tc>
        <w:tc>
          <w:tcPr>
            <w:tcW w:w="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Value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7"/>
                <w:szCs w:val="17"/>
                <w:color w:val="auto"/>
              </w:rPr>
            </w:pPr>
          </w:p>
        </w:tc>
        <w:tc>
          <w:tcPr>
            <w:tcW w:w="900" w:type="dxa"/>
            <w:vAlign w:val="bottom"/>
          </w:tcPr>
          <w:p>
            <w:pPr>
              <w:jc w:val="center"/>
              <w:ind w:left="330"/>
              <w:spacing w:after="0" w:line="202" w:lineRule="exact"/>
              <w:rPr>
                <w:sz w:val="20"/>
                <w:szCs w:val="20"/>
                <w:color w:val="auto"/>
              </w:rPr>
            </w:pPr>
            <w:r>
              <w:rPr>
                <w:rFonts w:ascii="Arial" w:cs="Arial" w:eastAsia="Arial" w:hAnsi="Arial"/>
                <w:sz w:val="18"/>
                <w:szCs w:val="18"/>
                <w:b w:val="1"/>
                <w:bCs w:val="1"/>
                <w:color w:val="auto"/>
                <w:w w:val="91"/>
              </w:rPr>
              <w:t>Value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1"/>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purchases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financing and other</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7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July 2, 2023, June 26, 2022 and December 25, 2022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July 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25,</w:t>
            </w:r>
          </w:p>
        </w:tc>
      </w:tr>
      <w:tr>
        <w:trPr>
          <w:trHeight w:val="229"/>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220" w:type="dxa"/>
            <w:vAlign w:val="bottom"/>
            <w:tcBorders>
              <w:bottom w:val="single" w:sz="8" w:color="auto"/>
            </w:tcBorders>
            <w:gridSpan w:val="4"/>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6"/>
              </w:rPr>
              <w:t>Prepaid expenses and other current assets</w:t>
            </w:r>
          </w:p>
        </w:tc>
        <w:tc>
          <w:tcPr>
            <w:tcW w:w="3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Unrealized gains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20" w:type="dxa"/>
            <w:vAlign w:val="bottom"/>
            <w:shd w:val="clear" w:color="auto" w:fill="CCEEFF"/>
          </w:tcPr>
          <w:p>
            <w:pPr>
              <w:spacing w:after="0"/>
              <w:rPr>
                <w:sz w:val="21"/>
                <w:szCs w:val="21"/>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0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Net unrealized gains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4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Other assets</w:t>
            </w: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20" w:type="dxa"/>
            <w:vAlign w:val="bottom"/>
          </w:tcPr>
          <w:p>
            <w:pPr>
              <w:spacing w:after="0"/>
              <w:rPr>
                <w:sz w:val="19"/>
                <w:szCs w:val="19"/>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Unrealized losses</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23"/>
        </w:trPr>
        <w:tc>
          <w:tcPr>
            <w:tcW w:w="20" w:type="dxa"/>
            <w:vAlign w:val="bottom"/>
            <w:shd w:val="clear" w:color="auto" w:fill="CCEEFF"/>
          </w:tcPr>
          <w:p>
            <w:pPr>
              <w:spacing w:after="0"/>
              <w:rPr>
                <w:sz w:val="19"/>
                <w:szCs w:val="19"/>
                <w:color w:val="auto"/>
              </w:rPr>
            </w:pPr>
          </w:p>
        </w:tc>
        <w:tc>
          <w:tcPr>
            <w:tcW w:w="634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Accrued liabilities</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Unrealized gains</w:t>
            </w:r>
          </w:p>
        </w:tc>
        <w:tc>
          <w:tcPr>
            <w:tcW w:w="4940" w:type="dxa"/>
            <w:vAlign w:val="bottom"/>
            <w:tcBorders>
              <w:top w:val="single" w:sz="8" w:color="CCEEFF"/>
            </w:tcBorders>
            <w:gridSpan w:val="2"/>
          </w:tcPr>
          <w:p>
            <w:pPr>
              <w:spacing w:after="0"/>
              <w:rPr>
                <w:sz w:val="19"/>
                <w:szCs w:val="19"/>
                <w:color w:val="auto"/>
              </w:rPr>
            </w:pPr>
          </w:p>
        </w:tc>
        <w:tc>
          <w:tcPr>
            <w:tcW w:w="1080" w:type="dxa"/>
            <w:vAlign w:val="bottom"/>
            <w:tcBorders>
              <w:top w:val="single" w:sz="8" w:color="CCEEFF"/>
            </w:tcBorders>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5"/>
              </w:rPr>
              <w:t>1.2</w:t>
            </w:r>
          </w:p>
        </w:tc>
        <w:tc>
          <w:tcPr>
            <w:tcW w:w="380" w:type="dxa"/>
            <w:vAlign w:val="bottom"/>
            <w:tcBorders>
              <w:top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63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20" w:type="dxa"/>
            <w:vAlign w:val="bottom"/>
          </w:tcPr>
          <w:p>
            <w:pPr>
              <w:spacing w:after="0"/>
              <w:rPr>
                <w:sz w:val="20"/>
                <w:szCs w:val="20"/>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Net unrealized losses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(5.8)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4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Other liabilities</w:t>
            </w: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63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Net unrealized losses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(0.4)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gains (losses) on cash flow hedging activities have been reclassified from other comprehensive earnings (loss) to net earnings for the quarters and six months ended July 2, 2023 and June 26, 2022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7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Quarter Ended</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Six Months Ended</w:t>
            </w: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July 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June 26,</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center"/>
              <w:ind w:right="210"/>
              <w:spacing w:after="0" w:line="177" w:lineRule="exact"/>
              <w:rPr>
                <w:sz w:val="20"/>
                <w:szCs w:val="20"/>
                <w:color w:val="auto"/>
              </w:rPr>
            </w:pPr>
            <w:r>
              <w:rPr>
                <w:rFonts w:ascii="Arial" w:cs="Arial" w:eastAsia="Arial" w:hAnsi="Arial"/>
                <w:sz w:val="18"/>
                <w:szCs w:val="18"/>
                <w:b w:val="1"/>
                <w:bCs w:val="1"/>
                <w:color w:val="auto"/>
                <w:w w:val="89"/>
              </w:rPr>
              <w:t>July 2,</w:t>
            </w:r>
          </w:p>
        </w:tc>
        <w:tc>
          <w:tcPr>
            <w:tcW w:w="120" w:type="dxa"/>
            <w:vAlign w:val="bottom"/>
          </w:tcPr>
          <w:p>
            <w:pPr>
              <w:spacing w:after="0"/>
              <w:rPr>
                <w:sz w:val="15"/>
                <w:szCs w:val="15"/>
                <w:color w:val="auto"/>
              </w:rPr>
            </w:pPr>
          </w:p>
        </w:tc>
        <w:tc>
          <w:tcPr>
            <w:tcW w:w="15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8"/>
              </w:rPr>
              <w:t>June 26,</w:t>
            </w: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20"/>
                <w:szCs w:val="20"/>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8"/>
              </w:rPr>
              <w:t>Statements of Operations Classification</w:t>
            </w:r>
          </w:p>
        </w:tc>
        <w:tc>
          <w:tcPr>
            <w:tcW w:w="17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(1.2)</w:t>
            </w:r>
          </w:p>
        </w:tc>
        <w:tc>
          <w:tcPr>
            <w:tcW w:w="122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3.0</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left="750"/>
              <w:spacing w:after="0"/>
              <w:rPr>
                <w:sz w:val="20"/>
                <w:szCs w:val="20"/>
                <w:color w:val="auto"/>
              </w:rPr>
            </w:pPr>
            <w:r>
              <w:rPr>
                <w:rFonts w:ascii="Arial" w:cs="Arial" w:eastAsia="Arial" w:hAnsi="Arial"/>
                <w:sz w:val="18"/>
                <w:szCs w:val="18"/>
                <w:color w:val="auto"/>
                <w:w w:val="95"/>
              </w:rPr>
              <w:t>1.3</w:t>
            </w:r>
          </w:p>
        </w:tc>
        <w:tc>
          <w:tcPr>
            <w:tcW w:w="1640" w:type="dxa"/>
            <w:vAlign w:val="bottom"/>
            <w:gridSpan w:val="2"/>
          </w:tcPr>
          <w:p>
            <w:pPr>
              <w:jc w:val="center"/>
              <w:ind w:left="1170"/>
              <w:spacing w:after="0"/>
              <w:rPr>
                <w:sz w:val="20"/>
                <w:szCs w:val="20"/>
                <w:color w:val="auto"/>
              </w:rPr>
            </w:pPr>
            <w:r>
              <w:rPr>
                <w:rFonts w:ascii="Arial" w:cs="Arial" w:eastAsia="Arial" w:hAnsi="Arial"/>
                <w:sz w:val="18"/>
                <w:szCs w:val="18"/>
                <w:color w:val="auto"/>
                <w:w w:val="87"/>
              </w:rPr>
              <w:t>2.6</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00" w:type="dxa"/>
            <w:vAlign w:val="bottom"/>
            <w:shd w:val="clear" w:color="auto" w:fill="CCEEFF"/>
          </w:tcPr>
          <w:p>
            <w:pPr>
              <w:spacing w:after="0"/>
              <w:rPr>
                <w:sz w:val="21"/>
                <w:szCs w:val="21"/>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0.2</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5"/>
              </w:rPr>
              <w:t>0.2</w:t>
            </w:r>
          </w:p>
        </w:tc>
        <w:tc>
          <w:tcPr>
            <w:tcW w:w="164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7"/>
              </w:rPr>
              <w:t>(0.2)</w:t>
            </w: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(0.1)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center"/>
              <w:ind w:left="730"/>
              <w:spacing w:after="0"/>
              <w:rPr>
                <w:sz w:val="20"/>
                <w:szCs w:val="20"/>
                <w:color w:val="auto"/>
              </w:rPr>
            </w:pPr>
            <w:r>
              <w:rPr>
                <w:rFonts w:ascii="Arial" w:cs="Arial" w:eastAsia="Arial" w:hAnsi="Arial"/>
                <w:sz w:val="18"/>
                <w:szCs w:val="18"/>
                <w:color w:val="auto"/>
                <w:w w:val="91"/>
              </w:rPr>
              <w:t>(0.7)</w:t>
            </w:r>
          </w:p>
        </w:tc>
        <w:tc>
          <w:tcPr>
            <w:tcW w:w="1640" w:type="dxa"/>
            <w:vAlign w:val="bottom"/>
            <w:gridSpan w:val="2"/>
          </w:tcPr>
          <w:p>
            <w:pPr>
              <w:jc w:val="center"/>
              <w:ind w:left="1150"/>
              <w:spacing w:after="0"/>
              <w:rPr>
                <w:sz w:val="20"/>
                <w:szCs w:val="20"/>
                <w:color w:val="auto"/>
              </w:rPr>
            </w:pPr>
            <w:r>
              <w:rPr>
                <w:rFonts w:ascii="Arial" w:cs="Arial" w:eastAsia="Arial" w:hAnsi="Arial"/>
                <w:sz w:val="18"/>
                <w:szCs w:val="18"/>
                <w:color w:val="auto"/>
                <w:w w:val="97"/>
              </w:rPr>
              <w:t>(0.7)</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realized (losses) gains</w:t>
            </w: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95"/>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87"/>
              </w:rPr>
              <w:t>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Undesignated Hedges</w:t>
      </w:r>
    </w:p>
    <w:p>
      <w:pPr>
        <w:spacing w:after="0" w:line="19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to manage transactional exposure to fair value movements on certain monetary assets and liabilities denominated in foreign currencies, the Company has implemented a balance sheet hedging program. The Company does not use hedge accounting for these contracts as changes in the fair values of these contracts are offset by changes in the fair value of the balance sheet items. As of July 2, 2023, June 26, 2022 and December 25, 2022 the total notional amounts of the Company's undesignated derivative instruments were $810.4 million, $464.7 million and $765.6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July 2, 2023, June 26, 2022 and December 25, 2022, the fair values of the Company's undesignated derivative financial instruments were recorded in the consolidated balance sheets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July 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June 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25,</w:t>
            </w:r>
          </w:p>
        </w:tc>
      </w:tr>
      <w:tr>
        <w:trPr>
          <w:trHeight w:val="229"/>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220" w:type="dxa"/>
            <w:vAlign w:val="bottom"/>
            <w:tcBorders>
              <w:bottom w:val="single" w:sz="8" w:color="auto"/>
            </w:tcBorders>
            <w:gridSpan w:val="3"/>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6"/>
              </w:rPr>
              <w:t>Prepaid expenses and other current assets</w:t>
            </w:r>
          </w:p>
        </w:tc>
        <w:tc>
          <w:tcPr>
            <w:tcW w:w="3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Unrealized gains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5.8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790"/>
              <w:spacing w:after="0"/>
              <w:rPr>
                <w:sz w:val="20"/>
                <w:szCs w:val="20"/>
                <w:color w:val="auto"/>
              </w:rPr>
            </w:pPr>
            <w:r>
              <w:rPr>
                <w:rFonts w:ascii="Arial" w:cs="Arial" w:eastAsia="Arial" w:hAnsi="Arial"/>
                <w:sz w:val="18"/>
                <w:szCs w:val="18"/>
                <w:color w:val="auto"/>
                <w:w w:val="95"/>
              </w:rPr>
              <w:t>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20" w:type="dxa"/>
            <w:vAlign w:val="bottom"/>
            <w:shd w:val="clear" w:color="auto" w:fill="CCEEFF"/>
          </w:tcPr>
          <w:p>
            <w:pPr>
              <w:spacing w:after="0"/>
              <w:rPr>
                <w:sz w:val="21"/>
                <w:szCs w:val="21"/>
                <w:color w:val="auto"/>
              </w:rPr>
            </w:pPr>
          </w:p>
        </w:tc>
        <w:tc>
          <w:tcPr>
            <w:tcW w:w="6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0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1"/>
              </w:rPr>
              <w:t>(5.6)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20" w:type="dxa"/>
            <w:vAlign w:val="bottom"/>
          </w:tcPr>
          <w:p>
            <w:pPr>
              <w:spacing w:after="0"/>
              <w:rPr>
                <w:sz w:val="19"/>
                <w:szCs w:val="19"/>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Net unrealized gains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34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Accrued liabilities</w:t>
            </w: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6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Net unrealized losses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Arial" w:cs="Arial" w:eastAsia="Arial" w:hAnsi="Arial"/>
                <w:sz w:val="18"/>
                <w:szCs w:val="18"/>
                <w:b w:val="1"/>
                <w:bCs w:val="1"/>
                <w:color w:val="auto"/>
              </w:rPr>
              <w:t>Total unrealized gains, net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2.9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790"/>
              <w:spacing w:after="0"/>
              <w:rPr>
                <w:sz w:val="20"/>
                <w:szCs w:val="20"/>
                <w:color w:val="auto"/>
              </w:rPr>
            </w:pPr>
            <w:r>
              <w:rPr>
                <w:rFonts w:ascii="Arial" w:cs="Arial" w:eastAsia="Arial" w:hAnsi="Arial"/>
                <w:sz w:val="18"/>
                <w:szCs w:val="18"/>
                <w:color w:val="auto"/>
                <w:w w:val="95"/>
              </w:rPr>
              <w:t>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recorded net gains of $6.8 million and $11.2 million on these instruments to other (income) expense, net for the quarter and six months ended July 2, 2023, respectively, and net gains of $16.7 million and $20.5 million for the quarter and six months ended June 26, 2022, respectively, relating to the change in fair value of such derivatives, substantially offsetting gains and losses from the change in fair value of intercompany loans to which the contracts relate.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the Company's derivative financial instruments (see notes 5 and 10).</w:t>
      </w:r>
    </w:p>
    <w:p>
      <w:pPr>
        <w:spacing w:after="0" w:line="18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8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occupies offices and uses certain equipment under various operating lease arrangements. The Company has no material finance leases. The Company's leases have remaining lease terms of 1 to 15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13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rent expense under such arrangements and similar arrangements that do not qualify as leases under ASU 2016-02, net of sublease income amounted to $24.8 million and $48.3 million for the quarter and six months ended July 2, 2023, respectively, and $20.9 million and $43.2 million for the quarter and six months ended June 26, 2022, respectively, and was not material to the Company's financial statements. Expenses related to short-term leases (expected terms less than 12 months) or variable lease payments was not material in the quarters or six months ended July 2, 2023 or June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5" w:name="page26"/>
    <w:bookmarkEnd w:id="2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Company’s leases for the quarters and six months ended July 2, 2023 and June 26, 2022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0"/>
              <w:spacing w:after="0" w:line="169" w:lineRule="exact"/>
              <w:rPr>
                <w:sz w:val="20"/>
                <w:szCs w:val="20"/>
                <w:color w:val="auto"/>
              </w:rPr>
            </w:pPr>
            <w:r>
              <w:rPr>
                <w:rFonts w:ascii="Arial" w:cs="Arial" w:eastAsia="Arial" w:hAnsi="Arial"/>
                <w:sz w:val="18"/>
                <w:szCs w:val="18"/>
                <w:b w:val="1"/>
                <w:bCs w:val="1"/>
                <w:color w:val="auto"/>
              </w:rPr>
              <w:t>July 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450"/>
              <w:spacing w:after="0" w:line="169" w:lineRule="exact"/>
              <w:rPr>
                <w:sz w:val="20"/>
                <w:szCs w:val="20"/>
                <w:color w:val="auto"/>
              </w:rPr>
            </w:pPr>
            <w:r>
              <w:rPr>
                <w:rFonts w:ascii="Arial" w:cs="Arial" w:eastAsia="Arial" w:hAnsi="Arial"/>
                <w:sz w:val="18"/>
                <w:szCs w:val="18"/>
                <w:b w:val="1"/>
                <w:bCs w:val="1"/>
                <w:color w:val="auto"/>
              </w:rPr>
              <w:t>July 2,</w:t>
            </w:r>
          </w:p>
        </w:tc>
        <w:tc>
          <w:tcPr>
            <w:tcW w:w="100" w:type="dxa"/>
            <w:vAlign w:val="bottom"/>
          </w:tcPr>
          <w:p>
            <w:pPr>
              <w:spacing w:after="0"/>
              <w:rPr>
                <w:sz w:val="14"/>
                <w:szCs w:val="14"/>
                <w:color w:val="auto"/>
              </w:rPr>
            </w:pPr>
          </w:p>
        </w:tc>
        <w:tc>
          <w:tcPr>
            <w:tcW w:w="158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June 26,</w:t>
            </w:r>
          </w:p>
        </w:tc>
      </w:tr>
      <w:tr>
        <w:trPr>
          <w:trHeight w:val="239"/>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6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160"/>
        </w:trPr>
        <w:tc>
          <w:tcPr>
            <w:tcW w:w="458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8"/>
                <w:szCs w:val="18"/>
                <w:color w:val="auto"/>
                <w:w w:val="93"/>
              </w:rPr>
              <w:t>Cash paid for amounts included in the measurement of lease</w:t>
            </w:r>
          </w:p>
        </w:tc>
        <w:tc>
          <w:tcPr>
            <w:tcW w:w="3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13.1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13.3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25.8</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26.7</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Right-of-use assets obtained in exchange for lease obligations: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7"/>
        </w:trPr>
        <w:tc>
          <w:tcPr>
            <w:tcW w:w="4580" w:type="dxa"/>
            <w:vAlign w:val="bottom"/>
          </w:tcPr>
          <w:p>
            <w:pPr>
              <w:ind w:left="220"/>
              <w:spacing w:after="0"/>
              <w:rPr>
                <w:sz w:val="20"/>
                <w:szCs w:val="20"/>
                <w:color w:val="auto"/>
              </w:rPr>
            </w:pPr>
            <w:r>
              <w:rPr>
                <w:rFonts w:ascii="Arial" w:cs="Arial" w:eastAsia="Arial" w:hAnsi="Arial"/>
                <w:sz w:val="18"/>
                <w:szCs w:val="18"/>
                <w:color w:val="auto"/>
              </w:rPr>
              <w:t>Operating leases net of lease modifications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67.7</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r>
      <w:tr>
        <w:trPr>
          <w:trHeight w:val="276"/>
        </w:trPr>
        <w:tc>
          <w:tcPr>
            <w:tcW w:w="4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years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years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years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years</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r>
    </w:tbl>
    <w:p>
      <w:pPr>
        <w:spacing w:after="0" w:line="200" w:lineRule="exact"/>
        <w:rPr>
          <w:sz w:val="20"/>
          <w:szCs w:val="20"/>
          <w:color w:val="auto"/>
        </w:rPr>
      </w:pPr>
    </w:p>
    <w:p>
      <w:pPr>
        <w:spacing w:after="0" w:line="25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is a reconciliation of future undiscounted cash flows to the operating liabilities, and the related right of use assets, included in our consolidated balance sheets as of July 2,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530"/>
              <w:spacing w:after="0" w:line="198" w:lineRule="exact"/>
              <w:rPr>
                <w:sz w:val="20"/>
                <w:szCs w:val="20"/>
                <w:color w:val="auto"/>
              </w:rPr>
            </w:pPr>
            <w:r>
              <w:rPr>
                <w:rFonts w:ascii="Arial" w:cs="Arial" w:eastAsia="Arial" w:hAnsi="Arial"/>
                <w:sz w:val="18"/>
                <w:szCs w:val="18"/>
                <w:b w:val="1"/>
                <w:bCs w:val="1"/>
                <w:color w:val="auto"/>
              </w:rPr>
              <w:t>July 2,</w:t>
            </w:r>
          </w:p>
        </w:tc>
      </w:tr>
      <w:tr>
        <w:trPr>
          <w:trHeight w:val="234"/>
        </w:trPr>
        <w:tc>
          <w:tcPr>
            <w:tcW w:w="9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six months ended July 2, 2023)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7"/>
        </w:trPr>
        <w:tc>
          <w:tcPr>
            <w:tcW w:w="948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3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r>
      <w:tr>
        <w:trPr>
          <w:trHeight w:val="24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operating lease payments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r>
      <w:tr>
        <w:trPr>
          <w:trHeight w:val="230"/>
        </w:trPr>
        <w:tc>
          <w:tcPr>
            <w:tcW w:w="9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Less current portion of operating lease liabilities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62"/>
        </w:trPr>
        <w:tc>
          <w:tcPr>
            <w:tcW w:w="9480" w:type="dxa"/>
            <w:vAlign w:val="bottom"/>
            <w:tcBorders>
              <w:bottom w:val="single" w:sz="8" w:color="CCEEFF"/>
            </w:tcBorders>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Non-current operating lease liability </w:t>
            </w:r>
            <w:r>
              <w:rPr>
                <w:rFonts w:ascii="Arial" w:cs="Arial" w:eastAsia="Arial" w:hAnsi="Arial"/>
                <w:sz w:val="23"/>
                <w:szCs w:val="23"/>
                <w:color w:val="auto"/>
                <w:vertAlign w:val="superscript"/>
              </w:rPr>
              <w:t>(2)</w:t>
            </w:r>
          </w:p>
        </w:tc>
        <w:tc>
          <w:tcPr>
            <w:tcW w:w="3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4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Operating lease right-of-use assets, net </w:t>
            </w:r>
            <w:r>
              <w:rPr>
                <w:rFonts w:ascii="Arial" w:cs="Arial" w:eastAsia="Arial" w:hAnsi="Arial"/>
                <w:sz w:val="23"/>
                <w:szCs w:val="23"/>
                <w:color w:val="auto"/>
                <w:vertAlign w:val="superscript"/>
              </w:rPr>
              <w:t>(3)</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153.1</w:t>
            </w:r>
          </w:p>
        </w:tc>
      </w:tr>
      <w:tr>
        <w:trPr>
          <w:trHeight w:val="20"/>
        </w:trPr>
        <w:tc>
          <w:tcPr>
            <w:tcW w:w="9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Included in Accrued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Included in Other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Included in Property, plant, and equipment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02"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Hasbro is a toy and game company with a broad portfolio of brands and entertainment content spanning toys, games, licensed products ranging from traditional to digital, as well as film and television entertainment. The Company's three principal reportable segments are (i) Consumer Products, (ii) Wizards of the Coast and Digital Gaming, and (iii) Entertainment.</w:t>
      </w:r>
    </w:p>
    <w:p>
      <w:pPr>
        <w:spacing w:after="0" w:line="14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The Wizards of the Coast and Digital Gaming business engages in the promotion of the Company's brands through the development of trading card, role-playing and digital game experiences based on Hasbro and Wizards of the Coast games. The Entertainment segment engages in the development, acquisition, production, distribution and sale of world-class entertainment content including film, scripted and unscripted television, family programming, digital content and live entertainment. Corporate and Other provides management and administrative services to the Company's principal reporting segments described above and consists of unallocated corporate expenses and administrative costs and activities not considered when evaluating segment performance as well as certain assets benefiting more than one segment.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of the Company's segments are the same as those referenced in note 1.</w:t>
      </w:r>
    </w:p>
    <w:p>
      <w:pPr>
        <w:spacing w:after="0" w:line="19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Results shown for the quarter ended July 2, 2023 are not necessarily representative of those which may be expected for the full year 2023, nor were those of the comparable 2022 periods representative of those actually experienced for the full year 2022. Similarly, such results are not necessarily those which would be achieved were each segment an unaffiliated business enterprise.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Information by segment and a reconciliation to reported amounts for the quarters and six months ended July 2, 2023 and June 26, 2022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ind w:right="830"/>
              <w:spacing w:after="0"/>
              <w:rPr>
                <w:sz w:val="20"/>
                <w:szCs w:val="20"/>
                <w:color w:val="auto"/>
              </w:rPr>
            </w:pPr>
            <w:r>
              <w:rPr>
                <w:rFonts w:ascii="Arial" w:cs="Arial" w:eastAsia="Arial" w:hAnsi="Arial"/>
                <w:sz w:val="18"/>
                <w:szCs w:val="18"/>
                <w:b w:val="1"/>
                <w:bCs w:val="1"/>
                <w:color w:val="auto"/>
              </w:rPr>
              <w:t>July 2, 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June 26, 2022</w:t>
            </w:r>
          </w:p>
        </w:tc>
      </w:tr>
      <w:tr>
        <w:trPr>
          <w:trHeight w:val="183"/>
        </w:trPr>
        <w:tc>
          <w:tcPr>
            <w:tcW w:w="20" w:type="dxa"/>
            <w:vAlign w:val="bottom"/>
          </w:tcPr>
          <w:p>
            <w:pPr>
              <w:spacing w:after="0"/>
              <w:rPr>
                <w:sz w:val="15"/>
                <w:szCs w:val="15"/>
                <w:color w:val="auto"/>
              </w:rPr>
            </w:pPr>
          </w:p>
        </w:tc>
        <w:tc>
          <w:tcPr>
            <w:tcW w:w="56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Net revenues</w:t>
            </w:r>
          </w:p>
        </w:tc>
        <w:tc>
          <w:tcPr>
            <w:tcW w:w="220" w:type="dxa"/>
            <w:vAlign w:val="bottom"/>
          </w:tcPr>
          <w:p>
            <w:pPr>
              <w:spacing w:after="0"/>
              <w:rPr>
                <w:sz w:val="15"/>
                <w:szCs w:val="15"/>
                <w:color w:val="auto"/>
              </w:rPr>
            </w:pPr>
          </w:p>
        </w:tc>
        <w:tc>
          <w:tcPr>
            <w:tcW w:w="108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External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External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29"/>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20" w:type="dxa"/>
            <w:vAlign w:val="bottom"/>
            <w:tcBorders>
              <w:bottom w:val="single" w:sz="8" w:color="CCEEFF"/>
            </w:tcBorders>
          </w:tcPr>
          <w:p>
            <w:pPr>
              <w:spacing w:after="0"/>
              <w:rPr>
                <w:sz w:val="21"/>
                <w:szCs w:val="21"/>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830"/>
              <w:spacing w:after="0"/>
              <w:rPr>
                <w:sz w:val="20"/>
                <w:szCs w:val="20"/>
                <w:color w:val="auto"/>
              </w:rPr>
            </w:pPr>
            <w:r>
              <w:rPr>
                <w:rFonts w:ascii="Arial" w:cs="Arial" w:eastAsia="Arial" w:hAnsi="Arial"/>
                <w:sz w:val="18"/>
                <w:szCs w:val="18"/>
                <w:b w:val="1"/>
                <w:bCs w:val="1"/>
                <w:color w:val="auto"/>
              </w:rPr>
              <w:t>July 2, 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June 26, 2022</w:t>
            </w:r>
          </w:p>
        </w:tc>
      </w:tr>
      <w:tr>
        <w:trPr>
          <w:trHeight w:val="189"/>
        </w:trPr>
        <w:tc>
          <w:tcPr>
            <w:tcW w:w="20" w:type="dxa"/>
            <w:vAlign w:val="bottom"/>
          </w:tcPr>
          <w:p>
            <w:pPr>
              <w:spacing w:after="0"/>
              <w:rPr>
                <w:sz w:val="16"/>
                <w:szCs w:val="16"/>
                <w:color w:val="auto"/>
              </w:rPr>
            </w:pPr>
          </w:p>
        </w:tc>
        <w:tc>
          <w:tcPr>
            <w:tcW w:w="56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Net revenues</w:t>
            </w:r>
          </w:p>
        </w:tc>
        <w:tc>
          <w:tcPr>
            <w:tcW w:w="220" w:type="dxa"/>
            <w:vAlign w:val="bottom"/>
          </w:tcPr>
          <w:p>
            <w:pPr>
              <w:spacing w:after="0"/>
              <w:rPr>
                <w:sz w:val="16"/>
                <w:szCs w:val="16"/>
                <w:color w:val="auto"/>
              </w:rPr>
            </w:pPr>
          </w:p>
        </w:tc>
        <w:tc>
          <w:tcPr>
            <w:tcW w:w="108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rPr>
              <w:t>External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External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37"/>
        </w:trPr>
        <w:tc>
          <w:tcPr>
            <w:tcW w:w="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Wizards of the Coast and Digital Gaming</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36"/>
        </w:trPr>
        <w:tc>
          <w:tcPr>
            <w:tcW w:w="20" w:type="dxa"/>
            <w:vAlign w:val="bottom"/>
            <w:shd w:val="clear" w:color="auto" w:fill="CCEEFF"/>
          </w:tcPr>
          <w:p>
            <w:pPr>
              <w:spacing w:after="0"/>
              <w:rPr>
                <w:sz w:val="20"/>
                <w:szCs w:val="20"/>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9"/>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w:t>
            </w:r>
          </w:p>
        </w:tc>
      </w:tr>
      <w:tr>
        <w:trPr>
          <w:trHeight w:val="250"/>
        </w:trPr>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946"/>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 (loss)</w:t>
            </w:r>
          </w:p>
        </w:tc>
        <w:tc>
          <w:tcPr>
            <w:tcW w:w="300" w:type="dxa"/>
            <w:vAlign w:val="bottom"/>
          </w:tcPr>
          <w:p>
            <w:pPr>
              <w:spacing w:after="0"/>
              <w:rPr>
                <w:sz w:val="15"/>
                <w:szCs w:val="15"/>
                <w:color w:val="auto"/>
              </w:rPr>
            </w:pPr>
          </w:p>
        </w:tc>
        <w:tc>
          <w:tcPr>
            <w:tcW w:w="1220" w:type="dxa"/>
            <w:vAlign w:val="bottom"/>
          </w:tcPr>
          <w:p>
            <w:pPr>
              <w:jc w:val="right"/>
              <w:ind w:right="410"/>
              <w:spacing w:after="0" w:line="176" w:lineRule="exact"/>
              <w:rPr>
                <w:sz w:val="20"/>
                <w:szCs w:val="20"/>
                <w:color w:val="auto"/>
              </w:rPr>
            </w:pPr>
            <w:r>
              <w:rPr>
                <w:rFonts w:ascii="Arial" w:cs="Arial" w:eastAsia="Arial" w:hAnsi="Arial"/>
                <w:sz w:val="18"/>
                <w:szCs w:val="18"/>
                <w:b w:val="1"/>
                <w:bCs w:val="1"/>
                <w:color w:val="auto"/>
              </w:rPr>
              <w:t>July 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370"/>
              <w:spacing w:after="0" w:line="176" w:lineRule="exact"/>
              <w:rPr>
                <w:sz w:val="20"/>
                <w:szCs w:val="20"/>
                <w:color w:val="auto"/>
              </w:rPr>
            </w:pPr>
            <w:r>
              <w:rPr>
                <w:rFonts w:ascii="Arial" w:cs="Arial" w:eastAsia="Arial" w:hAnsi="Arial"/>
                <w:sz w:val="18"/>
                <w:szCs w:val="18"/>
                <w:b w:val="1"/>
                <w:bCs w:val="1"/>
                <w:color w:val="auto"/>
              </w:rPr>
              <w:t>June 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410"/>
              <w:spacing w:after="0" w:line="176" w:lineRule="exact"/>
              <w:rPr>
                <w:sz w:val="20"/>
                <w:szCs w:val="20"/>
                <w:color w:val="auto"/>
              </w:rPr>
            </w:pPr>
            <w:r>
              <w:rPr>
                <w:rFonts w:ascii="Arial" w:cs="Arial" w:eastAsia="Arial" w:hAnsi="Arial"/>
                <w:sz w:val="18"/>
                <w:szCs w:val="18"/>
                <w:b w:val="1"/>
                <w:bCs w:val="1"/>
                <w:color w:val="auto"/>
              </w:rPr>
              <w:t>July 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350"/>
              <w:spacing w:after="0" w:line="176" w:lineRule="exact"/>
              <w:rPr>
                <w:sz w:val="20"/>
                <w:szCs w:val="20"/>
                <w:color w:val="auto"/>
              </w:rPr>
            </w:pPr>
            <w:r>
              <w:rPr>
                <w:rFonts w:ascii="Arial" w:cs="Arial" w:eastAsia="Arial" w:hAnsi="Arial"/>
                <w:sz w:val="18"/>
                <w:szCs w:val="18"/>
                <w:b w:val="1"/>
                <w:bCs w:val="1"/>
                <w:color w:val="auto"/>
              </w:rPr>
              <w:t>June 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10"/>
              <w:spacing w:after="0" w:line="189"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Wizards of the Coast and Digital Gaming</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Entertainment </w:t>
            </w:r>
            <w:r>
              <w:rPr>
                <w:rFonts w:ascii="Arial" w:cs="Arial" w:eastAsia="Arial" w:hAnsi="Arial"/>
                <w:sz w:val="12"/>
                <w:szCs w:val="12"/>
                <w:color w:val="auto"/>
              </w:rPr>
              <w:t>(a)</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(a)(c)</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non-operating (income) expense</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spacing w:after="0"/>
              <w:rPr>
                <w:sz w:val="17"/>
                <w:szCs w:val="17"/>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July 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10"/>
              <w:spacing w:after="0" w:line="189"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5,954.2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5,318.9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5,757.7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Wizards of the Coast and Digital Gaming</w:t>
            </w:r>
          </w:p>
        </w:tc>
        <w:tc>
          <w:tcPr>
            <w:tcW w:w="320" w:type="dxa"/>
            <w:vAlign w:val="bottom"/>
          </w:tcPr>
          <w:p>
            <w:pPr>
              <w:spacing w:after="0"/>
              <w:rPr>
                <w:sz w:val="19"/>
                <w:szCs w:val="19"/>
                <w:color w:val="auto"/>
              </w:rPr>
            </w:pPr>
          </w:p>
        </w:tc>
        <w:tc>
          <w:tcPr>
            <w:tcW w:w="1200" w:type="dxa"/>
            <w:vAlign w:val="bottom"/>
          </w:tcPr>
          <w:p>
            <w:pPr>
              <w:jc w:val="center"/>
              <w:ind w:left="450"/>
              <w:spacing w:after="0"/>
              <w:rPr>
                <w:sz w:val="20"/>
                <w:szCs w:val="20"/>
                <w:color w:val="auto"/>
              </w:rPr>
            </w:pPr>
            <w:r>
              <w:rPr>
                <w:rFonts w:ascii="Arial" w:cs="Arial" w:eastAsia="Arial" w:hAnsi="Arial"/>
                <w:sz w:val="18"/>
                <w:szCs w:val="18"/>
                <w:color w:val="auto"/>
                <w:w w:val="89"/>
              </w:rPr>
              <w:t>3,634.9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center"/>
              <w:ind w:left="470"/>
              <w:spacing w:after="0"/>
              <w:rPr>
                <w:sz w:val="20"/>
                <w:szCs w:val="20"/>
                <w:color w:val="auto"/>
              </w:rPr>
            </w:pPr>
            <w:r>
              <w:rPr>
                <w:rFonts w:ascii="Arial" w:cs="Arial" w:eastAsia="Arial" w:hAnsi="Arial"/>
                <w:sz w:val="18"/>
                <w:szCs w:val="18"/>
                <w:color w:val="auto"/>
                <w:w w:val="89"/>
              </w:rPr>
              <w:t>2,295.8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left="570"/>
              <w:spacing w:after="0"/>
              <w:rPr>
                <w:sz w:val="20"/>
                <w:szCs w:val="20"/>
                <w:color w:val="auto"/>
              </w:rPr>
            </w:pPr>
            <w:r>
              <w:rPr>
                <w:rFonts w:ascii="Arial" w:cs="Arial" w:eastAsia="Arial" w:hAnsi="Arial"/>
                <w:sz w:val="18"/>
                <w:szCs w:val="18"/>
                <w:color w:val="auto"/>
                <w:w w:val="89"/>
              </w:rPr>
              <w:t>2,968.7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Entertainment </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5,924.1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6,286.7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6,273.3</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(a)</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1"/>
              </w:rPr>
              <w:t>(6,903.5)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1"/>
              </w:rPr>
              <w:t>(4,398.4)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1"/>
              </w:rPr>
              <w:t>(5,703.8)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8,609.7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9,503.0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9"/>
              </w:rPr>
              <w:t>9,295.9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00" w:firstLine="8"/>
        <w:spacing w:after="0" w:line="265" w:lineRule="auto"/>
        <w:tabs>
          <w:tab w:leader="none" w:pos="204"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Certain long-term assets, including property, plant and equipment, goodwill and other intangibles, which benefit multiple operating segments, are included in both Entertainment and Corporate and Other. Allocations of certain Corporate and Other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Corporate and Other also includes the elimination of inter-company balance sheet amounts.</w:t>
      </w:r>
    </w:p>
    <w:p>
      <w:pPr>
        <w:spacing w:after="0" w:line="85" w:lineRule="exact"/>
        <w:rPr>
          <w:rFonts w:ascii="Arial" w:cs="Arial" w:eastAsia="Arial" w:hAnsi="Arial"/>
          <w:sz w:val="14"/>
          <w:szCs w:val="14"/>
          <w:i w:val="1"/>
          <w:iCs w:val="1"/>
          <w:color w:val="auto"/>
        </w:rPr>
      </w:pPr>
    </w:p>
    <w:p>
      <w:pPr>
        <w:ind w:left="200" w:hanging="192"/>
        <w:spacing w:after="0"/>
        <w:tabs>
          <w:tab w:leader="none" w:pos="20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revenues from transactions with other operating segments that are included in the operating profit (loss) of the segment.</w:t>
      </w:r>
    </w:p>
    <w:p>
      <w:pPr>
        <w:spacing w:after="0" w:line="122" w:lineRule="exact"/>
        <w:rPr>
          <w:rFonts w:ascii="Arial" w:cs="Arial" w:eastAsia="Arial" w:hAnsi="Arial"/>
          <w:sz w:val="14"/>
          <w:szCs w:val="14"/>
          <w:i w:val="1"/>
          <w:iCs w:val="1"/>
          <w:color w:val="auto"/>
        </w:rPr>
      </w:pPr>
    </w:p>
    <w:p>
      <w:pPr>
        <w:ind w:right="100" w:firstLine="8"/>
        <w:spacing w:after="0" w:line="283" w:lineRule="auto"/>
        <w:tabs>
          <w:tab w:leader="none" w:pos="196"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Corporate and Other Operating profit (loss) includes Operational Excellence related transformation office and consulting fees of $10.4 million and $21.0 million, for the quarter and six-month periods ended July 2, 2023, respectively, which are recorded within Selling, Distribution and Administration costs within the Consolidated Statements of Operations. Third party consultants were engaged to assist the Company in performing a comprehensive review of operations and developing a transformation plan designed to support the organization in identifying, realizing, and capturing savings through the identification of organizational initiatives intended to create efficiencies and improve business processes and operations. The consultants assisted in providing benchmark data and are currently assisting with the design of an improved operating model and supply chain function. The Company expects this consulting assistance to conclude in 2023 in line with the planning stages of the final components of the transformation plan. Corporate and Other Operating Profit (loss) includes other consulting expense of $19.1 million and $21.5 million for the quarter and six month periods ended June 26, 2022, respectively, as well as incentive compensation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consolidated Consumer Products segment net revenues by major geographic region for the quarters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2, 2023 and June 26,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6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July 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26,</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July 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26,</w:t>
            </w:r>
          </w:p>
        </w:tc>
      </w:tr>
      <w:tr>
        <w:trPr>
          <w:trHeight w:val="239"/>
        </w:trPr>
        <w:tc>
          <w:tcPr>
            <w:tcW w:w="46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Europe</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338.8</w:t>
            </w: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represents consolidated Wizards of the Coast and Digital Gaming segment net revenues by category for the quarters and six months ended July 2, 2023 and June 26,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910"/>
              <w:spacing w:after="0"/>
              <w:rPr>
                <w:sz w:val="20"/>
                <w:szCs w:val="20"/>
                <w:color w:val="auto"/>
              </w:rPr>
            </w:pPr>
            <w:r>
              <w:rPr>
                <w:rFonts w:ascii="Arial" w:cs="Arial" w:eastAsia="Arial" w:hAnsi="Arial"/>
                <w:sz w:val="18"/>
                <w:szCs w:val="18"/>
                <w:b w:val="1"/>
                <w:bCs w:val="1"/>
                <w:color w:val="auto"/>
              </w:rPr>
              <w:t>Quarter Ended</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56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July 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26,</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July 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26,</w:t>
            </w:r>
          </w:p>
        </w:tc>
      </w:tr>
      <w:tr>
        <w:trPr>
          <w:trHeight w:val="239"/>
        </w:trPr>
        <w:tc>
          <w:tcPr>
            <w:tcW w:w="45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Tabletop Gaming</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Digital and Licensed Gaming</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r>
      <w:tr>
        <w:trPr>
          <w:trHeight w:val="25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375.6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consolidated Entertainment segment net revenues by category for the quarters and six months ended July 2,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26,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8"/>
                <w:szCs w:val="18"/>
                <w:b w:val="1"/>
                <w:bCs w:val="1"/>
                <w:color w:val="auto"/>
              </w:rPr>
              <w:t>Quarter Ended</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178"/>
        </w:trPr>
        <w:tc>
          <w:tcPr>
            <w:tcW w:w="4580" w:type="dxa"/>
            <w:vAlign w:val="bottom"/>
          </w:tcPr>
          <w:p>
            <w:pPr>
              <w:spacing w:after="0"/>
              <w:rPr>
                <w:sz w:val="15"/>
                <w:szCs w:val="15"/>
                <w:color w:val="auto"/>
              </w:rPr>
            </w:pPr>
          </w:p>
        </w:tc>
        <w:tc>
          <w:tcPr>
            <w:tcW w:w="10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July 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26,</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410"/>
              <w:spacing w:after="0" w:line="177" w:lineRule="exact"/>
              <w:rPr>
                <w:sz w:val="20"/>
                <w:szCs w:val="20"/>
                <w:color w:val="auto"/>
              </w:rPr>
            </w:pPr>
            <w:r>
              <w:rPr>
                <w:rFonts w:ascii="Arial" w:cs="Arial" w:eastAsia="Arial" w:hAnsi="Arial"/>
                <w:sz w:val="18"/>
                <w:szCs w:val="18"/>
                <w:b w:val="1"/>
                <w:bCs w:val="1"/>
                <w:color w:val="auto"/>
              </w:rPr>
              <w:t>July 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26,</w:t>
            </w:r>
          </w:p>
        </w:tc>
      </w:tr>
      <w:tr>
        <w:trPr>
          <w:trHeight w:val="234"/>
        </w:trPr>
        <w:tc>
          <w:tcPr>
            <w:tcW w:w="45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10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10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w:t>
            </w:r>
          </w:p>
        </w:tc>
      </w:tr>
      <w:tr>
        <w:trPr>
          <w:trHeight w:val="20"/>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Effective for the first quarter of 2023, the Company realigned its brand portfolios to correspond with the Blueprint 2.0 strategy. Net Revenues by Brand Portfolio below have been restated to present net revenues and operating profit under the realigned structure. See note 1 for more information on the Company's brand portfolio realignment.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consolidated net revenues by brand portfolio for the quarters and six months ended July 2, 2023 and June 26,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July 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26,</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July 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26,</w:t>
            </w:r>
          </w:p>
        </w:tc>
      </w:tr>
      <w:tr>
        <w:trPr>
          <w:trHeight w:val="203"/>
        </w:trPr>
        <w:tc>
          <w:tcPr>
            <w:tcW w:w="20" w:type="dxa"/>
            <w:vAlign w:val="bottom"/>
          </w:tcPr>
          <w:p>
            <w:pPr>
              <w:spacing w:after="0"/>
              <w:rPr>
                <w:sz w:val="17"/>
                <w:szCs w:val="17"/>
                <w:color w:val="auto"/>
              </w:rPr>
            </w:pPr>
          </w:p>
        </w:tc>
        <w:tc>
          <w:tcPr>
            <w:tcW w:w="45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300" w:type="dxa"/>
            <w:vAlign w:val="bottom"/>
          </w:tcPr>
          <w:p>
            <w:pPr>
              <w:spacing w:after="0"/>
              <w:rPr>
                <w:sz w:val="17"/>
                <w:szCs w:val="17"/>
                <w:color w:val="auto"/>
              </w:rPr>
            </w:pPr>
          </w:p>
        </w:tc>
        <w:tc>
          <w:tcPr>
            <w:tcW w:w="124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Brands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Partner Brands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425.9</w:t>
            </w: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Portfolio Brands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r>
      <w:tr>
        <w:trPr>
          <w:trHeight w:val="230"/>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Non-Hasbro Branded Film &amp; TV</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revenues from Hasbro's Total Gaming category, including all gaming revenue, most notably DUNGEONS &amp; DRAGONS, MAGIC: THE GATHERING and Hasbro Gaming, totaled $491.2 million and $528.3 million for the quarters ended July 2, 2023 and June 26, 2022, respectively, of which MAGIC: THE GATHERING contributed $311.0 million and $365.5 million, respectively. Net revenues from Hasbro's Total Gaming category totaled $877.7 million and $907.1 million for the six months ended July 2, 2023 and June 26, 2022, respectively, of which MAGIC: THE GATHERING contributed $540.1 million and $562.7 million, respectively.</w:t>
      </w:r>
    </w:p>
    <w:p>
      <w:pPr>
        <w:spacing w:after="0" w:line="157"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18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During 2018 and 2020, the Company took certain restructuring actions including headcount reduction aimed at right-sizing the Company’s cost-structure and integration actions related to the acquisition of eOne. As of July 2, 2023, the Company had a remaining balance of $7.1 million in severance and other employee expenses related to these programs included within other accrued liabilities in the Consolidated Balance Sheets, after making payments of $2.0 million in fiscal 2023. Substantially all of the remaining cash payments related to these programs are expected to be made by the end of 2024.</w:t>
      </w:r>
    </w:p>
    <w:p>
      <w:pPr>
        <w:spacing w:after="0" w:line="4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2022, in support of Blueprint 2.0, Hasbro announced an Operational Excellence program ("the Program"), an ongoing enterprise-wide initiative intended to improve our business through specialized organizational programs that include targeted cost-savings, supply chain transformation and certain other restructuring actions designed to drive growth and enhance shareholder value. Charges related to the Program were recorded in Selling, Distribution and Administration within Corporate and Other. These actions are expected to be substantially complete by the end of 2024. Going forward, the Company may implement further cost-saving initiatives under the Program that could result in additional restructuring charges including severance and other employee charges.</w:t>
      </w:r>
    </w:p>
    <w:p>
      <w:pPr>
        <w:spacing w:after="0" w:line="7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As of July 2, 2023, the liability balance included within other accrued liabilities in the Consolidated Balance Sheets for the restructuring actions associated with the Program 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Operational Excellence</w:t>
            </w:r>
          </w:p>
        </w:tc>
        <w:tc>
          <w:tcPr>
            <w:tcW w:w="24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Severance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25, 2022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2023 charges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payments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Balance at July 2, 2023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the restructuring charges incurred to date under the Program, along with the estimated charges expected to be incurred on approved initiatives under the plan as of July 2,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Operational Excellence</w:t>
            </w:r>
          </w:p>
        </w:tc>
        <w:tc>
          <w:tcPr>
            <w:tcW w:w="24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Severance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40" w:type="dxa"/>
            <w:vAlign w:val="bottom"/>
            <w:tcBorders>
              <w:top w:val="single" w:sz="8" w:color="auto"/>
              <w:bottom w:val="single" w:sz="8" w:color="CCEEFF"/>
            </w:tcBorders>
          </w:tcPr>
          <w:p>
            <w:pPr>
              <w:spacing w:after="0"/>
              <w:rPr>
                <w:sz w:val="2"/>
                <w:szCs w:val="2"/>
                <w:color w:val="auto"/>
              </w:rPr>
            </w:pPr>
          </w:p>
        </w:tc>
        <w:tc>
          <w:tcPr>
            <w:tcW w:w="134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Charges incurred to date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Estimated charges to be incurred on approved initiatives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8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expected charges on approved initiatives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18"/>
                <w:szCs w:val="18"/>
                <w:b w:val="1"/>
                <w:bCs w:val="1"/>
                <w:color w:val="auto"/>
              </w:rPr>
              <w:t>(15) Subsequent Event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6"/>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gridSpan w:val="6"/>
          </w:tcPr>
          <w:p>
            <w:pPr>
              <w:spacing w:after="0"/>
              <w:rPr>
                <w:sz w:val="20"/>
                <w:szCs w:val="20"/>
                <w:color w:val="auto"/>
              </w:rPr>
            </w:pPr>
            <w:r>
              <w:rPr>
                <w:rFonts w:ascii="Arial" w:cs="Arial" w:eastAsia="Arial" w:hAnsi="Arial"/>
                <w:sz w:val="18"/>
                <w:szCs w:val="18"/>
                <w:i w:val="1"/>
                <w:iCs w:val="1"/>
                <w:color w:val="auto"/>
              </w:rPr>
              <w:t>Sale of Non-core Film and TV Business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August 3, 2023, the Company announced it reached a definitive agreement with Lionsgate Entertainment Corp. to sell its eOne Film and TV business for approximately $500.0 million, consisting of $375.0 million in cash, subject to certain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price adjustments, and the assumption by Lionsgate of production financing loans. The sale will include a team of employees, a content library of approximately 6,500 titles, active productions for certain non-Hasbro owned intellectual properties, and the eOne unscripted television business which will also include rights to produce certain Hasbro-based shows.</w:t>
      </w:r>
    </w:p>
    <w:p>
      <w:pPr>
        <w:spacing w:after="0" w:line="7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pending transaction is subject to receipt of regulatory approvals and satisfaction of customary closing conditions and is expected to close before the end of fiscal 2023. The Company intends to use the net proceeds from the sale to retire floating rate debt and for other general corporate purposes.</w:t>
      </w:r>
    </w:p>
    <w:p>
      <w:pPr>
        <w:spacing w:after="0" w:line="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Following the transaction, Hasbro will maintain the capability to develop and produce entertainment including animation, digital shorts, scripted TV and theatrical films related to core Hasbro IP. The Family Brands business, including the brands PEPPA PIG and PJ MASKS, are not included in the sale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31" w:name="page32"/>
    <w:bookmarkEnd w:id="31"/>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OBJECTIVE</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objective within the following discussion is to provide an analysis of the Company’s Results of Operations, Financial Condition, and Cash Flows from management's perspective, which should be read in conjunction with the Company’s consolidated financial statements and notes thereto, included in Part I, Item 1 of this Form 10-Q.</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Unless otherwise specifically indicated, all dollar or share amounts within tables herein are expressed in millions of dollars or shares, except for per share amounts.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0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Hasbro, Inc. (“Hasbro”) is a toy and game company whose mission is to entertain and connect generations of fans through the wonder of storytelling and exhilaration of play. Hasbro delivers engaging brand experiences for global audiences across gaming, consumer products and entertainment, with a portfolio of iconic brands including MAGIC: THE GATHERING, DUNGEONS &amp; DRAGONS, Hasbro Gaming, NERF, TRANSFORMERS, PLAY-DOH and PEPPA PIG, as well as premier partner brands.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Hasbro is guided by our purpose to create joy and community for all people around the world, one game, one toy, one story at a time.</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For more than a decade, we have been consistently recognized for our corporate citizenship, including being named one of the 100 Best Corporate Citizens by 3BL Media, one of the World’s Most Ethical Companies by Ethisphere Institute and one of the 50 Most Community-Minded Companies in the U.S. by the Civic 50.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Executive Leadership</w:t>
      </w:r>
    </w:p>
    <w:p>
      <w:pPr>
        <w:spacing w:after="0" w:line="117" w:lineRule="exact"/>
        <w:rPr>
          <w:sz w:val="20"/>
          <w:szCs w:val="20"/>
          <w:color w:val="auto"/>
        </w:rPr>
      </w:pPr>
    </w:p>
    <w:p>
      <w:pPr>
        <w:ind w:left="340" w:right="80"/>
        <w:spacing w:after="0" w:line="286" w:lineRule="auto"/>
        <w:rPr>
          <w:sz w:val="20"/>
          <w:szCs w:val="20"/>
          <w:color w:val="auto"/>
        </w:rPr>
      </w:pPr>
      <w:r>
        <w:rPr>
          <w:rFonts w:ascii="Arial" w:cs="Arial" w:eastAsia="Arial" w:hAnsi="Arial"/>
          <w:sz w:val="17"/>
          <w:szCs w:val="17"/>
          <w:color w:val="auto"/>
        </w:rPr>
        <w:t>On April 12, 2023, the Company announced the appointment of Gina Goetter as Chief Financial Officer, effective May 18, 2023, following the Company’s Annual Meeting of Shareholders. Ms. Goetter joins Hasbro from Harley Davidson, Inc., where she served as Chief Financial Officer. Prior to her time at Harley Davidson, Inc., Ms. Goetter served in senior leadership roles at Tyson Foods, Inc. and General Mills, Inc.</w:t>
      </w:r>
    </w:p>
    <w:p>
      <w:pPr>
        <w:spacing w:after="0" w:line="57"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On April 12, 2023, the Company announced the appointment of Tim Kilpin as President, Toys, Licensing &amp; Entertainment, effective April 24, 2023. Mr. Kilpin joins Hasbro from PlayMonster Group, LLC, where he served as Executive Chairman and Chief Executive Officer. Previously, Mr. Kilpin held senior leadership positions within the toy and entertainment industry at companies that include Activision Blizzard, Inc., Mattel, Inc. and The Walt Disney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Review</w:t>
      </w:r>
    </w:p>
    <w:p>
      <w:pPr>
        <w:spacing w:after="0" w:line="117"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color w:val="auto"/>
        </w:rPr>
        <w:t>On October 4, 2022, following a several months long strategic review of our business led by our CEO, we announced a revised strategic plan guided by our new Blueprint 2.0, a consumer-centric framework for bringing compelling and expansive brand experiences to audiences around the world. Our Blueprint 2.0 strategy focuses on what has driven our business for the past one hundred years and will serve as our foundation going forward: Play. During our review, with the assistance of a third party consultant, we identified opportunities to focus and scale our business, enhance operational excellence, including through specialized organizational programs and supply chain transformation, to drive growth and profit and enhance shareholder value. We are increasing strategic investment in our most valuable and profitable franchises across toys, games, entertainment and licensing, and exiting certain non-core aspects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Sale of Non-core Film and TV Business</w:t>
      </w:r>
    </w:p>
    <w:p>
      <w:pPr>
        <w:spacing w:after="0" w:line="117" w:lineRule="exact"/>
        <w:rPr>
          <w:sz w:val="20"/>
          <w:szCs w:val="20"/>
          <w:color w:val="auto"/>
        </w:rPr>
      </w:pPr>
    </w:p>
    <w:p>
      <w:pPr>
        <w:ind w:left="340" w:right="60"/>
        <w:spacing w:after="0" w:line="275" w:lineRule="auto"/>
        <w:rPr>
          <w:sz w:val="20"/>
          <w:szCs w:val="20"/>
          <w:color w:val="auto"/>
        </w:rPr>
      </w:pPr>
      <w:r>
        <w:rPr>
          <w:rFonts w:ascii="Arial" w:cs="Arial" w:eastAsia="Arial" w:hAnsi="Arial"/>
          <w:sz w:val="17"/>
          <w:szCs w:val="17"/>
          <w:color w:val="auto"/>
        </w:rPr>
        <w:t xml:space="preserve">On August 3, 2023, the Company announced it reached a definitive agreement with Lionsgate Entertainment Corp. to sell its eOne Film and TV business for approximately $500.0 million, consisting of $375.0 million in cash, subject to certain purchase price adjustments, and the assumption by Lionsgate of production financing loans. The sale will include a team of talented employees, a content library of approximately 6,500 titles, active productions for certain non-Hasbro owned intellectual properties such as </w:t>
      </w:r>
      <w:r>
        <w:rPr>
          <w:rFonts w:ascii="Arial" w:cs="Arial" w:eastAsia="Arial" w:hAnsi="Arial"/>
          <w:sz w:val="17"/>
          <w:szCs w:val="17"/>
          <w:i w:val="1"/>
          <w:iCs w:val="1"/>
          <w:color w:val="auto"/>
        </w:rPr>
        <w:t>The Rookie</w:t>
      </w:r>
      <w:r>
        <w:rPr>
          <w:rFonts w:ascii="Arial" w:cs="Arial" w:eastAsia="Arial" w:hAnsi="Arial"/>
          <w:sz w:val="17"/>
          <w:szCs w:val="17"/>
          <w:color w:val="auto"/>
        </w:rPr>
        <w:t xml:space="preserve"> and </w:t>
      </w:r>
      <w:r>
        <w:rPr>
          <w:rFonts w:ascii="Arial" w:cs="Arial" w:eastAsia="Arial" w:hAnsi="Arial"/>
          <w:sz w:val="17"/>
          <w:szCs w:val="17"/>
          <w:i w:val="1"/>
          <w:iCs w:val="1"/>
          <w:color w:val="auto"/>
        </w:rPr>
        <w:t>Yellow Jackets</w:t>
      </w:r>
      <w:r>
        <w:rPr>
          <w:rFonts w:ascii="Arial" w:cs="Arial" w:eastAsia="Arial" w:hAnsi="Arial"/>
          <w:sz w:val="17"/>
          <w:szCs w:val="17"/>
          <w:color w:val="auto"/>
        </w:rPr>
        <w:t xml:space="preserve"> franchises, and the eOne unscripted television business, which will also include rights to produce certain Hasbro-based shows like </w:t>
      </w:r>
      <w:r>
        <w:rPr>
          <w:rFonts w:ascii="Arial" w:cs="Arial" w:eastAsia="Arial" w:hAnsi="Arial"/>
          <w:sz w:val="17"/>
          <w:szCs w:val="17"/>
          <w:i w:val="1"/>
          <w:iCs w:val="1"/>
          <w:color w:val="auto"/>
        </w:rPr>
        <w:t>Play-Doh Squished</w:t>
      </w:r>
      <w:r>
        <w:rPr>
          <w:rFonts w:ascii="Arial" w:cs="Arial" w:eastAsia="Arial" w:hAnsi="Arial"/>
          <w:sz w:val="17"/>
          <w:szCs w:val="17"/>
          <w:color w:val="auto"/>
        </w:rPr>
        <w:t>.</w:t>
      </w:r>
    </w:p>
    <w:p>
      <w:pPr>
        <w:spacing w:after="0" w:line="68" w:lineRule="exact"/>
        <w:rPr>
          <w:sz w:val="20"/>
          <w:szCs w:val="20"/>
          <w:color w:val="auto"/>
        </w:rPr>
      </w:pPr>
    </w:p>
    <w:p>
      <w:pPr>
        <w:ind w:left="340" w:right="120"/>
        <w:spacing w:after="0" w:line="342" w:lineRule="auto"/>
        <w:rPr>
          <w:sz w:val="20"/>
          <w:szCs w:val="20"/>
          <w:color w:val="auto"/>
        </w:rPr>
      </w:pPr>
      <w:r>
        <w:rPr>
          <w:rFonts w:ascii="Arial" w:cs="Arial" w:eastAsia="Arial" w:hAnsi="Arial"/>
          <w:sz w:val="16"/>
          <w:szCs w:val="16"/>
          <w:color w:val="auto"/>
        </w:rPr>
        <w:t>The pending transaction is subject to receipt of regulatory approvals and satisfaction of customary closing conditions and is expected to close before the end of fiscal 2023. The Company intends to use the net proceeds from the sale to retire floating rate debt and for other general corporate purposes.</w:t>
      </w:r>
    </w:p>
    <w:p>
      <w:pPr>
        <w:spacing w:after="0" w:line="16" w:lineRule="exact"/>
        <w:rPr>
          <w:sz w:val="20"/>
          <w:szCs w:val="20"/>
          <w:color w:val="auto"/>
        </w:rPr>
      </w:pPr>
    </w:p>
    <w:p>
      <w:pPr>
        <w:jc w:val="both"/>
        <w:ind w:left="340" w:right="220"/>
        <w:spacing w:after="0" w:line="263" w:lineRule="auto"/>
        <w:rPr>
          <w:sz w:val="20"/>
          <w:szCs w:val="20"/>
          <w:color w:val="auto"/>
        </w:rPr>
      </w:pPr>
      <w:r>
        <w:rPr>
          <w:rFonts w:ascii="Arial" w:cs="Arial" w:eastAsia="Arial" w:hAnsi="Arial"/>
          <w:sz w:val="18"/>
          <w:szCs w:val="18"/>
          <w:color w:val="auto"/>
        </w:rPr>
        <w:t>Following the transaction, Hasbro will maintain the capability to develop and produce entertainment including animation, digital shorts, scripted TV and theatrical films related to core Hasbro IP. The Family Brands business, including the brands PEPPA PIG and PJ MASKS, are not included in the sale transaction.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Film and TV Reporting Unit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second quarter of 2023, the Company determined that a triggering event occurred following a downward revision of the Company's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financial forecast for its Film and TV business, driven by challenging industry conditions that include the ongoing strike by the Writers Guild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America. As a result, the Company performed a quantitative impairment test and determined that the Film and TV reporting unit within the Company's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Entertainment segment, was impaired. During the second quarter of 2023, the Company recorded pre-tax non-cash impairment charges of $296.2</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million as the carrying value of the Film and TV reporting unit exceeded its estimated fair value, as determined using a discounted cash flow model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which is primarily based on management’s future revenue and cost estimates. These impairment charges consisted of a $231.2 million goodwill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impairment charge associated with goodwill assigned to the Company's Film and TV reporting unit, recorded within Impairment of Goodwill and a</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$65.0 million intangible asset impairment charge related to the Company's definite-lived intangible eOne Trademark, recorded in Selling, Distribution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Administration costs, within the Consolidated Statements of Operations for the quarter and six months ended July 2,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Hasbro Transformation Office</w:t>
      </w:r>
    </w:p>
    <w:p>
      <w:pPr>
        <w:spacing w:after="0" w:line="117" w:lineRule="exact"/>
        <w:rPr>
          <w:sz w:val="20"/>
          <w:szCs w:val="20"/>
          <w:color w:val="auto"/>
        </w:rPr>
      </w:pPr>
    </w:p>
    <w:p>
      <w:pPr>
        <w:ind w:left="340" w:right="200"/>
        <w:spacing w:after="0" w:line="275" w:lineRule="auto"/>
        <w:rPr>
          <w:sz w:val="20"/>
          <w:szCs w:val="20"/>
          <w:color w:val="auto"/>
        </w:rPr>
      </w:pPr>
      <w:r>
        <w:rPr>
          <w:rFonts w:ascii="Arial" w:cs="Arial" w:eastAsia="Arial" w:hAnsi="Arial"/>
          <w:sz w:val="17"/>
          <w:szCs w:val="17"/>
          <w:color w:val="auto"/>
        </w:rPr>
        <w:t>Under our new strategic plan, we launched the Hasbro Transformation Office (HTO), a team of leaders dedicated to running a disciplined, purpose-built company that is simpler, more efficient and redesigned to drive long-term sustainable growth in markets in which we compete. Our HTO aligns and delivers on our Operational Excellence program, an enterprise-wide cost-saving initiative intended to improve our business financially, operationally and culturally from our current state and designed to deliver $250 million to $300 million in run-rate cost savings by the end of 2025. During the first half of 2023, we realized an additional $84 million of cumulative gross cost savings.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Workforce Reduction</w:t>
      </w:r>
    </w:p>
    <w:p>
      <w:pPr>
        <w:spacing w:after="0" w:line="117" w:lineRule="exact"/>
        <w:rPr>
          <w:sz w:val="20"/>
          <w:szCs w:val="20"/>
          <w:color w:val="auto"/>
        </w:rPr>
      </w:pPr>
    </w:p>
    <w:p>
      <w:pPr>
        <w:ind w:left="340" w:right="20"/>
        <w:spacing w:after="0" w:line="263" w:lineRule="auto"/>
        <w:rPr>
          <w:sz w:val="20"/>
          <w:szCs w:val="20"/>
          <w:color w:val="auto"/>
        </w:rPr>
      </w:pPr>
      <w:r>
        <w:rPr>
          <w:rFonts w:ascii="Arial" w:cs="Arial" w:eastAsia="Arial" w:hAnsi="Arial"/>
          <w:sz w:val="18"/>
          <w:szCs w:val="18"/>
          <w:color w:val="auto"/>
        </w:rPr>
        <w:t>In alignment with the objectives of our Operational Excellence program as described in Note 1 of our consolidated financial statements, on January 26, 2023, we announced the undertaking of certain organizational changes which will result in the elimination of approximately 1,000 positions from our global workforce in 2023, or approximately 15% of global full-time employees.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Brand Portfolio Realignment</w:t>
      </w:r>
    </w:p>
    <w:p>
      <w:pPr>
        <w:spacing w:after="0" w:line="117"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Effective for the first quarter 2023, we realigned our brand portfolios to correspond with the evolution of our Blueprint 2.0 strategy. We are focusing on fewer, bigger, more profitable brands that showcase our leadership in preschool toys, action figures and accessories, games, arts &amp; crafts, and outdoor action brands.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new product categories are as follows:</w:t>
      </w:r>
    </w:p>
    <w:p>
      <w:pPr>
        <w:spacing w:after="0" w:line="117" w:lineRule="exact"/>
        <w:rPr>
          <w:sz w:val="20"/>
          <w:szCs w:val="20"/>
          <w:color w:val="auto"/>
        </w:rPr>
      </w:pPr>
    </w:p>
    <w:p>
      <w:pPr>
        <w:ind w:left="660" w:right="2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Franchise Brands</w:t>
      </w:r>
      <w:r>
        <w:rPr>
          <w:rFonts w:ascii="Arial" w:cs="Arial" w:eastAsia="Arial" w:hAnsi="Arial"/>
          <w:sz w:val="18"/>
          <w:szCs w:val="18"/>
          <w:color w:val="auto"/>
        </w:rPr>
        <w:t xml:space="preserve"> - A refreshed group of our most profitable brands that includes DUNGEONS &amp; DRAGONS, Hasbro Gaming, MAGIC: THE GATHERING, NERF, PEPPA PIG, PLAY-DOH, and TRANSFORMERS.</w:t>
      </w:r>
    </w:p>
    <w:p>
      <w:pPr>
        <w:spacing w:after="0" w:line="62"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Partner Brands</w:t>
      </w:r>
      <w:r>
        <w:rPr>
          <w:rFonts w:ascii="Arial" w:cs="Arial" w:eastAsia="Arial" w:hAnsi="Arial"/>
          <w:sz w:val="18"/>
          <w:szCs w:val="18"/>
          <w:color w:val="auto"/>
        </w:rPr>
        <w:t xml:space="preserve"> - The Partner Brands category includes those brands we license from other parties such as Disney's STAR WARS and MARVEL as well as other partners, for which we develop toy and game products, with a focus on those key Partner Brands that give us the largest growth potential and where we can lead and innovate in the category.</w:t>
      </w:r>
    </w:p>
    <w:p>
      <w:pPr>
        <w:spacing w:after="0" w:line="7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Portfolio Brands</w:t>
      </w:r>
      <w:r>
        <w:rPr>
          <w:rFonts w:ascii="Arial" w:cs="Arial" w:eastAsia="Arial" w:hAnsi="Arial"/>
          <w:sz w:val="18"/>
          <w:szCs w:val="18"/>
          <w:color w:val="auto"/>
        </w:rPr>
        <w:t xml:space="preserve"> - Our Portfolio Brands category includes those brands we own or control which we feel have upside in revenue and profitability that have not yet grown to the significance of a franchise brand.</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Non-Hasbro Branded Film &amp; TV</w:t>
      </w:r>
      <w:r>
        <w:rPr>
          <w:rFonts w:ascii="Arial" w:cs="Arial" w:eastAsia="Arial" w:hAnsi="Arial"/>
          <w:sz w:val="18"/>
          <w:szCs w:val="18"/>
          <w:color w:val="auto"/>
        </w:rPr>
        <w:t xml:space="preserve"> - The Non-Hasbro Branded Film &amp; TV category includes non-Hasbro-branded film, TV and other entertainment related revenues. All Hasbro-branded content is included in the portfolios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right="260"/>
        <w:spacing w:after="0" w:line="263" w:lineRule="auto"/>
        <w:rPr>
          <w:sz w:val="20"/>
          <w:szCs w:val="20"/>
          <w:color w:val="auto"/>
        </w:rPr>
      </w:pPr>
      <w:r>
        <w:rPr>
          <w:rFonts w:ascii="Arial" w:cs="Arial" w:eastAsia="Arial" w:hAnsi="Arial"/>
          <w:sz w:val="18"/>
          <w:szCs w:val="18"/>
          <w:color w:val="auto"/>
        </w:rPr>
        <w:t>During each of the periods presented in this Form 10-Q there were certain charges incurred which impacted operating segment results in the Company’s Consumer Products and Entertainment segments as well as Corporate and Other. These charges are discussed below in Results of Operations - Consolidated.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quarter 2023 highlights</w:t>
      </w:r>
      <w:r>
        <w:rPr>
          <w:rFonts w:ascii="Arial" w:cs="Arial" w:eastAsia="Arial" w:hAnsi="Arial"/>
          <w:sz w:val="18"/>
          <w:szCs w:val="18"/>
          <w:i w:val="1"/>
          <w:iCs w:val="1"/>
          <w:color w:val="auto"/>
        </w:rPr>
        <w:t>:</w:t>
      </w:r>
    </w:p>
    <w:p>
      <w:pPr>
        <w:spacing w:after="0" w:line="117" w:lineRule="exact"/>
        <w:rPr>
          <w:sz w:val="20"/>
          <w:szCs w:val="20"/>
          <w:color w:val="auto"/>
        </w:rPr>
      </w:pPr>
    </w:p>
    <w:p>
      <w:pPr>
        <w:ind w:left="500" w:right="260" w:hanging="492"/>
        <w:spacing w:after="0" w:line="342"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Second quarter net revenues of $1.2 billion decreased 10% compared to the second quarter of 2022 and included an unfavorable foreign currency translation of $3.5 million. Absent the unfavorable impact of foreign currency exchange, second quarter net revenues decreased 9%.</w:t>
      </w:r>
    </w:p>
    <w:p>
      <w:pPr>
        <w:spacing w:after="0" w:line="15" w:lineRule="exact"/>
        <w:rPr>
          <w:rFonts w:ascii="Arial" w:cs="Arial" w:eastAsia="Arial" w:hAnsi="Arial"/>
          <w:sz w:val="16"/>
          <w:szCs w:val="16"/>
          <w:color w:val="auto"/>
        </w:rPr>
      </w:pPr>
    </w:p>
    <w:p>
      <w:pPr>
        <w:ind w:left="1300" w:right="620" w:hanging="482"/>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Consumer Products segment net revenues declined 11% to $655.2 million; Wizards of the Coast and Digital Gaming segment net revenues declined 11% to $375.6 million; and Entertainment segment net revenues declined 3% to $179.2 million.</w:t>
      </w:r>
    </w:p>
    <w:p>
      <w:pPr>
        <w:spacing w:after="0" w:line="15" w:lineRule="exact"/>
        <w:rPr>
          <w:rFonts w:ascii="Arial" w:cs="Arial" w:eastAsia="Arial" w:hAnsi="Arial"/>
          <w:sz w:val="16"/>
          <w:szCs w:val="16"/>
          <w:color w:val="auto"/>
        </w:rPr>
      </w:pPr>
    </w:p>
    <w:p>
      <w:pPr>
        <w:ind w:left="1300" w:right="300" w:hanging="482"/>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Net revenues from Franchise Brands declined 5%; Partner Brands net revenues declined 21%; Portfolio Brands net revenues declined 21%; and Non-Hasbro Branded Film and TV net revenues declined 10%.</w:t>
      </w:r>
    </w:p>
    <w:p>
      <w:pPr>
        <w:spacing w:after="0" w:line="62"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losses were $188.6 million, or 15.6% of net revenue in the second quarter of 2023 compared to operating profit of $219.1 million, or 16.4% of net revenue, in the second quarter of 2022.</w:t>
      </w:r>
    </w:p>
    <w:p>
      <w:pPr>
        <w:spacing w:after="0" w:line="62" w:lineRule="exact"/>
        <w:rPr>
          <w:rFonts w:ascii="Arial" w:cs="Arial" w:eastAsia="Arial" w:hAnsi="Arial"/>
          <w:sz w:val="18"/>
          <w:szCs w:val="18"/>
          <w:color w:val="auto"/>
        </w:rPr>
      </w:pPr>
    </w:p>
    <w:p>
      <w:pPr>
        <w:ind w:left="1300" w:right="20" w:hanging="482"/>
        <w:spacing w:after="0" w:line="259"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Operating results in the Consumer Products segment increased greater than 100% to an operating profit of $11.4 million; Wizards of the Coast and Digital Gaming segment operating profit decreased 37% to $142.3 million; Entertainment segment operating results decreased greater than 100% to an operating loss of $324.2 million; and Corporate and Other operating losses increased 27% to an operating loss of $18.1 million.</w:t>
      </w:r>
    </w:p>
    <w:p>
      <w:pPr>
        <w:spacing w:after="0" w:line="78" w:lineRule="exact"/>
        <w:rPr>
          <w:rFonts w:ascii="Arial" w:cs="Arial" w:eastAsia="Arial" w:hAnsi="Arial"/>
          <w:sz w:val="18"/>
          <w:szCs w:val="18"/>
          <w:color w:val="auto"/>
        </w:rPr>
      </w:pPr>
    </w:p>
    <w:p>
      <w:pPr>
        <w:ind w:left="1300" w:right="400" w:hanging="482"/>
        <w:spacing w:after="0" w:line="259"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8"/>
          <w:szCs w:val="18"/>
          <w:color w:val="auto"/>
        </w:rPr>
        <w:t>Operating results in the second quarter of 2023 were negatively impacted by pre-tax non-cash impairment charges of $296.2 million ($279.9 million after tax) associated with the impairment review of the Company's Film and TV reporting unit, consisting of $231.2 million of goodwill impairment and $65.0 million ($48.7 million after tax) of intangible asset impairment related to the Company's definite-lived intangible eOne Trademark.</w:t>
      </w:r>
    </w:p>
    <w:p>
      <w:pPr>
        <w:spacing w:after="0" w:line="78" w:lineRule="exact"/>
        <w:rPr>
          <w:rFonts w:ascii="Arial" w:cs="Arial" w:eastAsia="Arial" w:hAnsi="Arial"/>
          <w:sz w:val="16"/>
          <w:szCs w:val="16"/>
          <w:color w:val="auto"/>
        </w:rPr>
      </w:pPr>
    </w:p>
    <w:p>
      <w:pPr>
        <w:ind w:left="1300" w:right="220" w:hanging="482"/>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Certain other charges impacting operating segment performance for the second quarter of 2023 and 2022, in the Company’s Consumer Products, Entertainment and Corporate and Other segments, are discussed below in Results of Operations - Consolidated.</w:t>
      </w:r>
    </w:p>
    <w:p>
      <w:pPr>
        <w:spacing w:after="0" w:line="15" w:lineRule="exact"/>
        <w:rPr>
          <w:rFonts w:ascii="Arial" w:cs="Arial" w:eastAsia="Arial" w:hAnsi="Arial"/>
          <w:sz w:val="16"/>
          <w:szCs w:val="16"/>
          <w:color w:val="auto"/>
        </w:rPr>
      </w:pPr>
    </w:p>
    <w:p>
      <w:pPr>
        <w:ind w:left="500" w:right="16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loss attributable to Hasbro, Inc. was $235.0 million, or $(1.69) per share, in the second quarter of 2023 compared to net earnings of $142.0 million, or $1.02 per diluted share, in the second quarter of 2022.</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First six months 2023 highlights</w:t>
      </w:r>
      <w:r>
        <w:rPr>
          <w:rFonts w:ascii="Arial" w:cs="Arial" w:eastAsia="Arial" w:hAnsi="Arial"/>
          <w:sz w:val="18"/>
          <w:szCs w:val="18"/>
          <w:i w:val="1"/>
          <w:iCs w:val="1"/>
          <w:color w:val="auto"/>
        </w:rPr>
        <w:t>:</w:t>
      </w:r>
    </w:p>
    <w:p>
      <w:pPr>
        <w:spacing w:after="0" w:line="117" w:lineRule="exact"/>
        <w:rPr>
          <w:sz w:val="20"/>
          <w:szCs w:val="20"/>
          <w:color w:val="auto"/>
        </w:rPr>
      </w:pPr>
    </w:p>
    <w:p>
      <w:pPr>
        <w:ind w:left="500" w:right="300" w:hanging="492"/>
        <w:spacing w:after="0" w:line="26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revenues decreased 12% to $2,211.0 million in first six months of 2023 compared to $2,502.3 million in the first six months of 2022. The decrease in net revenues included $19.3 million of unfavorable foreign currency translation. Absent the impact of foreign currency exchange, net revenues decreased 11%.</w:t>
      </w:r>
    </w:p>
    <w:p>
      <w:pPr>
        <w:spacing w:after="0" w:line="75" w:lineRule="exact"/>
        <w:rPr>
          <w:rFonts w:ascii="Arial" w:cs="Arial" w:eastAsia="Arial" w:hAnsi="Arial"/>
          <w:sz w:val="18"/>
          <w:szCs w:val="18"/>
          <w:color w:val="auto"/>
        </w:rPr>
      </w:pPr>
    </w:p>
    <w:p>
      <w:pPr>
        <w:ind w:left="1300" w:right="140" w:hanging="482"/>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Net revenues in the Consumer Products segment decreased 16% to $1,175.6 million; Wizards of the Coast and Digital Gaming segment net revenues decreased 2% to $670.8 million; and Entertainment segment net revenues decreased 12% to $364.6 million.</w:t>
      </w:r>
    </w:p>
    <w:p>
      <w:pPr>
        <w:spacing w:after="0" w:line="15" w:lineRule="exact"/>
        <w:rPr>
          <w:rFonts w:ascii="Arial" w:cs="Arial" w:eastAsia="Arial" w:hAnsi="Arial"/>
          <w:sz w:val="16"/>
          <w:szCs w:val="16"/>
          <w:color w:val="auto"/>
        </w:rPr>
      </w:pPr>
    </w:p>
    <w:p>
      <w:pPr>
        <w:ind w:left="1300" w:hanging="482"/>
        <w:spacing w:after="0" w:line="308"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Net revenues from Franchise Brands decreased 5%; Partner Brands net revenues decreased 28%; Portfolio Brands net revenues decreased 20%; and Non-Hasbro Branded Film and TV net revenues decreased 13% during the first six months of 2023.</w:t>
      </w:r>
    </w:p>
    <w:p>
      <w:pPr>
        <w:spacing w:after="0" w:line="38" w:lineRule="exact"/>
        <w:rPr>
          <w:rFonts w:ascii="Arial" w:cs="Arial" w:eastAsia="Arial" w:hAnsi="Arial"/>
          <w:sz w:val="17"/>
          <w:szCs w:val="17"/>
          <w:color w:val="auto"/>
        </w:rPr>
      </w:pPr>
    </w:p>
    <w:p>
      <w:pPr>
        <w:ind w:left="500" w:right="32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losses were $170.7 million, or 7.7% of net revenues, in the first six months of 2023 compared to operating profit of $339.1 million, or 13.6% of net revenues, in the first six months of 2022.</w:t>
      </w:r>
    </w:p>
    <w:p>
      <w:pPr>
        <w:spacing w:after="0" w:line="62" w:lineRule="exact"/>
        <w:rPr>
          <w:rFonts w:ascii="Arial" w:cs="Arial" w:eastAsia="Arial" w:hAnsi="Arial"/>
          <w:sz w:val="18"/>
          <w:szCs w:val="18"/>
          <w:color w:val="auto"/>
        </w:rPr>
      </w:pPr>
    </w:p>
    <w:p>
      <w:pPr>
        <w:ind w:left="1300" w:right="40" w:hanging="482"/>
        <w:spacing w:after="0" w:line="259"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Operating results in the Consumer Products segment decreased greater than 100% to an operating loss of $34.6 million; Wizards of the Coast and Digital Gaming segment operating profit decreased 34% to $219.1 million; Entertainment segment operating results decreased greater than 100% to an operating loss of $332.9 million; and Corporate and Other operating losses increased by 4% to an operating loss of $22.3 million.</w:t>
      </w:r>
    </w:p>
    <w:p>
      <w:pPr>
        <w:spacing w:after="0" w:line="78" w:lineRule="exact"/>
        <w:rPr>
          <w:rFonts w:ascii="Arial" w:cs="Arial" w:eastAsia="Arial" w:hAnsi="Arial"/>
          <w:sz w:val="18"/>
          <w:szCs w:val="18"/>
          <w:color w:val="auto"/>
        </w:rPr>
      </w:pPr>
    </w:p>
    <w:p>
      <w:pPr>
        <w:ind w:left="1300" w:right="240" w:hanging="482"/>
        <w:spacing w:after="0" w:line="259"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8"/>
          <w:szCs w:val="18"/>
          <w:color w:val="auto"/>
        </w:rPr>
        <w:t>Operating results in the first six months of 2023 were negatively impacted by pre-tax non-cash impairment charges of $296.2 million ($279.9 after tax) associated with the impairment review the Company's Film and TV reporting unit, consisting of $231.2 million of goodwill impairment and $65.0 million ($48.7 million after tax) of intangible asset impairment related to the Company's definite-lived intangible eOne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568960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4" w:name="page35"/>
    <w:bookmarkEnd w:id="34"/>
    <w:p>
      <w:pPr>
        <w:ind w:left="1300" w:right="240" w:hanging="482"/>
        <w:spacing w:after="0" w:line="308"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Certain other charges impacted operating segment performance for the first six months of 2023 and 2022, in the Company’s Consumer Products, Entertainment and Corporate and Other segments, which are discussed further below in Segment Results.</w:t>
      </w:r>
    </w:p>
    <w:p>
      <w:pPr>
        <w:spacing w:after="0" w:line="38" w:lineRule="exact"/>
        <w:rPr>
          <w:rFonts w:ascii="Arial" w:cs="Arial" w:eastAsia="Arial" w:hAnsi="Arial"/>
          <w:sz w:val="17"/>
          <w:szCs w:val="17"/>
          <w:color w:val="auto"/>
        </w:rPr>
      </w:pPr>
    </w:p>
    <w:p>
      <w:pPr>
        <w:ind w:left="500" w:right="84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net loss attributable to Hasbro, Inc. was $257.1 million, or $(1.85) per share, in the first six months of 2023 compared to net earnings attributable to Hasbro, Inc. of $203.2 million, or $1.46 per diluted share, in the first six months of 2022.</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FINANCIAL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results of operations is illustrated below for the quarters and six-month periods ended July 2, 2023 and June 26,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4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July 2, 2023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26, 2022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July 2,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26, 2022</w:t>
            </w: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2,502.3</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Operating (loss) profit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339.1</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before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Net (loss) earnings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noncontrolling interests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(loss) earnings attributable to Hasbro, Inc.</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203.2</w:t>
            </w: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CONSOLIDATED</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(loss) earnings and diluted (loss) earnings per share attributable to Hasbro, Inc. for the quarters and six-month periods ended July 2, 2023 and June 26, 2022 include certain charges as described below.</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2023</w:t>
      </w:r>
    </w:p>
    <w:p>
      <w:pPr>
        <w:spacing w:after="0" w:line="121" w:lineRule="exact"/>
        <w:rPr>
          <w:sz w:val="20"/>
          <w:szCs w:val="20"/>
          <w:color w:val="auto"/>
        </w:rPr>
      </w:pPr>
    </w:p>
    <w:p>
      <w:pPr>
        <w:ind w:left="660" w:right="660" w:hanging="328"/>
        <w:spacing w:after="0" w:line="30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6"/>
          <w:szCs w:val="16"/>
          <w:color w:val="auto"/>
        </w:rPr>
        <w:t>Net charges of $279.9 million or $2.01 per share for the quarter and six-month periods ended July 2, 2023, as a result of the Company's impairment review of its Film and TV reporting unit, consisting of a non-cash goodwill impairment charge of $231.2 million recorded in Impairment of Goodwill and intangible asset impairment charges of $48.7 million related to the Company's definite-lived intangible eOne Trademark, recorded within Selling, Distribution and Administration. These charges were recorded within the Entertainment segment.</w:t>
      </w:r>
    </w:p>
    <w:p>
      <w:pPr>
        <w:spacing w:after="0" w:line="49" w:lineRule="exact"/>
        <w:rPr>
          <w:rFonts w:ascii="Arial" w:cs="Arial" w:eastAsia="Arial" w:hAnsi="Arial"/>
          <w:sz w:val="14"/>
          <w:szCs w:val="14"/>
          <w:color w:val="auto"/>
        </w:rPr>
      </w:pPr>
    </w:p>
    <w:p>
      <w:pPr>
        <w:jc w:val="both"/>
        <w:ind w:left="660" w:right="20" w:hanging="328"/>
        <w:spacing w:after="0" w:line="31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Net charges of $14.3 million, or $0.10 per diluted share, and $27.6 million, or $0.20 per diluted share, for the quarter and six-month periods ended July 2, 2023, respectively, of intangible amortization costs related to certain intangible assets acquired in the eOne Acquisition. These expenses are allocated between the Consumer Products and Entertainment segments, to match the revenue generated from such intangible assets.</w:t>
      </w:r>
    </w:p>
    <w:p>
      <w:pPr>
        <w:spacing w:after="0" w:line="40" w:lineRule="exact"/>
        <w:rPr>
          <w:rFonts w:ascii="Arial" w:cs="Arial" w:eastAsia="Arial" w:hAnsi="Arial"/>
          <w:sz w:val="16"/>
          <w:szCs w:val="16"/>
          <w:color w:val="auto"/>
        </w:rPr>
      </w:pPr>
    </w:p>
    <w:p>
      <w:pPr>
        <w:ind w:left="660" w:right="14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charges of $8.0 million, or $0.06 per diluted share, and $16.1 million, or $0.12 per diluted share, for the quarter and six-month periods ended July 2, 2023, respectively, of Operational Excellence program related consultant and transformation office expenses included within Selling, Distribution and Administration within Corporate and Other.</w:t>
      </w:r>
    </w:p>
    <w:p>
      <w:pPr>
        <w:spacing w:after="0" w:line="75"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charges of $1.7 million, or $0.01 per diluted share for the six-month period ended July 2, 2023, associated with retention awards granted in connection with the eOne Acquisition. These expenses were incurred during the first quarter of 2023 and are included within Selling, Distribution and Administration within the 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b w:val="1"/>
          <w:bCs w:val="1"/>
          <w:u w:val="single" w:color="auto"/>
          <w:color w:val="auto"/>
        </w:rPr>
        <w:t>2022</w:t>
      </w:r>
    </w:p>
    <w:p>
      <w:pPr>
        <w:spacing w:after="0" w:line="121" w:lineRule="exact"/>
        <w:rPr>
          <w:sz w:val="20"/>
          <w:szCs w:val="20"/>
          <w:color w:val="auto"/>
        </w:rPr>
      </w:pPr>
    </w:p>
    <w:p>
      <w:pPr>
        <w:ind w:left="660" w:right="140" w:hanging="328"/>
        <w:spacing w:after="0" w:line="31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charges of $15.3 million, or $0.11 per diluted share and $31.2 million, or $0.22 per diluted share, of intangible amortization costs for the quarter and six-month periods ended June 26, 2022, respectively, related to certain intangible assets acquired in the eOne acquisition. These expenses are allocated between the Consumer Products and Entertainment segments, to match the revenue generated from such intangible assets.</w:t>
      </w:r>
    </w:p>
    <w:p>
      <w:pPr>
        <w:spacing w:after="0" w:line="40" w:lineRule="exact"/>
        <w:rPr>
          <w:rFonts w:ascii="Arial" w:cs="Arial" w:eastAsia="Arial" w:hAnsi="Arial"/>
          <w:sz w:val="16"/>
          <w:szCs w:val="16"/>
          <w:color w:val="auto"/>
        </w:rPr>
      </w:pPr>
    </w:p>
    <w:p>
      <w:pPr>
        <w:jc w:val="both"/>
        <w:ind w:left="660" w:right="8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charges of $3.3 million, $0.02 per diluted share and $5.6 million, or $0.04 per diluted share, for the quarter and six-month periods ended June 26, 2022, respectively, of expense associated with retention awards granted in connection with the eOne acquisition. These expenses are included within Selling, Distribution and Administration within Corporate and Other.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quarters ended July 2, 2023 and June 26, 2022 were each 13-week periods.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Consolidated net revenues for the second quarter of 2023 declined 10% to $1,210.0 million from $1,339.2 million for the second quarter of 2022 and included an unfavorable $3.5 million impact from foreign currency translation as a result of weakening currencies, primarily in the Company's Asia Pacific markets, partially offset by favorable currency translation in Latin American markets.</w:t>
      </w:r>
    </w:p>
    <w:p>
      <w:pPr>
        <w:spacing w:after="0" w:line="7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The operating loss for the second quarter of 2023 was $188.6 million, or 15.6% of net revenues, compared to operating profit of $219.1 million, or 16.4% of net revenues, for the second quarter of 2022. In addition to the charges described above, operating results in the second quarter of 2023 reflect lower revenue volumes, primarily within the Consumer Products segment and to a lesser extent, within the Wizards of the Coast and Digital Gaming segment, higher program amortization costs reflecting production asset impairment charges associated with </w:t>
      </w:r>
      <w:r>
        <w:rPr>
          <w:rFonts w:ascii="Arial" w:cs="Arial" w:eastAsia="Arial" w:hAnsi="Arial"/>
          <w:sz w:val="16"/>
          <w:szCs w:val="16"/>
          <w:i w:val="1"/>
          <w:iCs w:val="1"/>
          <w:color w:val="auto"/>
        </w:rPr>
        <w:t>Dungeons &amp; Dragons: Honor Among Thieves</w:t>
      </w:r>
      <w:r>
        <w:rPr>
          <w:rFonts w:ascii="Arial" w:cs="Arial" w:eastAsia="Arial" w:hAnsi="Arial"/>
          <w:sz w:val="16"/>
          <w:szCs w:val="16"/>
          <w:color w:val="auto"/>
        </w:rPr>
        <w:t xml:space="preserve">, and higher royalty expenses associated with the release of </w:t>
      </w:r>
      <w:r>
        <w:rPr>
          <w:rFonts w:ascii="Arial" w:cs="Arial" w:eastAsia="Arial" w:hAnsi="Arial"/>
          <w:sz w:val="16"/>
          <w:szCs w:val="16"/>
          <w:i w:val="1"/>
          <w:iCs w:val="1"/>
          <w:color w:val="auto"/>
        </w:rPr>
        <w:t>Lord of the Rings: Tales of Middle-earth.</w:t>
      </w:r>
      <w:r>
        <w:rPr>
          <w:rFonts w:ascii="Arial" w:cs="Arial" w:eastAsia="Arial" w:hAnsi="Arial"/>
          <w:sz w:val="16"/>
          <w:szCs w:val="16"/>
          <w:color w:val="auto"/>
        </w:rPr>
        <w:t xml:space="preserve"> These impacts to operating results were partially offset by lower administrative costs and higher net revenues from licensed consumer products during the second quarter of 2023.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product category for the quarters ended July 2, 2023 and June 26,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8"/>
              </w:rPr>
              <w:t>July 2, 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June 26, 2022</w:t>
            </w:r>
          </w:p>
        </w:tc>
        <w:tc>
          <w:tcPr>
            <w:tcW w:w="1740" w:type="dxa"/>
            <w:vAlign w:val="bottom"/>
            <w:gridSpan w:val="2"/>
          </w:tcPr>
          <w:p>
            <w:pPr>
              <w:jc w:val="right"/>
              <w:ind w:right="630"/>
              <w:spacing w:after="0" w:line="16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6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7"/>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219.4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Brands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324"/>
        </w:trPr>
        <w:tc>
          <w:tcPr>
            <w:tcW w:w="6280" w:type="dxa"/>
            <w:vAlign w:val="bottom"/>
          </w:tcPr>
          <w:p>
            <w:pPr>
              <w:ind w:left="20"/>
              <w:spacing w:after="0"/>
              <w:rPr>
                <w:sz w:val="20"/>
                <w:szCs w:val="20"/>
                <w:color w:val="auto"/>
              </w:rPr>
            </w:pPr>
            <w:r>
              <w:rPr>
                <w:rFonts w:ascii="Arial" w:cs="Arial" w:eastAsia="Arial" w:hAnsi="Arial"/>
                <w:sz w:val="18"/>
                <w:szCs w:val="18"/>
                <w:color w:val="auto"/>
              </w:rPr>
              <w:t>Non-Hasbro Branded Film &amp; TV</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5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FRANCHISE BRANDS: </w:t>
      </w:r>
      <w:r>
        <w:rPr>
          <w:rFonts w:ascii="Arial" w:cs="Arial" w:eastAsia="Arial" w:hAnsi="Arial"/>
          <w:sz w:val="18"/>
          <w:szCs w:val="18"/>
          <w:color w:val="auto"/>
        </w:rPr>
        <w:t>Net revenues in the Franchise Brands portfolio decreased 5% in the second quarter of 2023 compared to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2022. Drivers of the net revenue decrease include lower net revenues from MAGIC: THE GATHERING products due primarily to the timing of set releases during the second quarter of 2023 compared to the second quarter of 2022, lower net revenues NERF products and to a lesser extent, lower net revenues from PLAY-DOH products. These net revenue decreases were partially offset by higher net revenues from TRANSFORMERS products, supported by the June 2023 theatrical release of </w:t>
      </w:r>
      <w:r>
        <w:rPr>
          <w:rFonts w:ascii="Arial" w:cs="Arial" w:eastAsia="Arial" w:hAnsi="Arial"/>
          <w:sz w:val="18"/>
          <w:szCs w:val="18"/>
          <w:i w:val="1"/>
          <w:iCs w:val="1"/>
          <w:color w:val="auto"/>
        </w:rPr>
        <w:t>Transformers: Rise of the Beasts</w:t>
      </w:r>
      <w:r>
        <w:rPr>
          <w:rFonts w:ascii="Arial" w:cs="Arial" w:eastAsia="Arial" w:hAnsi="Arial"/>
          <w:sz w:val="18"/>
          <w:szCs w:val="18"/>
          <w:color w:val="auto"/>
        </w:rPr>
        <w:t xml:space="preserve"> as well as higher net revenues from DUNGEONS &amp; DRAGONS digital gaming products reflecting the addition of net revenues from D&amp;D Beyond, acquired during the second quarter of 2022, as well as from the release of </w:t>
      </w:r>
      <w:r>
        <w:rPr>
          <w:rFonts w:ascii="Arial" w:cs="Arial" w:eastAsia="Arial" w:hAnsi="Arial"/>
          <w:sz w:val="18"/>
          <w:szCs w:val="18"/>
          <w:i w:val="1"/>
          <w:iCs w:val="1"/>
          <w:color w:val="auto"/>
        </w:rPr>
        <w:t>Dungeons &amp;</w:t>
      </w:r>
      <w:r>
        <w:rPr>
          <w:rFonts w:ascii="Arial" w:cs="Arial" w:eastAsia="Arial" w:hAnsi="Arial"/>
          <w:sz w:val="18"/>
          <w:szCs w:val="18"/>
          <w:color w:val="auto"/>
        </w:rPr>
        <w:t xml:space="preserve"> </w:t>
      </w:r>
      <w:r>
        <w:rPr>
          <w:rFonts w:ascii="Arial" w:cs="Arial" w:eastAsia="Arial" w:hAnsi="Arial"/>
          <w:sz w:val="18"/>
          <w:szCs w:val="18"/>
          <w:i w:val="1"/>
          <w:iCs w:val="1"/>
          <w:color w:val="auto"/>
        </w:rPr>
        <w:t>Dragons: Honor Among Thieves</w:t>
      </w:r>
      <w:r>
        <w:rPr>
          <w:rFonts w:ascii="Arial" w:cs="Arial" w:eastAsia="Arial" w:hAnsi="Arial"/>
          <w:sz w:val="18"/>
          <w:szCs w:val="18"/>
          <w:color w:val="auto"/>
        </w:rPr>
        <w:t>.</w:t>
      </w:r>
    </w:p>
    <w:p>
      <w:pPr>
        <w:spacing w:after="0" w:line="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PARTNER BRANDS: </w:t>
      </w:r>
      <w:r>
        <w:rPr>
          <w:rFonts w:ascii="Arial" w:cs="Arial" w:eastAsia="Arial" w:hAnsi="Arial"/>
          <w:sz w:val="18"/>
          <w:szCs w:val="18"/>
          <w:color w:val="auto"/>
        </w:rPr>
        <w:t>Net revenues from the Partner Brands portfolio decreased 21% in the second quarter of 2023 compared to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Within the Partner Brands portfolio, there are a number of brands which are reliant on related entertainment, including television and movie releases. As such, net revenues from partner brands fluctuate depending on entertainment popularity, release dates and related product line offerings. Historically these entertainment-based brands experience higher revenues during years in which new content is released in theaters, for broadcast, and on streaming platforms.</w:t>
      </w:r>
    </w:p>
    <w:p>
      <w:pPr>
        <w:spacing w:after="0" w:line="8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During the second quarter of 2023, Partner Brands net revenue decreases were driven by lower sales of the Company's products for DISNEY FROZEN and DISNEY PRINCESS due to the expiration of the related license agreements in December 2022, lower net revenues from the Company's products for STAR WARS and MARVEL compared to the second quarter of 2022, which benefited from a robust slate of entertainment releases without comparable releases in the second quarter of 2023. These decreases were partially offset by net revenues from the introduction of the Company's products for INDIANA JONES supported by the June 2023 theatrical release of </w:t>
      </w:r>
      <w:r>
        <w:rPr>
          <w:rFonts w:ascii="Arial" w:cs="Arial" w:eastAsia="Arial" w:hAnsi="Arial"/>
          <w:sz w:val="17"/>
          <w:szCs w:val="17"/>
          <w:i w:val="1"/>
          <w:iCs w:val="1"/>
          <w:color w:val="auto"/>
        </w:rPr>
        <w:t>Indiana Jones and the Dial of Destiny.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ind w:right="80"/>
        <w:spacing w:after="0" w:line="259" w:lineRule="auto"/>
        <w:rPr>
          <w:sz w:val="20"/>
          <w:szCs w:val="20"/>
          <w:color w:val="auto"/>
        </w:rPr>
      </w:pPr>
      <w:r>
        <w:rPr>
          <w:rFonts w:ascii="Arial" w:cs="Arial" w:eastAsia="Arial" w:hAnsi="Arial"/>
          <w:sz w:val="18"/>
          <w:szCs w:val="18"/>
          <w:i w:val="1"/>
          <w:iCs w:val="1"/>
          <w:color w:val="auto"/>
        </w:rPr>
        <w:t xml:space="preserve">PORTFOLIO BRANDS: </w:t>
      </w:r>
      <w:r>
        <w:rPr>
          <w:rFonts w:ascii="Arial" w:cs="Arial" w:eastAsia="Arial" w:hAnsi="Arial"/>
          <w:sz w:val="18"/>
          <w:szCs w:val="18"/>
          <w:color w:val="auto"/>
        </w:rPr>
        <w:t>Portfolio Brands net revenues decreased 21% in the second quarter of 2023 compared to the second quarter of 2022. Lower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from FURREAL FRIENDS and PJ MASKS products and to a lesser extent, lower net revenues from MY LITTLE PONY products were partially offset by net revenue contributions from FURBY products following the Company's reintroduction of the brand and refreshed product line during the second quarter of 2023.</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NON-HASBRO BRANDED FILM &amp; TV</w:t>
      </w:r>
      <w:r>
        <w:rPr>
          <w:rFonts w:ascii="Arial" w:cs="Arial" w:eastAsia="Arial" w:hAnsi="Arial"/>
          <w:sz w:val="18"/>
          <w:szCs w:val="18"/>
          <w:color w:val="auto"/>
        </w:rPr>
        <w:t>: Net revenues from Non-Hasbro Branded Film &amp; TV decreased 10% in the second quarter of 2023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second quarter of 2022 driven by lower net revenues from unscripted programming, due to the timing of deliveries and lower broadcast licensing revenues reflecting the lower number of new deliveries during the second quarter of 2023 compared to 2022. These decreases were partially offset by higher net revenues from scripted programming deliveries, including </w:t>
      </w:r>
      <w:r>
        <w:rPr>
          <w:rFonts w:ascii="Arial" w:cs="Arial" w:eastAsia="Arial" w:hAnsi="Arial"/>
          <w:sz w:val="18"/>
          <w:szCs w:val="18"/>
          <w:i w:val="1"/>
          <w:iCs w:val="1"/>
          <w:color w:val="auto"/>
        </w:rPr>
        <w:t>A Gentleman in Moscow</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Recruit</w:t>
      </w:r>
      <w:r>
        <w:rPr>
          <w:rFonts w:ascii="Arial" w:cs="Arial" w:eastAsia="Arial" w:hAnsi="Arial"/>
          <w:sz w:val="18"/>
          <w:szCs w:val="18"/>
          <w:color w:val="auto"/>
        </w:rPr>
        <w:t xml:space="preserve"> season two, as well as higher net revenues from film deliveries during the second quarter of 2023</w:t>
      </w:r>
      <w:r>
        <w:rPr>
          <w:rFonts w:ascii="Arial" w:cs="Arial" w:eastAsia="Arial" w:hAnsi="Arial"/>
          <w:sz w:val="18"/>
          <w:szCs w:val="18"/>
          <w:i w:val="1"/>
          <w:iCs w:val="1"/>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six-month periods ended July 2, 2023 and June 26, 2022 were 27-week and 26-week periods, respectively.</w:t>
      </w:r>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first six months of 2023, consolidated net revenues decreased 12% compared to the first six months of 2022 and reflect an unfavorable variance of $19.3 million of foreign currency translation due to weaker currencies across the Company's European and Asia Pacific markets, partially offset by favorable currency translation in Latin American markets when compared to the first six months of 2022.</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Operating losses for the first six months of 2023 were $170.7 million, or 7.7% of net revenues, compared to an operating profit of $339.1 million, or 13.6% of net revenues, for the first six months of 2022. In addition to the charges to operating profit described above, the operating profit decrease was driven by lower revenue volumes and higher sales allowances and closeout sales to sell through inventory, higher program amortization costs due to production asset impairment charges of $25.0 million associated with </w:t>
      </w:r>
      <w:r>
        <w:rPr>
          <w:rFonts w:ascii="Arial" w:cs="Arial" w:eastAsia="Arial" w:hAnsi="Arial"/>
          <w:sz w:val="18"/>
          <w:szCs w:val="18"/>
          <w:i w:val="1"/>
          <w:iCs w:val="1"/>
          <w:color w:val="auto"/>
        </w:rPr>
        <w:t>Dungeons &amp; Dragons: Honor Among Thieves</w:t>
      </w:r>
      <w:r>
        <w:rPr>
          <w:rFonts w:ascii="Arial" w:cs="Arial" w:eastAsia="Arial" w:hAnsi="Arial"/>
          <w:sz w:val="18"/>
          <w:szCs w:val="18"/>
          <w:color w:val="auto"/>
        </w:rPr>
        <w:t>, higher marketing and sales expenses and higher advertising expenses associated with certain entertainment releases during the first six months of 2023. These negative impacts to operating profit were partially offset by lower product costs and lower royalty expense as result of the decline of Partner Brand sales, driven by the expiration of certain license agreements in December 2022.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brand and entertainment portfolio for the first six months of 2023 and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6"/>
              </w:rPr>
              <w:t>Six Months Ended</w:t>
            </w: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8"/>
              </w:rPr>
              <w:t>July 2, 2023</w:t>
            </w:r>
          </w:p>
        </w:tc>
        <w:tc>
          <w:tcPr>
            <w:tcW w:w="100" w:type="dxa"/>
            <w:vAlign w:val="bottom"/>
          </w:tcPr>
          <w:p>
            <w:pPr>
              <w:spacing w:after="0"/>
              <w:rPr>
                <w:sz w:val="14"/>
                <w:szCs w:val="14"/>
                <w:color w:val="auto"/>
              </w:rPr>
            </w:pPr>
          </w:p>
        </w:tc>
        <w:tc>
          <w:tcPr>
            <w:tcW w:w="16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June 26, 2022</w:t>
            </w:r>
          </w:p>
        </w:tc>
        <w:tc>
          <w:tcPr>
            <w:tcW w:w="1640" w:type="dxa"/>
            <w:vAlign w:val="bottom"/>
          </w:tcPr>
          <w:p>
            <w:pPr>
              <w:jc w:val="right"/>
              <w:ind w:right="630"/>
              <w:spacing w:after="0" w:line="16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64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7"/>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Brands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Non-Hasbro Branded Film &amp; TV</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2,502.3</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FRANCHISE BRANDS: </w:t>
      </w:r>
      <w:r>
        <w:rPr>
          <w:rFonts w:ascii="Arial" w:cs="Arial" w:eastAsia="Arial" w:hAnsi="Arial"/>
          <w:sz w:val="17"/>
          <w:szCs w:val="17"/>
          <w:color w:val="auto"/>
        </w:rPr>
        <w:t>Net revenues in the Franchise Brands portfolio decreased 5% in the first six months of 2023 compared to 2022. The net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decrease was primarily driven by lower net revenues from NERF products and to a lesser extent, lower net revenues from PLAY-DOH products and lower net revenues from MAGIC: THE GATHERING products, primarily due to the timing of set deliveries during the first six months of 2023 compared to the first six months of 2022, in addition to lower net revenues from certain other Hasbro Gaming brands products. These decreases were partially offset by higher net revenues from TRANSFORMERS and DUNGEONS &amp; DRAGONS products, supported by the June 2023 theatrical release of </w:t>
      </w:r>
      <w:r>
        <w:rPr>
          <w:rFonts w:ascii="Arial" w:cs="Arial" w:eastAsia="Arial" w:hAnsi="Arial"/>
          <w:sz w:val="17"/>
          <w:szCs w:val="17"/>
          <w:i w:val="1"/>
          <w:iCs w:val="1"/>
          <w:color w:val="auto"/>
        </w:rPr>
        <w:t>Transformers: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Rise of the Beasts </w:t>
      </w:r>
      <w:r>
        <w:rPr>
          <w:rFonts w:ascii="Arial" w:cs="Arial" w:eastAsia="Arial" w:hAnsi="Arial"/>
          <w:sz w:val="17"/>
          <w:szCs w:val="17"/>
          <w:color w:val="auto"/>
        </w:rPr>
        <w:t>and the March 2023 theatrical release of</w:t>
      </w:r>
      <w:r>
        <w:rPr>
          <w:rFonts w:ascii="Arial" w:cs="Arial" w:eastAsia="Arial" w:hAnsi="Arial"/>
          <w:sz w:val="17"/>
          <w:szCs w:val="17"/>
          <w:i w:val="1"/>
          <w:iCs w:val="1"/>
          <w:color w:val="auto"/>
        </w:rPr>
        <w:t xml:space="preserve"> Dungeons &amp; Dragons: Honor Among Thieves.</w:t>
      </w:r>
    </w:p>
    <w:p>
      <w:pPr>
        <w:spacing w:after="0" w:line="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PARTNER BRANDS: </w:t>
      </w:r>
      <w:r>
        <w:rPr>
          <w:rFonts w:ascii="Arial" w:cs="Arial" w:eastAsia="Arial" w:hAnsi="Arial"/>
          <w:sz w:val="16"/>
          <w:szCs w:val="16"/>
          <w:color w:val="auto"/>
        </w:rPr>
        <w:t>Net revenues from the Partner Brands portfolio decreased 28% during the first six months of 2023 compared to 2022. Partner Brands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 revenue decreases were primarily driven by lower sales of the Company's products for DISNEY FROZEN and DISNEY PRINCESS due to the expiration of the related license agreements in December 2022, lower net revenues from the Company's products for STAR WARS and MARVEL compared to the second quarter of 2022, which benefited from a robust slate of entertainment releases without comparable releases in the second quarter of 2023, and to a lesser extent, lower net revenues from BEYBLADE products. These decreases were partially offset by net revenues from the introduction of the Company's products for INDIANA JONES, supported by the June 2023 theatrical release of </w:t>
      </w:r>
      <w:r>
        <w:rPr>
          <w:rFonts w:ascii="Arial" w:cs="Arial" w:eastAsia="Arial" w:hAnsi="Arial"/>
          <w:sz w:val="16"/>
          <w:szCs w:val="16"/>
          <w:i w:val="1"/>
          <w:iCs w:val="1"/>
          <w:color w:val="auto"/>
        </w:rPr>
        <w:t>Indiana Jones and the Dial of Destiny.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ind w:right="20"/>
        <w:spacing w:after="0" w:line="257" w:lineRule="auto"/>
        <w:rPr>
          <w:sz w:val="20"/>
          <w:szCs w:val="20"/>
          <w:color w:val="auto"/>
        </w:rPr>
      </w:pPr>
      <w:r>
        <w:rPr>
          <w:rFonts w:ascii="Arial" w:cs="Arial" w:eastAsia="Arial" w:hAnsi="Arial"/>
          <w:sz w:val="18"/>
          <w:szCs w:val="18"/>
          <w:i w:val="1"/>
          <w:iCs w:val="1"/>
          <w:color w:val="auto"/>
        </w:rPr>
        <w:t xml:space="preserve">PORTFOLIO BRANDS: </w:t>
      </w:r>
      <w:r>
        <w:rPr>
          <w:rFonts w:ascii="Arial" w:cs="Arial" w:eastAsia="Arial" w:hAnsi="Arial"/>
          <w:sz w:val="18"/>
          <w:szCs w:val="18"/>
          <w:color w:val="auto"/>
        </w:rPr>
        <w:t>Portfolio Brands net revenues decreased 20% for the first six months of 2023 compared to the first six months of 2022.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declines during the first six months of 2023 were driven by lower sales of FURREAL FRIENDS and PJ MASKS products and to a lesser extent, lower sales of BABY ALIVE and MY LITTLE PONY products. These decreases were partially offset by higher net revenues from GI JOE products as well as net revenue contributions from FURBY products following the Company's reintroduction of the brand and refreshed product line during the second quarter of 2023.</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NON-HASBRO BRANDED FILM &amp; TV: </w:t>
      </w:r>
      <w:r>
        <w:rPr>
          <w:rFonts w:ascii="Arial" w:cs="Arial" w:eastAsia="Arial" w:hAnsi="Arial"/>
          <w:sz w:val="18"/>
          <w:szCs w:val="18"/>
          <w:color w:val="auto"/>
        </w:rPr>
        <w:t>Net revenues from the Non-Hasbro Branded Film &amp; TV portfolio decreased 13% for the first six months of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first six months of 2022. In the first six months of 2023, net revenue declines were driven by lower unscripted television deliveries due primarily to the timing of deliveries in 2023 compared to 2022 and lower net revenues from film production deliveries reflecting fewer new entertainment releases in 2023 compared to 2022. These decreases were partially offset by higher net revenues from scripted television programming deliveries during the first six months of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2023</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net external revenues and operating profit (loss) for the Company's principal segments for the quarters ended July 2,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26,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78"/>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40" w:type="dxa"/>
            <w:vAlign w:val="bottom"/>
            <w:gridSpan w:val="2"/>
          </w:tcPr>
          <w:p>
            <w:pPr>
              <w:jc w:val="right"/>
              <w:ind w:right="630"/>
              <w:spacing w:after="0" w:line="177" w:lineRule="exact"/>
              <w:rPr>
                <w:sz w:val="20"/>
                <w:szCs w:val="20"/>
                <w:color w:val="auto"/>
              </w:rPr>
            </w:pPr>
            <w:r>
              <w:rPr>
                <w:rFonts w:ascii="Arial" w:cs="Arial" w:eastAsia="Arial" w:hAnsi="Arial"/>
                <w:sz w:val="18"/>
                <w:szCs w:val="18"/>
                <w:b w:val="1"/>
                <w:bCs w:val="1"/>
                <w:color w:val="auto"/>
              </w:rPr>
              <w:t>%</w:t>
            </w:r>
          </w:p>
        </w:tc>
      </w:tr>
      <w:tr>
        <w:trPr>
          <w:trHeight w:val="234"/>
        </w:trPr>
        <w:tc>
          <w:tcPr>
            <w:tcW w:w="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July 2, 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June 26, 2022</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7"/>
              </w:rPr>
              <w:t>Net revenues</w:t>
            </w:r>
          </w:p>
        </w:tc>
        <w:tc>
          <w:tcPr>
            <w:tcW w:w="530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655.2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734.2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Wizards of the Coast and Digital Gaming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2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Entertainment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22"/>
        </w:trPr>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Arial" w:cs="Arial" w:eastAsia="Arial" w:hAnsi="Arial"/>
                <w:sz w:val="18"/>
                <w:szCs w:val="18"/>
                <w:color w:val="auto"/>
              </w:rPr>
              <w:t>Operating Profit (Loss)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37"/>
        </w:trPr>
        <w:tc>
          <w:tcPr>
            <w:tcW w:w="2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Wizards of the Coast and Digital Gaming</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36"/>
        </w:trPr>
        <w:tc>
          <w:tcPr>
            <w:tcW w:w="20" w:type="dxa"/>
            <w:vAlign w:val="bottom"/>
            <w:shd w:val="clear" w:color="auto" w:fill="CCEEFF"/>
          </w:tcPr>
          <w:p>
            <w:pPr>
              <w:spacing w:after="0"/>
              <w:rPr>
                <w:sz w:val="20"/>
                <w:szCs w:val="20"/>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30"/>
        </w:trPr>
        <w:tc>
          <w:tcPr>
            <w:tcW w:w="2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-27 %</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 Segment</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presents the Consumer Products segment net revenues by major geographic region for the quarters ended July 2, 2023 and June 26,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232"/>
        </w:trPr>
        <w:tc>
          <w:tcPr>
            <w:tcW w:w="8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July 2, 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26, 2022</w:t>
            </w:r>
          </w:p>
        </w:tc>
      </w:tr>
      <w:tr>
        <w:trPr>
          <w:trHeight w:val="22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Consumer Products segment net revenues declined 11% to $655.2 million for the second quarter of 2023 compared to $734.2 million for the second quarter of 2022 and included the impact of an unfavorable $1.1 million currency translation.</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Drivers of the net revenue decrease include lower sales of NERF and PLAY-DOH products, lower sales of the Company's products for DISNEY PRINCESS and DISNEY FROZEN, following the expiration of associated license agreements in December 2022, and to a lesser extent, lower sales of the Company's products for STAR WARS compared to the second quarter of 2022, which benefited from a variety of entertainment releases without a comparable slate in the second quarter of 2022. These net revenue decreases were partially offset by higher sales of TRANSFORMERS products supported by the theatrical release of </w:t>
      </w:r>
      <w:r>
        <w:rPr>
          <w:rFonts w:ascii="Arial" w:cs="Arial" w:eastAsia="Arial" w:hAnsi="Arial"/>
          <w:sz w:val="16"/>
          <w:szCs w:val="16"/>
          <w:i w:val="1"/>
          <w:iCs w:val="1"/>
          <w:color w:val="auto"/>
        </w:rPr>
        <w:t>Transformers: Rise of Beasts</w:t>
      </w:r>
      <w:r>
        <w:rPr>
          <w:rFonts w:ascii="Arial" w:cs="Arial" w:eastAsia="Arial" w:hAnsi="Arial"/>
          <w:sz w:val="16"/>
          <w:szCs w:val="16"/>
          <w:color w:val="auto"/>
        </w:rPr>
        <w:t xml:space="preserve"> in June 2023, sales of the Company's refreshed lineup of FURBY products subsequent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ind w:right="40"/>
        <w:spacing w:after="0" w:line="279" w:lineRule="auto"/>
        <w:rPr>
          <w:sz w:val="20"/>
          <w:szCs w:val="20"/>
          <w:color w:val="auto"/>
        </w:rPr>
      </w:pPr>
      <w:r>
        <w:rPr>
          <w:rFonts w:ascii="Arial" w:cs="Arial" w:eastAsia="Arial" w:hAnsi="Arial"/>
          <w:sz w:val="17"/>
          <w:szCs w:val="17"/>
          <w:color w:val="auto"/>
        </w:rPr>
        <w:t xml:space="preserve">to the reintroduction of the brand during the second quarter of 2023, sales of the Company's products for INDIANA JONES following the June 2023 theatrical release of </w:t>
      </w:r>
      <w:r>
        <w:rPr>
          <w:rFonts w:ascii="Arial" w:cs="Arial" w:eastAsia="Arial" w:hAnsi="Arial"/>
          <w:sz w:val="17"/>
          <w:szCs w:val="17"/>
          <w:i w:val="1"/>
          <w:iCs w:val="1"/>
          <w:color w:val="auto"/>
        </w:rPr>
        <w:t>Indiana Jones and the Dial of Destiny</w:t>
      </w:r>
      <w:r>
        <w:rPr>
          <w:rFonts w:ascii="Arial" w:cs="Arial" w:eastAsia="Arial" w:hAnsi="Arial"/>
          <w:sz w:val="17"/>
          <w:szCs w:val="17"/>
          <w:color w:val="auto"/>
        </w:rPr>
        <w:t xml:space="preserve"> and higher consumer products licensing revenues reflecting certain licensing agreements entered into during 2023. Overall segment net revenue declines were primarily attributable to North America and to a lesser extent, the Company's European markets, partially offset by higher net revenues from the Company's Latin American markets during the second quarter of 2023.</w:t>
      </w:r>
    </w:p>
    <w:p>
      <w:pPr>
        <w:spacing w:after="0" w:line="6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Consumer Products segment operating profit for the second quarter of 2023 was $11.4 million or 1.7% of segment net revenues, compared to segment operating losses of $6.5 million or 0.9% of segment net revenues, for the second quarter of 2022. The increase in operating profit in the second quarter of 2023 was driven by lower inventory costs and lower administrative expenses due to savings realized from the Company's Operational Excellence program, as well as lower advertising and promotion expense, lower royalty expenses and higher consumer products licensing revenue due to the mix of products sold during the second quarter of 2023 compared to the second quarter of 2022, where segment operating losses were driven by higher inventory obsolescence costs related to products in Russia and higher distribution costs as a result of global supply chain disruptions. These benefits to operating profit were partially offset by lower overall segment net revenues, including higher levels of closeout sales and sales allowances during the second quarter of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Wizards of the Coast and Digital Gaming Segment</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Wizards of the Coast and Digital Gaming segment net revenues by category for the quarters ended July 2, 2023 and June 26,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232"/>
        </w:trPr>
        <w:tc>
          <w:tcPr>
            <w:tcW w:w="8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July 2, 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26, 2022</w:t>
            </w:r>
          </w:p>
        </w:tc>
      </w:tr>
      <w:tr>
        <w:trPr>
          <w:trHeight w:val="22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Tabletop Gaming</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Digital and Licensed Gaming</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r>
      <w:tr>
        <w:trPr>
          <w:trHeight w:val="25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Wizards of the Coast and Digital Gaming segment net revenues declined 11% in the second quarter of 2023 to $375.6 million from $419.8 million in the second quarter of 2022. Foreign currency translation did not have a material impact on Wizards of the Coast and Digital Gaming segment net revenues during the second quarter of 2023.</w:t>
      </w:r>
    </w:p>
    <w:p>
      <w:pPr>
        <w:spacing w:after="0" w:line="7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The net revenue decrease in the Wizards of the Coast and Digital Gaming segment during the second quarter of 2023 was attributable to lower net revenues from Wizards of the Coast tabletop gaming products, most notably, MAGIC: THE GATHERING, driven by the timing of set releases compared to the second quarter of 2022, which included one additional set release during the quarter. These decreases were partially offset by higher digital gaming net revenues, primarily reflecting a full quarter of net revenues from D&amp;D Beyond in 2023, compared to a partial quarter in 2022 following the Company's May 2022 acquisition of the digital role-playing game toolset as well as higher net revenues from </w:t>
      </w:r>
      <w:r>
        <w:rPr>
          <w:rFonts w:ascii="Arial" w:cs="Arial" w:eastAsia="Arial" w:hAnsi="Arial"/>
          <w:sz w:val="16"/>
          <w:szCs w:val="16"/>
          <w:i w:val="1"/>
          <w:iCs w:val="1"/>
          <w:color w:val="auto"/>
        </w:rPr>
        <w:t>Magic: The Gathering Arena</w:t>
      </w:r>
      <w:r>
        <w:rPr>
          <w:rFonts w:ascii="Arial" w:cs="Arial" w:eastAsia="Arial" w:hAnsi="Arial"/>
          <w:sz w:val="16"/>
          <w:szCs w:val="16"/>
          <w:color w:val="auto"/>
        </w:rPr>
        <w:t>.</w:t>
      </w:r>
    </w:p>
    <w:p>
      <w:pPr>
        <w:spacing w:after="0" w:line="5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Wizards of the Coast and Digital Gaming segment operating profit was $142.3 million, or 37.9% of segment net revenues for the second quarter of 2023, compared to operating profit of $225.6 million, or 53.7% of segment net revenues, for the second quarter of 2022. The operating profit decrease during the second quarter of 2023 was driven by lower net revenues described above, higher royalty expenses associated with the </w:t>
      </w:r>
      <w:r>
        <w:rPr>
          <w:rFonts w:ascii="Arial" w:cs="Arial" w:eastAsia="Arial" w:hAnsi="Arial"/>
          <w:sz w:val="17"/>
          <w:szCs w:val="17"/>
          <w:i w:val="1"/>
          <w:iCs w:val="1"/>
          <w:color w:val="auto"/>
        </w:rPr>
        <w:t xml:space="preserve">Lord of the Rings: Tales of Middle-earth </w:t>
      </w:r>
      <w:r>
        <w:rPr>
          <w:rFonts w:ascii="Arial" w:cs="Arial" w:eastAsia="Arial" w:hAnsi="Arial"/>
          <w:sz w:val="17"/>
          <w:szCs w:val="17"/>
          <w:color w:val="auto"/>
        </w:rPr>
        <w:t>set released in June 2023 and higher administrative expenses including costs to acquire and retain talent, increased rent expense and higher</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expense associated with capitalized digital gaming initiatives within the segment.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Entertainment segment net revenues by category for the quarters ended July 2, 2023 and June 26,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229"/>
        </w:trPr>
        <w:tc>
          <w:tcPr>
            <w:tcW w:w="80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July 2, 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26, 2022</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3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Entertainment segment net revenues declined 3% to $179.2 million for the second quarter of 2023, compared to $185.2 million for the second quarter of 2022 and included the impact of an unfavorable $2.1 million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ind w:right="80"/>
        <w:spacing w:after="0" w:line="273" w:lineRule="auto"/>
        <w:rPr>
          <w:sz w:val="20"/>
          <w:szCs w:val="20"/>
          <w:color w:val="auto"/>
        </w:rPr>
      </w:pPr>
      <w:r>
        <w:rPr>
          <w:rFonts w:ascii="Arial" w:cs="Arial" w:eastAsia="Arial" w:hAnsi="Arial"/>
          <w:sz w:val="17"/>
          <w:szCs w:val="17"/>
          <w:color w:val="auto"/>
        </w:rPr>
        <w:t xml:space="preserve">The net revenue decrease during the second quarter of 2023 was primarily the result of the exit of certain non-core business during the fourth quarter of 2022, and to a lesser extent, lower unscripted television net revenues due to the timing of deliveries compared to the second quarter of 2022 and lower broadcast licensing revenues reflecting the lower number of new deliveries during the second quarter of 2023 compared to 2022. These decreases were partially offset by higher net revenues from scripted programming deliveries including </w:t>
      </w:r>
      <w:r>
        <w:rPr>
          <w:rFonts w:ascii="Arial" w:cs="Arial" w:eastAsia="Arial" w:hAnsi="Arial"/>
          <w:sz w:val="17"/>
          <w:szCs w:val="17"/>
          <w:i w:val="1"/>
          <w:iCs w:val="1"/>
          <w:color w:val="auto"/>
        </w:rPr>
        <w:t>A Gentleman in Moscow</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Recruit</w:t>
      </w:r>
      <w:r>
        <w:rPr>
          <w:rFonts w:ascii="Arial" w:cs="Arial" w:eastAsia="Arial" w:hAnsi="Arial"/>
          <w:sz w:val="17"/>
          <w:szCs w:val="17"/>
          <w:color w:val="auto"/>
        </w:rPr>
        <w:t xml:space="preserve"> season two, higher net revenues from film deliveries such as </w:t>
      </w:r>
      <w:r>
        <w:rPr>
          <w:rFonts w:ascii="Arial" w:cs="Arial" w:eastAsia="Arial" w:hAnsi="Arial"/>
          <w:sz w:val="17"/>
          <w:szCs w:val="17"/>
          <w:i w:val="1"/>
          <w:iCs w:val="1"/>
          <w:color w:val="auto"/>
        </w:rPr>
        <w:t>Dungeons &amp; Dragons: Honor Among Thieves</w:t>
      </w:r>
      <w:r>
        <w:rPr>
          <w:rFonts w:ascii="Arial" w:cs="Arial" w:eastAsia="Arial" w:hAnsi="Arial"/>
          <w:sz w:val="17"/>
          <w:szCs w:val="17"/>
          <w:color w:val="auto"/>
        </w:rPr>
        <w:t xml:space="preserve"> and higher net revenues from the Company's Family Brands business, due to the renewal of certain streaming content agreements during the second quarter of 2023.</w:t>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Entertainment segment operating losses were $324.2 million, or 180.9% of segment net revenues for the second quarter of 2023, compared to operating profit of $14.3 million, or 7.7% of segment net revenues for the second quarter of 2022.</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Entertainment segment operating results during the second quarter of 2023 was driven by a non-cash goodwill impairment charge of</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$231.2 million and intangible asset impairment charges of $65.0 million ($48.7 million after tax), associated with the impairment review of the Company's Film and TV reporting unit, as well as higher program amortization costs due to production asset impairment charges recorded during the second quarter of 2023 associated with </w:t>
      </w:r>
      <w:r>
        <w:rPr>
          <w:rFonts w:ascii="Arial" w:cs="Arial" w:eastAsia="Arial" w:hAnsi="Arial"/>
          <w:sz w:val="18"/>
          <w:szCs w:val="18"/>
          <w:i w:val="1"/>
          <w:iCs w:val="1"/>
          <w:color w:val="auto"/>
        </w:rPr>
        <w:t>Dungeons &amp; Dragons: Honor Among Thieves</w:t>
      </w:r>
      <w:r>
        <w:rPr>
          <w:rFonts w:ascii="Arial" w:cs="Arial" w:eastAsia="Arial" w:hAnsi="Arial"/>
          <w:sz w:val="18"/>
          <w:szCs w:val="18"/>
          <w:color w:val="auto"/>
        </w:rPr>
        <w:t>, and lower net revenues described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Corporate and Other operating losses were $18.1 million for the second quarter of 2023 compared to operating losses of $14.3 million for the second quarter of 2022. The operating loss increase the second quarter of 2023 was primarily the result of Operational Excellence program related consultant fees and transformation office expenses associated with Company's cost-savings initiatives described earlier, as well as higher royalty expense and higher marketing and sales expenses within the segment.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2023</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net revenues and operating profit (loss) for the Company's principal segments for each of the six-month periods ended July 2, 2023 and June 26, 2022.</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Six Months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6"/>
              </w:rPr>
              <w:t>July 2, 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June 26, 2022</w:t>
            </w:r>
          </w:p>
        </w:tc>
        <w:tc>
          <w:tcPr>
            <w:tcW w:w="1660" w:type="dxa"/>
            <w:vAlign w:val="bottom"/>
          </w:tcPr>
          <w:p>
            <w:pPr>
              <w:jc w:val="right"/>
              <w:ind w:right="650"/>
              <w:spacing w:after="0" w:line="17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6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6280" w:type="dxa"/>
            <w:vAlign w:val="bottom"/>
            <w:gridSpan w:val="4"/>
            <w:shd w:val="clear" w:color="auto" w:fill="CCEEFF"/>
          </w:tcPr>
          <w:p>
            <w:pPr>
              <w:ind w:left="20"/>
              <w:spacing w:after="0" w:line="182" w:lineRule="exact"/>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gridSpan w:val="4"/>
          </w:tcPr>
          <w:p>
            <w:pPr>
              <w:ind w:left="20"/>
              <w:spacing w:after="0"/>
              <w:rPr>
                <w:sz w:val="20"/>
                <w:szCs w:val="20"/>
                <w:color w:val="auto"/>
              </w:rPr>
            </w:pPr>
            <w:r>
              <w:rPr>
                <w:rFonts w:ascii="Arial" w:cs="Arial" w:eastAsia="Arial" w:hAnsi="Arial"/>
                <w:sz w:val="18"/>
                <w:szCs w:val="18"/>
                <w:color w:val="auto"/>
              </w:rPr>
              <w:t>Consumer Products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1,175.6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1,407.0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62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Wizards of the Coast and Digital Gaming</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6280" w:type="dxa"/>
            <w:vAlign w:val="bottom"/>
            <w:gridSpan w:val="4"/>
          </w:tcPr>
          <w:p>
            <w:pPr>
              <w:ind w:left="20"/>
              <w:spacing w:after="0"/>
              <w:rPr>
                <w:sz w:val="20"/>
                <w:szCs w:val="20"/>
                <w:color w:val="auto"/>
              </w:rPr>
            </w:pPr>
            <w:r>
              <w:rPr>
                <w:rFonts w:ascii="Arial" w:cs="Arial" w:eastAsia="Arial" w:hAnsi="Arial"/>
                <w:sz w:val="18"/>
                <w:szCs w:val="18"/>
                <w:color w:val="auto"/>
              </w:rPr>
              <w:t>Entertainment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28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Operating Profit (Loss)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30"/>
        </w:trPr>
        <w:tc>
          <w:tcPr>
            <w:tcW w:w="6280" w:type="dxa"/>
            <w:vAlign w:val="bottom"/>
            <w:gridSpan w:val="4"/>
          </w:tcPr>
          <w:p>
            <w:pPr>
              <w:ind w:left="20"/>
              <w:spacing w:after="0"/>
              <w:rPr>
                <w:sz w:val="20"/>
                <w:szCs w:val="20"/>
                <w:color w:val="auto"/>
              </w:rPr>
            </w:pPr>
            <w:r>
              <w:rPr>
                <w:rFonts w:ascii="Arial" w:cs="Arial" w:eastAsia="Arial" w:hAnsi="Arial"/>
                <w:sz w:val="18"/>
                <w:szCs w:val="18"/>
                <w:color w:val="auto"/>
              </w:rPr>
              <w:t>Wizards of the Coast and Digital Gaming</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62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Entertainment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30"/>
        </w:trPr>
        <w:tc>
          <w:tcPr>
            <w:tcW w:w="6280" w:type="dxa"/>
            <w:vAlign w:val="bottom"/>
            <w:gridSpan w:val="4"/>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 Segment</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the Consumer Products segment net revenues by major geographic region for the six-month periods ended July 2, 2023 and June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1"/>
        </w:trPr>
        <w:tc>
          <w:tcPr>
            <w:tcW w:w="8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80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July 2, 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26, 2022</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338.8</w:t>
            </w:r>
          </w:p>
        </w:tc>
      </w:tr>
      <w:tr>
        <w:trPr>
          <w:trHeight w:val="23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r>
      <w:tr>
        <w:trPr>
          <w:trHeight w:val="25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Consumer Products segment net revenues decreased 16% to $1,175.6 million for the first six months of 2023 compared to $1,407.0 million for the first six months of 2022 and included the impact of an unfavorable $9.3 million currency translation.</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Consumer Products net revenue declines during the first six months of 2023 were driven primarily by lower sales of the Company's Partner Brand products for DISNEY PRINCESS and DISNEY FROZEN, following the expiration of associated license agreements in December 2022, and lower sales of the Company's products for MARVEL and STAR WARS compared to the first six months of 2022, which benefited from a variety of entertainment releases without a comparable slate in the first six months of 2023. In addition, lower net revenues certain Franchise Brands products including NERF, and to a lesser extent, PLAY-DOH products as well as certain classic Hasbro Gaming products, contributed to the decrease. These decreases were partially offset by net revenue increases from TRANSFORMERS products, supported by the theatrical release of </w:t>
      </w:r>
      <w:r>
        <w:rPr>
          <w:rFonts w:ascii="Arial" w:cs="Arial" w:eastAsia="Arial" w:hAnsi="Arial"/>
          <w:sz w:val="17"/>
          <w:szCs w:val="17"/>
          <w:i w:val="1"/>
          <w:iCs w:val="1"/>
          <w:color w:val="auto"/>
        </w:rPr>
        <w:t>Transformers: Rise of Beasts</w:t>
      </w:r>
      <w:r>
        <w:rPr>
          <w:rFonts w:ascii="Arial" w:cs="Arial" w:eastAsia="Arial" w:hAnsi="Arial"/>
          <w:sz w:val="17"/>
          <w:szCs w:val="17"/>
          <w:color w:val="auto"/>
        </w:rPr>
        <w:t xml:space="preserve"> in June 2023, and to a lesser extent, net revenue increases from GI JOE and DUNGEONS &amp; DRAGONS products. In addition to these increases, sales of the Company's refreshed lineup of FURBY products following the reintroduction of the brand during the second quarter of 2023 and sales of the Company's products for INDIANA JONES following the June 2023 theatrical release of </w:t>
      </w:r>
      <w:r>
        <w:rPr>
          <w:rFonts w:ascii="Arial" w:cs="Arial" w:eastAsia="Arial" w:hAnsi="Arial"/>
          <w:sz w:val="17"/>
          <w:szCs w:val="17"/>
          <w:i w:val="1"/>
          <w:iCs w:val="1"/>
          <w:color w:val="auto"/>
        </w:rPr>
        <w:t>Indiana Jones and the Dial of Destiny,</w:t>
      </w:r>
      <w:r>
        <w:rPr>
          <w:rFonts w:ascii="Arial" w:cs="Arial" w:eastAsia="Arial" w:hAnsi="Arial"/>
          <w:sz w:val="17"/>
          <w:szCs w:val="17"/>
          <w:color w:val="auto"/>
        </w:rPr>
        <w:t xml:space="preserve"> and higher consumer products licensing revenues, reflecting certain licensing agreements entered during the first six months of 2023, contributed to segment net revenues. Overall, segment net revenue declines were primarily attributable to North America as and to a lesser extent, the Company's European markets, partially offset by higher net revenues from the Company's Latin American markets during the first six months of 2023.</w:t>
      </w:r>
    </w:p>
    <w:p>
      <w:pPr>
        <w:spacing w:after="0" w:line="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Consumer Products segment operating losses for the first six months of 2023 were $34.6 million or 2.9% of segment net revenues, compared to segment operating profit of $2.1 million or 0.1% of segment net revenues, for the first six months of 2022. The decrease in operating results in the first six months of 2023 was driven by lower sales volumes and higher sales allowances, primarily across North America and Europe, reflecting efforts to reduce retail inventory levels. These impacts to operating profit were partially offset by lower product costs associated with inventory management described above, lower royalty expenses as a result of the decline of Partner Brands sales during the first six months of 2023, due primarily to the expiration of certain licenses in December 2022, as well as lower advertising and promotion costs and lower administrative expenses reflecting savings realized from the Company's Operational Excellence program.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Wizards of the Coast and Digital Gaming Segment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Wizards of the Coast and Digital Gaming segment net revenues by category for the six-month periods ended July 2, 2023 and June 26,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32"/>
        </w:trPr>
        <w:tc>
          <w:tcPr>
            <w:tcW w:w="8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July 2, 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26, 2022</w:t>
            </w:r>
          </w:p>
        </w:tc>
      </w:tr>
      <w:tr>
        <w:trPr>
          <w:trHeight w:val="22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Tabletop Gaming</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Digital and Licensed Gaming</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r>
      <w:tr>
        <w:trPr>
          <w:trHeight w:val="25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Wizards of the Coast and Digital Gaming segment net revenues decreased 2% in the first six months of 2023 to $670.8 million from $682.6 million in the first six months of 2022 and included the impact of an unfavorable $3.5 million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1" w:name="page42"/>
    <w:bookmarkEnd w:id="41"/>
    <w:p>
      <w:pPr>
        <w:ind w:right="80"/>
        <w:spacing w:after="0" w:line="257" w:lineRule="auto"/>
        <w:rPr>
          <w:sz w:val="20"/>
          <w:szCs w:val="20"/>
          <w:color w:val="auto"/>
        </w:rPr>
      </w:pPr>
      <w:r>
        <w:rPr>
          <w:rFonts w:ascii="Arial" w:cs="Arial" w:eastAsia="Arial" w:hAnsi="Arial"/>
          <w:sz w:val="18"/>
          <w:szCs w:val="18"/>
          <w:color w:val="auto"/>
        </w:rPr>
        <w:t xml:space="preserve">The net revenue decrease in the Wizards of the Coast and Digital Gaming segment during the first six months of 2023 was driven primarily by lower net revenues from Wizards of the Coast tabletop gaming products, most notably, MAGIC: THE GATHERING, due to the timing of card set releases compared to the first six months of 2022. This net revenue decrease was partially offset by higher digital gaming net revenues from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xml:space="preserve"> and higher net revenues from D&amp;D Beyond, reflecting a full six months of net revenues in 2023 compared to 2022, when it was acquired by the Company during the second quarter.</w:t>
      </w:r>
    </w:p>
    <w:p>
      <w:pPr>
        <w:spacing w:after="0" w:line="16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Wizards of the Coast and Digital Gaming segment operating profit was $219.1 million, or 32.7% of segment net revenues for the first six months of 2023, compared to operating profit of $332.0 million, or 48.6% of segment net revenues for the first six months of 2022. The operating profit decrease during the first six months of 2023 was driven primarily by higher inventory costs, higher royalty expenses attributable the </w:t>
      </w:r>
      <w:r>
        <w:rPr>
          <w:rFonts w:ascii="Arial" w:cs="Arial" w:eastAsia="Arial" w:hAnsi="Arial"/>
          <w:sz w:val="17"/>
          <w:szCs w:val="17"/>
          <w:i w:val="1"/>
          <w:iCs w:val="1"/>
          <w:color w:val="auto"/>
        </w:rPr>
        <w:t>Lord of the Rings: Tales of Middle-earth</w:t>
      </w:r>
      <w:r>
        <w:rPr>
          <w:rFonts w:ascii="Arial" w:cs="Arial" w:eastAsia="Arial" w:hAnsi="Arial"/>
          <w:sz w:val="17"/>
          <w:szCs w:val="17"/>
          <w:color w:val="auto"/>
        </w:rPr>
        <w:t xml:space="preserve"> release, higher product development costs as we continue to invest in Wizards of the Coast and Digital Gaming initiatives, as well as higher administrative expenses including costs to attract and retain talent and higher marketing and sales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Segment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Entertainment segment net revenues by category for the six-month periods ended July 2, 2023 and June 26,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80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July 2, 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26, 2022</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Entertainment segment net revenues for the six months ended July 2, 2023 decreased 12% to $364.6 million from $412.7 million for the six months ended June 26, 2022, and included the impact of an unfavorable $6.4 million foreign currency translation.</w:t>
      </w:r>
    </w:p>
    <w:p>
      <w:pPr>
        <w:spacing w:after="0" w:line="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The segment net revenue decrease during the first six months of 2023 was driven by lower film deliveries, lower unscripted television content deliveries and lower net revenues from streaming content sales compared to the first six months of 2022. To a lesser extent, the exit of certain non-core business during the fourth quarter of 2022 contributed to segment net revenue declines during the first six months of 2023. These decreases were partially offset by higher net revenues from scripted programming deliveries that included </w:t>
      </w:r>
      <w:r>
        <w:rPr>
          <w:rFonts w:ascii="Arial" w:cs="Arial" w:eastAsia="Arial" w:hAnsi="Arial"/>
          <w:sz w:val="18"/>
          <w:szCs w:val="18"/>
          <w:i w:val="1"/>
          <w:iCs w:val="1"/>
          <w:color w:val="auto"/>
        </w:rPr>
        <w:t>A Gentleman in Moscow, The Rookie</w:t>
      </w:r>
      <w:r>
        <w:rPr>
          <w:rFonts w:ascii="Arial" w:cs="Arial" w:eastAsia="Arial" w:hAnsi="Arial"/>
          <w:sz w:val="18"/>
          <w:szCs w:val="18"/>
          <w:color w:val="auto"/>
        </w:rPr>
        <w:t xml:space="preserve"> season five </w:t>
      </w:r>
      <w:r>
        <w:rPr>
          <w:rFonts w:ascii="Arial" w:cs="Arial" w:eastAsia="Arial" w:hAnsi="Arial"/>
          <w:sz w:val="18"/>
          <w:szCs w:val="18"/>
          <w:i w:val="1"/>
          <w:iCs w:val="1"/>
          <w:color w:val="auto"/>
        </w:rPr>
        <w:t>and The Recruit</w:t>
      </w:r>
      <w:r>
        <w:rPr>
          <w:rFonts w:ascii="Arial" w:cs="Arial" w:eastAsia="Arial" w:hAnsi="Arial"/>
          <w:sz w:val="18"/>
          <w:szCs w:val="18"/>
          <w:color w:val="auto"/>
        </w:rPr>
        <w:t xml:space="preserve"> season two</w:t>
      </w:r>
      <w:r>
        <w:rPr>
          <w:rFonts w:ascii="Arial" w:cs="Arial" w:eastAsia="Arial" w:hAnsi="Arial"/>
          <w:sz w:val="18"/>
          <w:szCs w:val="18"/>
          <w:i w:val="1"/>
          <w:iCs w:val="1"/>
          <w:color w:val="auto"/>
        </w:rPr>
        <w:t>,</w:t>
      </w:r>
      <w:r>
        <w:rPr>
          <w:rFonts w:ascii="Arial" w:cs="Arial" w:eastAsia="Arial" w:hAnsi="Arial"/>
          <w:sz w:val="18"/>
          <w:szCs w:val="18"/>
          <w:color w:val="auto"/>
        </w:rPr>
        <w:t xml:space="preserve"> as well as higher net revenues from film deliveries, most notably </w:t>
      </w:r>
      <w:r>
        <w:rPr>
          <w:rFonts w:ascii="Arial" w:cs="Arial" w:eastAsia="Arial" w:hAnsi="Arial"/>
          <w:sz w:val="18"/>
          <w:szCs w:val="18"/>
          <w:i w:val="1"/>
          <w:iCs w:val="1"/>
          <w:color w:val="auto"/>
        </w:rPr>
        <w:t>Dungeons &amp; Dragons: Honor Among Thieves,</w:t>
      </w:r>
      <w:r>
        <w:rPr>
          <w:rFonts w:ascii="Arial" w:cs="Arial" w:eastAsia="Arial" w:hAnsi="Arial"/>
          <w:sz w:val="18"/>
          <w:szCs w:val="18"/>
          <w:color w:val="auto"/>
        </w:rPr>
        <w:t xml:space="preserve"> and higher net revenues from the Company's Family Brands business, due to the renewal of certain streaming content agreements during the first six months of 2023 related to programs featuring the Company's brands.</w:t>
      </w:r>
    </w:p>
    <w:p>
      <w:pPr>
        <w:spacing w:after="0" w:line="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Entertainment segment operating losses were $332.9 million, or 91.3% of net revenues, for the six months ended July 2, 2023, compared to operating profit of $26.5 million, or 6.4% of segment net revenues, for the six months ended June 26, 2022. The Entertainment segment operating loss during the first six months of 2023 was driven by a non-cash goodwill impairment charge of $231.2 million and intangible asset impairment charges of $65.0 million ($48.7 million after tax), associated with the impairment review of the Company's Film and TV reporting unit. In addition, Entertainment segment operating losses were attributable to higher program amortization costs due to production asset impairment charges recorded during the second quarter of 2023 associated with </w:t>
      </w:r>
      <w:r>
        <w:rPr>
          <w:rFonts w:ascii="Arial" w:cs="Arial" w:eastAsia="Arial" w:hAnsi="Arial"/>
          <w:sz w:val="16"/>
          <w:szCs w:val="16"/>
          <w:i w:val="1"/>
          <w:iCs w:val="1"/>
          <w:color w:val="auto"/>
        </w:rPr>
        <w:t>Dungeons &amp; Dragons: Honor Among Thieves,</w:t>
      </w:r>
      <w:r>
        <w:rPr>
          <w:rFonts w:ascii="Arial" w:cs="Arial" w:eastAsia="Arial" w:hAnsi="Arial"/>
          <w:sz w:val="16"/>
          <w:szCs w:val="16"/>
          <w:color w:val="auto"/>
        </w:rPr>
        <w:t xml:space="preserve"> as well as the mix of content delivered in the first six months of 2023 compared to the first six months of 2022, and higher advertising and promotional expenses. These increases were partially offset by cost savings associated with the exit of certain non-core business during the fourth quarter of 2022 and lower royalty expenses within the Company's film and TV business due to the mix of content delivered during the first six months of 2023, compared to the first six months of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losses in Corporate and Other for the first six months of 2023 were $22.3 million, compared to operating losses of $21.5 million for the first six months of 2022. The increase in operating losses during the first six months of 2023 was the result of expense associated with the Company's Operational Excellence program, most notably consultant fees as well as transformation office expenses associated with Company's cost-savings initiatives described above. These increases were partially offset by lower expense associated with retention awards granted in connection with the eOne Acquisition during the first six months of 2023 compared to the first six months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OPERATING COSTS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2023</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costs and expenses, stated as percentages of net revenues, are illustrated below for the quarters ended July 2, 2023 and June 26,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7820" w:type="dxa"/>
            <w:vAlign w:val="bottom"/>
          </w:tcPr>
          <w:p>
            <w:pPr>
              <w:spacing w:after="0"/>
              <w:rPr>
                <w:sz w:val="19"/>
                <w:szCs w:val="19"/>
                <w:color w:val="auto"/>
              </w:rPr>
            </w:pP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July 2, 2023</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June 26, 2022</w:t>
            </w:r>
          </w:p>
        </w:tc>
      </w:tr>
      <w:tr>
        <w:trPr>
          <w:trHeight w:val="23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30.7 %</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40" w:type="dxa"/>
            <w:vAlign w:val="bottom"/>
          </w:tcPr>
          <w:p>
            <w:pPr>
              <w:jc w:val="right"/>
              <w:spacing w:after="0"/>
              <w:rPr>
                <w:sz w:val="20"/>
                <w:szCs w:val="20"/>
                <w:color w:val="auto"/>
              </w:rPr>
            </w:pPr>
            <w:r>
              <w:rPr>
                <w:rFonts w:ascii="Arial" w:cs="Arial" w:eastAsia="Arial" w:hAnsi="Arial"/>
                <w:sz w:val="18"/>
                <w:szCs w:val="18"/>
                <w:color w:val="auto"/>
              </w:rPr>
              <w:t>11.1 %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40" w:type="dxa"/>
            <w:vAlign w:val="bottom"/>
          </w:tcPr>
          <w:p>
            <w:pPr>
              <w:jc w:val="right"/>
              <w:spacing w:after="0"/>
              <w:rPr>
                <w:sz w:val="20"/>
                <w:szCs w:val="20"/>
                <w:color w:val="auto"/>
              </w:rPr>
            </w:pPr>
            <w:r>
              <w:rPr>
                <w:rFonts w:ascii="Arial" w:cs="Arial" w:eastAsia="Arial" w:hAnsi="Arial"/>
                <w:sz w:val="18"/>
                <w:szCs w:val="18"/>
                <w:color w:val="auto"/>
              </w:rPr>
              <w:t>6.0 %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5.9 %</w:t>
            </w:r>
          </w:p>
        </w:tc>
      </w:tr>
      <w:tr>
        <w:trPr>
          <w:trHeight w:val="23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640" w:type="dxa"/>
            <w:vAlign w:val="bottom"/>
          </w:tcPr>
          <w:p>
            <w:pPr>
              <w:jc w:val="right"/>
              <w:spacing w:after="0"/>
              <w:rPr>
                <w:sz w:val="20"/>
                <w:szCs w:val="20"/>
                <w:color w:val="auto"/>
              </w:rPr>
            </w:pPr>
            <w:r>
              <w:rPr>
                <w:rFonts w:ascii="Arial" w:cs="Arial" w:eastAsia="Arial" w:hAnsi="Arial"/>
                <w:sz w:val="18"/>
                <w:szCs w:val="18"/>
                <w:color w:val="auto"/>
              </w:rPr>
              <w:t>1.9 %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24.4 %</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1640" w:type="dxa"/>
            <w:vAlign w:val="bottom"/>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 of sales for the second quarter of 2023 was $352.2 million, or 29.1% of net revenues, compared to $411.5 million, or 30.7% of net revenues, for the second quarter of 2022. The cost of sales decrease in dollars was driven primarily by lower sales volumes and cost savings realized from the exit of certain non-core business within the Entertainment segment as well as cost savings from the Company's Operational Excellence Program. These decreases were partially offset by the impact of higher closeout sales and higher sales allowances as well as higher inventory costs and higher expenses associated with digital gaming initiatives within the Wizards of the Coast and Digital Gaming segment during the second quarter of 2023 compared to the second quarter of 2022. As a percent of net revenues, the cost of sales decrease was primarily the result of the mix of net revenues during the second quarter of 2023 compared to the second quarter of 2022.</w:t>
      </w:r>
    </w:p>
    <w:p>
      <w:pPr>
        <w:spacing w:after="0" w:line="8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Program cost amortization increased to $134.4 million, or 11.1% of net revenues, for the second quarter of 2023 from $80.7 million, or 6.0% of net revenues, for the second quarter of 2022. Program costs are capitalized as incurred and amortized primarily using the individual-film-forecast method which matches costs to the related recognized revenue. The increase in dollars and as a percent of net revenues during the second quarter of 2023 was driven by production assets impairment charges of $25.0 million associated with </w:t>
      </w:r>
      <w:r>
        <w:rPr>
          <w:rFonts w:ascii="Arial" w:cs="Arial" w:eastAsia="Arial" w:hAnsi="Arial"/>
          <w:sz w:val="17"/>
          <w:szCs w:val="17"/>
          <w:i w:val="1"/>
          <w:iCs w:val="1"/>
          <w:color w:val="auto"/>
        </w:rPr>
        <w:t>Dungeons &amp; Dragons: Honor Among Thieves</w:t>
      </w:r>
      <w:r>
        <w:rPr>
          <w:rFonts w:ascii="Arial" w:cs="Arial" w:eastAsia="Arial" w:hAnsi="Arial"/>
          <w:sz w:val="17"/>
          <w:szCs w:val="17"/>
          <w:color w:val="auto"/>
        </w:rPr>
        <w:t>, as well as the volume and mix of entertainment content delivered during the second quarter of 2023, compared to the second quarter of 2022.</w:t>
      </w:r>
    </w:p>
    <w:p>
      <w:pPr>
        <w:spacing w:after="0" w:line="6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Royalty expense for the second quarter of 2023 decreased to $119.9 million, or 9.9% of net revenues, compared to $110.1 million, or 8.2% of net revenues, for the second quarter of 2022. Fluctuations in royalty expense are generally related to the volume of content releases and deliveries and entertainment-driven products sold. The increase in royalty expense in dollars and as a percent of net revenues during the second quarter of 2023 was driven by royalty rates associated with the release of the </w:t>
      </w:r>
      <w:r>
        <w:rPr>
          <w:rFonts w:ascii="Arial" w:cs="Arial" w:eastAsia="Arial" w:hAnsi="Arial"/>
          <w:sz w:val="17"/>
          <w:szCs w:val="17"/>
          <w:i w:val="1"/>
          <w:iCs w:val="1"/>
          <w:color w:val="auto"/>
        </w:rPr>
        <w:t>Lord of the Rings: Tales of Middle-earth</w:t>
      </w:r>
      <w:r>
        <w:rPr>
          <w:rFonts w:ascii="Arial" w:cs="Arial" w:eastAsia="Arial" w:hAnsi="Arial"/>
          <w:sz w:val="17"/>
          <w:szCs w:val="17"/>
          <w:color w:val="auto"/>
        </w:rPr>
        <w:t xml:space="preserve"> card set in June 2023, partially offset by lower sales of Partner Brands products in the second quarter of 2023, driven by the exit of certain license agreements in December 2022.</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Product development expense for the second quarter of 2023 was $72.4 million, or 6.0% of net revenues, compared to $79.2 million, or 5.9% of net revenues, for the second quarter of 2022. The decrease during the second quarter of 2023 was driven by lower costs, most notably within the Company's Consumer Products business, as a result of the focus on fewer, bigger, more profitable brands in alignment with the Company's consumer-centric Blueprint 2.0 strategy.</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Advertising expense for the second quarter of 2023 was $85.1 million, or 7.0% of net revenues, compared to $84.2 million, or 6.3% of net revenues, for the second quarter of 2022. Advertising spend is generally impacted by revenue mix and the number and type of entertainment releases delivered. The advertising expense increase during the second quarter of 2023 was driven by advertising costs within the Entertainment and Wizards of the Coast and Digital Gaming segments, in support of the theatrical release of </w:t>
      </w:r>
      <w:r>
        <w:rPr>
          <w:rFonts w:ascii="Arial" w:cs="Arial" w:eastAsia="Arial" w:hAnsi="Arial"/>
          <w:sz w:val="17"/>
          <w:szCs w:val="17"/>
          <w:i w:val="1"/>
          <w:iCs w:val="1"/>
          <w:color w:val="auto"/>
        </w:rPr>
        <w:t>Dungeons &amp; Dragons: Honor Among Thieves</w:t>
      </w:r>
      <w:r>
        <w:rPr>
          <w:rFonts w:ascii="Arial" w:cs="Arial" w:eastAsia="Arial" w:hAnsi="Arial"/>
          <w:sz w:val="17"/>
          <w:szCs w:val="17"/>
          <w:color w:val="auto"/>
        </w:rPr>
        <w:t xml:space="preserve"> and advertising costs associated with D&amp;D Beyond, acquired during the second quarter of 2022. These increases were partially offset by lower advertising expenses within the Consumer Products segment, primarily due to lower revenues and mix of sales during the second quarter of 2023.</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Amortization of intangible assets decreased to $22.8 million, or 1.9% of net revenues, for the second quarter of 2023, compared to $27.2 million, or 2.0% of net revenues, for the second quarter of 2022. The decrease in 2023 reflects lower expense due to the partial impairment of the Company's definite-lived Power Rangers intangible assets during the fourth quarter of 2022, as well as lower expense due to certain classic gaming properties becoming fully amortized during the first quarter of 2023.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43" w:name="page44"/>
    <w:bookmarkEnd w:id="43"/>
    <w:p>
      <w:pPr>
        <w:ind w:right="300"/>
        <w:spacing w:after="0" w:line="277" w:lineRule="auto"/>
        <w:rPr>
          <w:sz w:val="20"/>
          <w:szCs w:val="20"/>
          <w:color w:val="auto"/>
        </w:rPr>
      </w:pPr>
      <w:r>
        <w:rPr>
          <w:rFonts w:ascii="Arial" w:cs="Arial" w:eastAsia="Arial" w:hAnsi="Arial"/>
          <w:sz w:val="18"/>
          <w:szCs w:val="18"/>
          <w:color w:val="auto"/>
        </w:rPr>
        <w:t>decreases were partially offset by additional expense associated with assets acquired through the D&amp;D Beyond Acquisition during the second quarter of 2022.</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distribution and administration expenses increased to $380.6 million, or 31.5% of net revenues for the second quarter of 2023, from $327.2 million, or 24.4% of net revenues, for the second quarter of 2022. The increase in selling, distribution and administration expenses primarily reflects $65.0 million of intangible asset impairment charges related to the Company's definite-lived intangible eOne Trademark, associated with the impairment review of the Company's Film and TV reporting unit, as well as consultant and transformation office charges totaling $10.4 million associated with the Company's Operational Excellence program. In addition to these charges, higher marketing and sales costs within the Wizards of the Coast and Digital Gaming segment contributed to the increase. These increases were partially offset by lower compensation expense combined with lower costs for professional services compared to the second quarter of 2022.</w:t>
      </w:r>
    </w:p>
    <w:p>
      <w:pPr>
        <w:spacing w:after="0" w:line="8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Impairment of goodwill of $231.2 million, or 19.1% of net revenues for the second quarter of 2023 reflects non-cash goodwill impairment charges, recorded within the Entertainment segment, associated with the impairment review of the Company's Film and TV reporting unit.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2023</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Company's costs and expenses, stated as percentages of net revenues, are illustrated below for the six-month periods ended July 2, 2023 and June 26,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4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76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July 2, 2023</w:t>
            </w: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June 26, 2022</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20" w:type="dxa"/>
            <w:vAlign w:val="bottom"/>
          </w:tcPr>
          <w:p>
            <w:pPr>
              <w:jc w:val="right"/>
              <w:spacing w:after="0"/>
              <w:rPr>
                <w:sz w:val="20"/>
                <w:szCs w:val="20"/>
                <w:color w:val="auto"/>
              </w:rPr>
            </w:pPr>
            <w:r>
              <w:rPr>
                <w:rFonts w:ascii="Arial" w:cs="Arial" w:eastAsia="Arial" w:hAnsi="Arial"/>
                <w:sz w:val="18"/>
                <w:szCs w:val="18"/>
                <w:color w:val="auto"/>
              </w:rPr>
              <w:t>11.6 %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8.8 %</w:t>
            </w:r>
          </w:p>
        </w:tc>
      </w:tr>
      <w:tr>
        <w:trPr>
          <w:trHeight w:val="23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20" w:type="dxa"/>
            <w:vAlign w:val="bottom"/>
          </w:tcPr>
          <w:p>
            <w:pPr>
              <w:jc w:val="right"/>
              <w:spacing w:after="0"/>
              <w:rPr>
                <w:sz w:val="20"/>
                <w:szCs w:val="20"/>
                <w:color w:val="auto"/>
              </w:rPr>
            </w:pPr>
            <w:r>
              <w:rPr>
                <w:rFonts w:ascii="Arial" w:cs="Arial" w:eastAsia="Arial" w:hAnsi="Arial"/>
                <w:sz w:val="18"/>
                <w:szCs w:val="18"/>
                <w:color w:val="auto"/>
              </w:rPr>
              <w:t>7.0 %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620" w:type="dxa"/>
            <w:vAlign w:val="bottom"/>
          </w:tcPr>
          <w:p>
            <w:pPr>
              <w:jc w:val="right"/>
              <w:spacing w:after="0"/>
              <w:rPr>
                <w:sz w:val="20"/>
                <w:szCs w:val="20"/>
                <w:color w:val="auto"/>
              </w:rPr>
            </w:pPr>
            <w:r>
              <w:rPr>
                <w:rFonts w:ascii="Arial" w:cs="Arial" w:eastAsia="Arial" w:hAnsi="Arial"/>
                <w:sz w:val="18"/>
                <w:szCs w:val="18"/>
                <w:color w:val="auto"/>
              </w:rPr>
              <w:t>2.1 %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1620" w:type="dxa"/>
            <w:vAlign w:val="bottom"/>
          </w:tcPr>
          <w:p>
            <w:pPr>
              <w:jc w:val="right"/>
              <w:spacing w:after="0"/>
              <w:rPr>
                <w:sz w:val="20"/>
                <w:szCs w:val="20"/>
                <w:color w:val="auto"/>
              </w:rPr>
            </w:pPr>
            <w:r>
              <w:rPr>
                <w:rFonts w:ascii="Arial" w:cs="Arial" w:eastAsia="Arial" w:hAnsi="Arial"/>
                <w:sz w:val="18"/>
                <w:szCs w:val="18"/>
                <w:color w:val="auto"/>
              </w:rPr>
              <w:t>10.5 %</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Cost of sales for the six months ended July 2, 2023 decreased to $637.5 million, or 28.8% of net revenues, from $744.6 million, or 29.8% of net revenues for the six months ended June 26, 2022. The cost of sales decrease was driven primarily by lower sales volumes and cost savings realized from the Company's Operational Excellence Program, as well as the exit of certain non-core business, partially offset by the impact of higher closeout sales and higher sales allowances, as well as higher product input costs, primarily within the Wizards of the Coast and Digital Gaming Segment during the first six months of 2023 compared to the first six months of 2022. As a percent of net revenues, the cost of sales decrease was primarily the result of the mix of net revenues during the second quarter of 2023 compared to the second quarter of 2022.</w:t>
      </w:r>
    </w:p>
    <w:p>
      <w:pPr>
        <w:spacing w:after="0" w:line="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Program cost amortization increased in the first six months of 2023 to $256.9 million, or 11.6% of net revenues, from $219.2 million, or 8.8% of net revenues, in the first six months of 2022. The program cost amortization increase in dollars and as a percent of net revenues during the first six months of 2023, was driven by production asset impairment charges of $25.0 million associated with </w:t>
      </w:r>
      <w:r>
        <w:rPr>
          <w:rFonts w:ascii="Arial" w:cs="Arial" w:eastAsia="Arial" w:hAnsi="Arial"/>
          <w:sz w:val="17"/>
          <w:szCs w:val="17"/>
          <w:i w:val="1"/>
          <w:iCs w:val="1"/>
          <w:color w:val="auto"/>
        </w:rPr>
        <w:t>Dungeons &amp; Dragons: Honor Among Thieves</w:t>
      </w:r>
      <w:r>
        <w:rPr>
          <w:rFonts w:ascii="Arial" w:cs="Arial" w:eastAsia="Arial" w:hAnsi="Arial"/>
          <w:sz w:val="17"/>
          <w:szCs w:val="17"/>
          <w:color w:val="auto"/>
        </w:rPr>
        <w:t>, as well as the volume and mix of entertainment content delivered during the first six months of 2023 compared to the first six months of 2022.</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Royalty expense for the six months ended July 2, 2023 was $188.9 million, or 8.5% of net revenues, compared to $200.2 million, or 8.0% of net revenues, for the six months ended June 26, 2022. The decrease in royalty expense during the first six months of 2023 reflects lower sales of Partner Brands products and the exit of certain license agreements in December 2022, partially offset by royalty expense associated with the </w:t>
      </w:r>
      <w:r>
        <w:rPr>
          <w:rFonts w:ascii="Arial" w:cs="Arial" w:eastAsia="Arial" w:hAnsi="Arial"/>
          <w:sz w:val="18"/>
          <w:szCs w:val="18"/>
          <w:i w:val="1"/>
          <w:iCs w:val="1"/>
          <w:color w:val="auto"/>
        </w:rPr>
        <w:t xml:space="preserve">Lord of the Rings: Tales of Middle-earth </w:t>
      </w:r>
      <w:r>
        <w:rPr>
          <w:rFonts w:ascii="Arial" w:cs="Arial" w:eastAsia="Arial" w:hAnsi="Arial"/>
          <w:sz w:val="18"/>
          <w:szCs w:val="18"/>
          <w:color w:val="auto"/>
        </w:rPr>
        <w:t>card set released in June 2023.</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Product development expense for the six months ended July 2, 2023 was $155.7 million, or 7.0% of net revenues, compared to $148.8 million, or 5.9% of net revenues, for the six months ended June 26, 2022. The increase in product development expense in the first six months of 2023 was driven by higher investments and costs to support the Company's Wizards of the Coast tabletop and digital gaming initiatives, partially offset by lower personnel costs with the Consumer Products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ind w:right="220"/>
        <w:spacing w:after="0" w:line="255" w:lineRule="auto"/>
        <w:rPr>
          <w:sz w:val="20"/>
          <w:szCs w:val="20"/>
          <w:color w:val="auto"/>
        </w:rPr>
      </w:pPr>
      <w:r>
        <w:rPr>
          <w:rFonts w:ascii="Arial" w:cs="Arial" w:eastAsia="Arial" w:hAnsi="Arial"/>
          <w:sz w:val="18"/>
          <w:szCs w:val="18"/>
          <w:color w:val="auto"/>
        </w:rPr>
        <w:t xml:space="preserve">Advertising expense for the six months ended July 2, 2023 was $167.9 million, or 7.6% of net revenues, compared to $161.8 million, or 6.5% of net revenues, for the six months ended June 26, 2022. The advertising expense increase during the first six months of 2023 was driven by higher expense within the Entertainment and Wizards of the Coast and Digital Gaming segments, in support of the theatrical release of </w:t>
      </w:r>
      <w:r>
        <w:rPr>
          <w:rFonts w:ascii="Arial" w:cs="Arial" w:eastAsia="Arial" w:hAnsi="Arial"/>
          <w:sz w:val="18"/>
          <w:szCs w:val="18"/>
          <w:i w:val="1"/>
          <w:iCs w:val="1"/>
          <w:color w:val="auto"/>
        </w:rPr>
        <w:t>Dungeons &amp; Dragons: Honor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Among Thieves </w:t>
      </w:r>
      <w:r>
        <w:rPr>
          <w:rFonts w:ascii="Arial" w:cs="Arial" w:eastAsia="Arial" w:hAnsi="Arial"/>
          <w:sz w:val="18"/>
          <w:szCs w:val="18"/>
          <w:color w:val="auto"/>
        </w:rPr>
        <w:t>and advertising costs associated with D&amp;D Beyond, acquired during the second quarter of 2022. These increases were partially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lower expense within the Consumer Products segment, due to the mix product sales and timing of advertising expenditures during the first six months of 2023.</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Amortization of intangible assets was $45.9 million, or 2.1% of net revenues, for the six months ended July 2, 2023 compared to $54.3 million, or 2.2% of net revenues, in the first six months of 2022. The decrease in 2023 reflects lower expense due to the partial impairment of the Company's definite-lived Power Rangers intangible assets during the fourth quarter of 2022 as well as lower expense due to certain classic gaming properties becoming fully amortized during the first quarter of 2023. These decreases were partially offset by additional expense associated with assets acquired through the D&amp;D Beyond Acquisition during the second quarter of 2022.</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Selling, distribution and administration expenses were $697.7 million, or 31.6% of net revenues for the six months ended July 2, 2023, compared to $634.3 million, or 25.3% of net revenues, for the six months ended June 26, 2022. The increase in selling, distribution and administration expenses primarily reflects $65.0 million of intangible asset impairment charges related to the Company's definite-lived intangible eOne Trademark, associated with the impairment review of the Company's Film and TV reporting unit, as well as consultant and transformation office charges totaling $21.0 million associated with the Company's Operational Excellence program. These increases were partially offset by lower compensation expense associated with workforce reductions combined with lower shipping costs compared to the first six months of 2022 where costs were higher due to global supply chain disruptions.</w:t>
      </w:r>
    </w:p>
    <w:p>
      <w:pPr>
        <w:spacing w:after="0" w:line="5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Impairment of goodwill of $231.2 million, or 10.5% of net revenues for the first six months of 2023 reflects non-cash goodwill impairment charges recorded during the second quarter, within the Entertainment segment, associated with the impairment review of the Company's Film and TV reporting unit.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EXPENSE (INCOME)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second quarter and first six months of 2023 totaled $46.6 million and $92.9 million, respectively, compared to $41.7 million and</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$83.3 million in the second quarter and first six months of 2022, respectively. The increase in interest expense for the second quarter and first six months of 2023 primarily reflects higher interest expense related to the Company's variable term loan facilities, due to higher interest rates in 2023 compared to 2022, and to a lesser extent, higher interest expense related to borrowings from the Company's production financing credit facilities.</w:t>
      </w:r>
    </w:p>
    <w:p>
      <w:pPr>
        <w:spacing w:after="0" w:line="6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Interest income was $5.8 million and $11.8 million for the second quarter and first six months of 2023, respectively, compared to $2.7 million and $4.8 million in the second quarter and first six months of 2022, respectively. Higher interest income in 2023 primarily reflects higher average interest rates in 2023 compared to 2022.</w:t>
      </w:r>
    </w:p>
    <w:p>
      <w:pPr>
        <w:spacing w:after="0" w:line="7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Other income, net was $1.5 million and $2.9 million for the second quarter and first six months of 2023, respectively, compared to other expense, net of $0.2 million and $0.5 million in the second quarter and first six months of 2022, respectively. The increase in other income during 2023 was driven primarily by the revaluation of certain contingent consideration liability balances and higher earnings from the Company's joint venture with Discovery during the first six months of 2023 compared to the first six months 2022. These increases were partially offset by the impairment of an office building lease within the Entertainment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Income tax expense totaled $7.0 million on pre-tax loss of $227.9 million in the second quarter of 2023 compared to income tax expense of $39.4 million on pre-tax income of $179.9 million in the second quarter of 2022. For the six-month period, income tax expense totaled $7.7 million on pre-tax loss of $248.9 million compared to an income tax expense of $56.7 million on pre-tax income of $260.1 million in 2022. Both periods were impacted by discrete tax events including the accrual of potential interest and penalties on uncertain tax positions. The second quarter and six-month periods of 2023 include an impairment of goodwill related to our Film and TV reporting unit in the amount of $231.2 million with no tax benefit. During the first six months of 2023, exclusive of the goodwill impairment, favorable discrete tax adjustments recorded by the Company were a net benefit of $8.9 million compared to a net benefit of $3.2 million in the first six months of 2022. The favorable discrete tax adjustments for the first six months of 2023 are primarily associated with a tax benefit on the impairment of trade names in the Entertainment segment, offset by stock-based compensation and net activity related to uncertain tax positions, primarily interest accruals. The favorable discrete tax adjustments for the first six months of 2022 were primarily associated with the release of certain valuation allowances in the first quarter of 2022. Absent discrete items, the tax rates for the first six months of 2023 and 2022 were 35.3% and 23.0% respectively. The increase in the base rate of 35.3% for the first six months of 2023 is primarily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due to the mix of jurisdictions where the Company earned its profits combined with the phasing of the Company's income earned throughout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Seasonality and Shipments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Within the retail sector, the Company’s revenue pattern from toys and games and licensed consumer products continues to indicate the second half of the year to be more significant to its overall business for the full year. The Company expects that this concentration will continue. The concentration of sales in the second half of the year increases the risk of (a) underproduction of popular items, (b) overproduction of less popular items, and (c) failure to achieve tight and compressed shipping schedules.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Quick response inventory management practices being used by retailers, along with growth in ecommerce result in the increasing trend of order placement for immediate delivery and fewer orders being placed well in advance of shipment. Retailers prefer timing their orders for fulfillment by suppliers closer to the time of purchase by consumers. To the extent that retailers do not sell as much of their year-end inventory purchases during the holiday selling season as they anticipate, their demand for additional product earlier in the following fiscal year could be curtailed, thus negatively impacting the Company’s future revenues. In 2022, the Company's inventory levels and retailer order patterns reflected the impact of global consumer demand as it began to outpace the capacity of the global supply chain infrastructure. Supply chain constraints, including overcrowding of cargo ports and shipping container and truck transportation shortages led to higher costs for ocean, air and over the road freight and delays in the availability of products, due to extended inventory transit times. These and other disruptions continued to some extent into the second half of 2022. In response to these disruptions, the Company accelerated certain inventory purchases during the first half of 2022, to ensure sufficient finished goods and raw material availability ahead of expected periods of high consumer demand. However, during the second half of 2022, the effects of supply chain disruptions began to subside, most notably the U.S, and Europe, leading to higher inventory levels heading into fiscal 2023, as compared to prior years. The Company has continued to closely manage its inventory levels through closeout sales and by monitoring consumer purchase patterns, resulting in lower inventory balances as of the second quarter of 2023, compared to the second quarter of 2022, while ensuring adequate supply of new product despite clearing excess supply to mitigate the risk of inventory obsolescence.</w:t>
      </w:r>
    </w:p>
    <w:p>
      <w:pPr>
        <w:spacing w:after="0" w:line="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Unlike the Company's retail sales patterns, revenue patterns from the Company's entertainment businesses fluctuate based on the timing and popularity of television, film, streaming and digital content releases. Release dates are determined by factors including the timing of holiday periods, geographical release dates and competition in the market.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Russian Sanctions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of the military conflict in Ukraine, which has led to sanctions and other penalties being levied by the United States, European Union and other countries against Russia, the Company paused all shipments and new content distribution into Russia. The impact to the Company’s operating results includes a loss of both revenue and operating profit, neither of which are material to our total revenue or operating profit. As of December 25, 2022, the Company had exhausted all locally held inventories, recovered all receivables and released all reserves in Russia. Any longstanding disruptions may magnify the impact of other risks described in this Quarterly Report on Form 10-Q and in the Company's Annual Report on Form 10-K for the year ended December 25, 2022.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 Updates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July 2, 2023, there were no recently adopted accounting standards that had a material effect on the Company’s financial statements. The Company's significant accounting policies are summarized in note 1 to the consolidated financial statements included in the Company's Annual Report on Form 10-K for the year ended December 25,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July 2, 2023, there were no recently issued accounting pronouncements that are expected to have a material impact on the Company's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historically generated a significant amount of cash from operations. In the first six months of 2023 and 2022, the Company primarily funded its operations and liquidity needs through cash on hand and from cash flows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46" w:name="page47"/>
    <w:bookmarkEnd w:id="46"/>
    <w:p>
      <w:pPr>
        <w:ind w:right="140"/>
        <w:spacing w:after="0" w:line="257" w:lineRule="auto"/>
        <w:rPr>
          <w:sz w:val="20"/>
          <w:szCs w:val="20"/>
          <w:color w:val="auto"/>
        </w:rPr>
      </w:pPr>
      <w:r>
        <w:rPr>
          <w:rFonts w:ascii="Arial" w:cs="Arial" w:eastAsia="Arial" w:hAnsi="Arial"/>
          <w:sz w:val="18"/>
          <w:szCs w:val="18"/>
          <w:color w:val="auto"/>
        </w:rPr>
        <w:t xml:space="preserve">and when needed, borrowings under its commercial paper program and available lines of credit. In addition, the Company’s Entertainment operating segment used production financing to fund certain of its television and film productions which are typically arranged on an individual production basis by using either the Company's revolving film and television production credit facility or through special purpose production subsidiaries. For more information on the Company's production financing facilities, including expected future repayments, see note 7 to the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Form 10-Q.</w:t>
      </w:r>
    </w:p>
    <w:p>
      <w:pPr>
        <w:spacing w:after="0" w:line="8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During the remainder of 2023, the Company expects to continue to fund its working capital needs primarily through available cash, cash flows from operations and from production financing facilities and, if needed, by issuing commercial paper or borrowing under its revolving credit agreement. In the event that the Company is not able to issue commercial paper, the Company intends to utilize its available lines of credit. The Company believes that the funds available to it, including cash expected to be generated from operations, funds available through its commercial paper program or its available lines of credit and production financing, are adequate to meet its working capital needs for the remainder of 2023, including the repayment of the current portion of long-term debt of $69.4 million, as shown on the consolidated balance sheets which represents the current portion of required quarterly principal amortization payments for our term loan facilities and other production financing facilities, each as described below. The Company may also issue debt or equity securities from time to time, to provide additional sources of liquidity when pursuing opportunities to enhance our long-term competitive position, while maintaining a strong balance sheet. However, unexpected events or circumstances such as material operating losses or increased capital or other expenditures, or the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As of July 2, 2023, the Company's cash and cash equivalents totaled $216.6 million, of which $4.9 million is restricted under the Company’s production financing facilities. Prior to 2017, deferred income taxes had not been provided on the majority of undistributed earnings of international subsidiaries as such earnings were indefinitely reinvested by the Company. Accordingly, such international cash balances were not available to fund cash requirements in the United States unless the Company was to change its reinvestment policy. The Company has maintained sufficient sources of cash in the United States to fund cash requirements without the need to repatriate any funds. The Tax Cuts and Jobs Act of 2017 ("the Tax Act") provided significant changes to the U.S. tax system including the elimination of the ability to defer U.S. income tax on unrepatriated earnings by imposing a one-time mandatory deemed repatriation tax on undistributed foreign earnings. As of July 2, 2023, the Company had a total liability of $103.3 million related to this tax, $45.9 million is reflected in current liabilities while the remaining long-term payable related to the Tax Act of $57.4 million is presented within other liabilities, non-current, on the consolidated balance sheets included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10-Q. As permitted by the Tax Act, the Company will pay the transition tax in annual interest-free installments through 2025. As a result, in the future, the related earnings in foreign jurisdictions will be made available with greater investment flexibility. The majority of the Company’s cash and cash equivalents held outside of the United States as of July 2, 2023, are denominated in the U.S. dollar.</w:t>
      </w:r>
    </w:p>
    <w:p>
      <w:pPr>
        <w:spacing w:after="0" w:line="13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Due to the seasonality in the Company's cash flow, management believes that on an interim basis, rather than discussing only its cash flows, a better understanding of its liquidity and capital resources can be obtained through a discussion of the various balance sheet categories. Also, as several of the major categories, including cash and cash equivalents, accounts receivable, inventories and short-term borrowings, fluctuate significantly from quarter to quarter, due to the seasonality of its business, management believes that a comparison to the comparable period in the prior year is generally more meaningful than a comparison to the prior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7" w:name="page48"/>
    <w:bookmarkEnd w:id="47"/>
    <w:p>
      <w:pPr>
        <w:ind w:right="240"/>
        <w:spacing w:after="0" w:line="274" w:lineRule="auto"/>
        <w:rPr>
          <w:sz w:val="20"/>
          <w:szCs w:val="20"/>
          <w:color w:val="auto"/>
        </w:rPr>
      </w:pPr>
      <w:r>
        <w:rPr>
          <w:rFonts w:ascii="Arial" w:cs="Arial" w:eastAsia="Arial" w:hAnsi="Arial"/>
          <w:sz w:val="18"/>
          <w:szCs w:val="18"/>
          <w:color w:val="auto"/>
        </w:rPr>
        <w:t>The table below outlines key financial information (in millions of dollars) pertaining to our consolidated balance sheets including the period-over-period changes.</w:t>
      </w:r>
    </w:p>
    <w:tbl>
      <w:tblPr>
        <w:tblLayout w:type="fixed"/>
        <w:tblInd w:w="0" w:type="dxa"/>
        <w:tblCellMar>
          <w:top w:w="0" w:type="dxa"/>
          <w:left w:w="0" w:type="dxa"/>
          <w:bottom w:w="0" w:type="dxa"/>
          <w:right w:w="0" w:type="dxa"/>
        </w:tblCellMar>
      </w:tblPr>
      <w:tr>
        <w:trPr>
          <w:trHeight w:val="224"/>
        </w:trPr>
        <w:tc>
          <w:tcPr>
            <w:tcW w:w="6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July 2, 2023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26, 2022</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of $4.9 and $41.9)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870.5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719.2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3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1,923.2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bl>
    <w:p>
      <w:pPr>
        <w:spacing w:after="0" w:line="26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Accounts receivable increased 1% to $877.0 million as of July 2, 2023, compared to $870.5 million as of June 26, 2022. The increase in accounts receivable was driven by the increase in days sales outstanding from 59 days at June 26, 2022 to 66 days at July 2, 2023, offset by lower sales during the first six months of 2023.</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Inventories decreased 16% to $731.3 million as of July 2, 2023, compared to $867.5 million as of June 26, 2022. The decrease during the first half of 2023 was driven primarily by lower inventory balances within the Consumer Products segment reflecting both reduced in transit times compared to 2022, and efforts to reduce retail inventory levels, most notably across Europe and to a lesser extent, in North America. These decreases were partially offset by higher inventory balances within the Wizards of the Coast and Digital Gaming segment, due to release schedule timing differences compared to the first half of 2022, in anticipation of several MAGIC: THE GATHERING set releases planned for the second half of 2023, and to a lesser extent, higher inventory balances for DUNGEONS &amp; DRAGONS product.</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Prepaid expenses and other current assets decreased 5% to $684.1 million as of July 2, 2023 from $719.2 million as of June 26, 2022. The decrease was driven by lower accrued income balances due to reduced accrued royalty and licensing balances, primarily attributable to the Company's Entertainment business, as well as lower accrued tax credit balances related to film and television production costs, due primarily to timing of tax credit claims. These decreases were partially offset by higher prepaid royalty balances, primarily associated with the timing of payments made within the Company's Consumer Products business.</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assets increased 19% to $1,621.3 million as of July 2, 2023 from $1,367.6 million as of June 26, 2022. The increase was primarily driven by higher capitalized film and television production balances due to increased investments in productions compared to the first six months of 2022, increased investments in film and television development as well as higher deferred tax balances and higher non-current receivable balances within the Entertainment segment. These increases were partially offset by a lower balance for the Company's investment in Discovery Family Channel due to distributions received during 2022.</w:t>
      </w:r>
    </w:p>
    <w:p>
      <w:pPr>
        <w:spacing w:after="0" w:line="14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Accounts payable and accrued liabilities decreased 10% to $1,732.8 million as of July 2, 2023 from $1,923.2 million as of June 26, 2022 driven by lower accounts payable balances associated with the Company's global cost savings initiatives and the timing of payments, lower accrued freight balances as a result of improved supply chain conditions compared to the first six months of 2022, as well as lower accrued advertising and lower incentive bonus accrual balances. These decreases were partially offset by higher severance accrual balances related to the Company's cost savings initiatives mentioned above, higher accrued expenses for investments in content and production assets and a higher short-term transition tax liability balance reflecting the increase to the Company's 2023 installment payment due April 2024.</w:t>
      </w:r>
    </w:p>
    <w:p>
      <w:pPr>
        <w:spacing w:after="0" w:line="1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liabilities decreased 9% to $520.6 million as of July 2, 2023 from $570.0 million as of June 26, 2022. The decrease was primarily driven by a lower transition tax liability balance reflecting the reclassification of the 2023 installment payment due April 2024, lower long-term pension liability balances and lower long-term deferred tax balances reflecting the amortization of deferred tax liabilities. These decreases were partially offset by a higher long-term lease liability balance attributable to a lease entered during the first six months of 2023 in support the Wizards of the Coast and Digital Gaming segment, in addition to an increase to the liability balance for 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summarizes the changes in the Consolidated Statement of Cash Flows, expressed in millions of dollars, for the six-month periods ended July 2, 2023 and June 26,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90"/>
              </w:rPr>
              <w:t>July 2, 2023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90"/>
              </w:rPr>
              <w:t>June 26, 2022</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(utilized for):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90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center"/>
              <w:ind w:left="570"/>
              <w:spacing w:after="0"/>
              <w:rPr>
                <w:sz w:val="20"/>
                <w:szCs w:val="20"/>
                <w:color w:val="auto"/>
              </w:rPr>
            </w:pPr>
            <w:r>
              <w:rPr>
                <w:rFonts w:ascii="Arial" w:cs="Arial" w:eastAsia="Arial" w:hAnsi="Arial"/>
                <w:sz w:val="18"/>
                <w:szCs w:val="18"/>
                <w:color w:val="auto"/>
                <w:w w:val="88"/>
              </w:rPr>
              <w:t>119.2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center"/>
              <w:ind w:left="630"/>
              <w:spacing w:after="0"/>
              <w:rPr>
                <w:sz w:val="20"/>
                <w:szCs w:val="20"/>
                <w:color w:val="auto"/>
              </w:rPr>
            </w:pPr>
            <w:r>
              <w:rPr>
                <w:rFonts w:ascii="Arial" w:cs="Arial" w:eastAsia="Arial" w:hAnsi="Arial"/>
                <w:sz w:val="18"/>
                <w:szCs w:val="18"/>
                <w:color w:val="auto"/>
                <w:w w:val="93"/>
              </w:rPr>
              <w:t>147.8</w:t>
            </w:r>
          </w:p>
        </w:tc>
      </w:tr>
      <w:tr>
        <w:trPr>
          <w:trHeight w:val="243"/>
        </w:trPr>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1"/>
              </w:rPr>
              <w:t>(115.8)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1"/>
              </w:rPr>
              <w:t>(212.6)</w:t>
            </w:r>
          </w:p>
        </w:tc>
      </w:tr>
      <w:tr>
        <w:trPr>
          <w:trHeight w:val="230"/>
        </w:trPr>
        <w:tc>
          <w:tcPr>
            <w:tcW w:w="790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0"/>
                <w:szCs w:val="20"/>
                <w:color w:val="auto"/>
              </w:rPr>
            </w:pPr>
          </w:p>
        </w:tc>
        <w:tc>
          <w:tcPr>
            <w:tcW w:w="1220" w:type="dxa"/>
            <w:vAlign w:val="bottom"/>
          </w:tcPr>
          <w:p>
            <w:pPr>
              <w:jc w:val="center"/>
              <w:ind w:left="530"/>
              <w:spacing w:after="0"/>
              <w:rPr>
                <w:sz w:val="20"/>
                <w:szCs w:val="20"/>
                <w:color w:val="auto"/>
              </w:rPr>
            </w:pPr>
            <w:r>
              <w:rPr>
                <w:rFonts w:ascii="Arial" w:cs="Arial" w:eastAsia="Arial" w:hAnsi="Arial"/>
                <w:sz w:val="18"/>
                <w:szCs w:val="18"/>
                <w:color w:val="auto"/>
                <w:w w:val="91"/>
              </w:rPr>
              <w:t>(296.2)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center"/>
              <w:ind w:left="610"/>
              <w:spacing w:after="0"/>
              <w:rPr>
                <w:sz w:val="20"/>
                <w:szCs w:val="20"/>
                <w:color w:val="auto"/>
              </w:rPr>
            </w:pPr>
            <w:r>
              <w:rPr>
                <w:rFonts w:ascii="Arial" w:cs="Arial" w:eastAsia="Arial" w:hAnsi="Arial"/>
                <w:sz w:val="18"/>
                <w:szCs w:val="18"/>
                <w:color w:val="auto"/>
                <w:w w:val="91"/>
              </w:rPr>
              <w:t>(319.9)</w:t>
            </w:r>
          </w:p>
        </w:tc>
      </w:tr>
    </w:tbl>
    <w:p>
      <w:pPr>
        <w:spacing w:after="0" w:line="24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cash provided by operating activities in the first six months of 2023 was $119.2 million compared to $147.8 million in the first six months of 2022. The $28.6 million decrease in net cash provided by operating activities was primarily attributable to lower earnings, excluding non-cash charges, during the first six months of 2023.</w:t>
      </w:r>
    </w:p>
    <w:p>
      <w:pPr>
        <w:spacing w:after="0" w:line="14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Net cash utilized for investing activities was $115.8 million in the first six months of 2023 compared to net cash utilized for investing activities of $212.6 million in the first six months of 2022. Additions to property, plant and equipment were $112.1 million in the first six months of 2023 compared to $75.8 million in the first six months of 2022, reflecting increased investments in the Company's digital gaming initiatives as well as right of use asset additions and leasehold improvements within the Wizards of the Coast and Digital Gaming segment. In 2022, net cash utilized for investing activities reflects a cash payment of $146.3 million made during the second quarter, related to the D&amp;D Beyond Acquisition.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Net cash utilized for financing activities was $296.2 million in the first six months of 2023 compared to $319.9 million in the first six months of</w:t>
      </w:r>
    </w:p>
    <w:p>
      <w:pPr>
        <w:spacing w:after="0" w:line="2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2022. Financing activities in the first six months of 2023 include a $45.0 million of principal amortization payments toward the Five-Year Tranche loan described below, as well as drawdowns of $105.0 million and repayments of $142.5 million related to production financing loans. Financing activities in the first six months of 2022 include payments totaling $57.5 million toward the Five-Year Tranche loan consisting of $50.0 million principal and a quarterly principal amortization payment of $7.5 million, in addition to drawdowns of $137.7 million and repayments of $133.3 million, related to production financing loans, as well as cash payments of $124.0 million to repurchases the Company's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in the first six months of 2023 totaled $193.8 million, compared to $191.9 million in the first six months of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commits to inventory production, advertising and marketing expenditures in support of its consumer products business, prior to the peak fourth quarter retail selling season. Accounts receivable increase during the third and fourth quarters as customers increase their purchases to meet expected consumer demand in the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sometimes makes it necessary for the Company to borrow amounts during the latter part of the year. In the Company's entertainment business, cash expenditures for productions are often made well in advance of sale and delivery of the content produced whereas trading card and digital gaming revenues have shorter collection periods, but product development expense often occurs years prior to release and revenue generation. During the first six months of 2023 and 2022, the Company primarily used cash from operations and, to a lesser extent, borrowings under its commercial program in addition to borrowings under its available lines of credit, in particular production financing vehicles, to fund its working capital.</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During the second quarter of 2023, to meet certain of its short-term liquidity needs, the Company issued commercial paper notes under the Program, all of which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repaid by the Company prior to the close of the second quarter. At July 2, 2023, the Company had no outstanding borrowings related to the Program.</w:t>
      </w:r>
    </w:p>
    <w:p>
      <w:pPr>
        <w:spacing w:after="0" w:line="1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 billion.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July 2, 2023. The Company had no borrowings outstanding under its committed revolving credit facility as of July 2, 2023. However, letters of credit outstanding under this facility as of July 2, 2023 were approximately $4.0 million. Amounts available and unused under the committed line, at July 2, 2023 were approximately $1.5 billion, inclusive of borrowings under the Company’s commercial paper program. The Company also has other uncommitted lines from various banks, of which approximately $9.8 million was utilized at July 2, 2023. Of the amount utilized under, or supported by, the uncommitted lines, the full $9.8 million represented letters of credit.</w:t>
      </w:r>
    </w:p>
    <w:p>
      <w:pPr>
        <w:spacing w:after="0" w:line="6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As of July 2, 2023, the Company has fully repaid the Three-Year Tranche $400.0 million principal term loan, and of the Five-Year Tranche $600.0 million principal balance, the Company has repaid a total of $335.0 million in the following increments: $22.5 million in 2020; $180.0 million in 2021; $87.5 million in 2022; and, $45.0 million during the first six months of 2023. The Company is subject to certain financial covenants contained in this agreement and as of July 2, 2023, the Company was in compliance with these covenants. The terms of the Term Loan Facilities are described in note 7 to the consolidated financial statements included in Part I of this Form 10-Q.</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During November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During the third quarter of 2021 </w:t>
      </w:r>
      <w:r>
        <w:rPr>
          <w:rFonts w:ascii="Arial" w:cs="Arial" w:eastAsia="Arial" w:hAnsi="Arial"/>
          <w:sz w:val="18"/>
          <w:szCs w:val="18"/>
          <w:color w:val="212529"/>
        </w:rPr>
        <w:t>the Company repaid in full, its 2022 Notes in the aggregate principal amount of $300.0 million, including</w:t>
      </w:r>
      <w:r>
        <w:rPr>
          <w:rFonts w:ascii="Arial" w:cs="Arial" w:eastAsia="Arial" w:hAnsi="Arial"/>
          <w:sz w:val="18"/>
          <w:szCs w:val="18"/>
          <w:color w:val="auto"/>
        </w:rPr>
        <w:t xml:space="preserve"> early redemption premiums and accrued interest of $10.8 million. The terms of the Notes are described in note 7 to the consolidated financial statements in Part I of this Form 10-Q.</w:t>
      </w:r>
    </w:p>
    <w:p>
      <w:pPr>
        <w:spacing w:after="0" w:line="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uses production financing facilities to fund its film and television productions which are arranged on an individual production basis by either special purpose production subsidiaries, each secured by the assets and future revenues of such production subsidiaries, which are non-recourse to the Company's assets, or through a senior revolving credit facility obtained in November 2021, dedicated to production financing.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The Company expects to utilize the revolving production financing facility for the majority of its future production financing needs. During the first six months of 2023, the Company had total drawdowns of $142.5 million and repayments of $105.0 million towards these production financing facilities. As of July 2, 2023, the Company had outstanding production financing borrowings related to these facilities of $157.6 million, $9.4 million of which are recorded within the current portion of long-term debt and $148.2 million are recorded within short-term borrowings in the Company's consolidated balance sheets, included in Part I of this Form 10-Q.</w:t>
      </w:r>
    </w:p>
    <w:p>
      <w:pPr>
        <w:spacing w:after="0" w:line="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has principal amounts of long-term debt as of July 2, 2023 of $3.8 billion, due at varying times from 2024 through 2044. Of the total principal amount of long-term debt, $69.4 million is current at July 2, 2023 of which $60.0 million is related to principal amortization of the 5-year term loans due December 2024 and $9.4 million represents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0" w:name="page51"/>
    <w:bookmarkEnd w:id="50"/>
    <w:p>
      <w:pPr>
        <w:ind w:right="40"/>
        <w:spacing w:after="0" w:line="259" w:lineRule="auto"/>
        <w:rPr>
          <w:sz w:val="20"/>
          <w:szCs w:val="20"/>
          <w:color w:val="auto"/>
        </w:rPr>
      </w:pPr>
      <w:r>
        <w:rPr>
          <w:rFonts w:ascii="Arial" w:cs="Arial" w:eastAsia="Arial" w:hAnsi="Arial"/>
          <w:sz w:val="18"/>
          <w:szCs w:val="18"/>
          <w:color w:val="auto"/>
        </w:rPr>
        <w:t>outstanding production financing facilities at July 2, 2023. In addition to the early repayment of the 2022 Notes described above, during the first quarter of 2021, the Company repaid in full, its 3.15% Notes in the aggregate principal amount of $300.0 million due in May 2021, including accrued interest. See note 7 to the Company’s consolidated financial statements in Part I of this Form 10-Q for additional information on long-term debt and long-term debt interest repayment, respectively.</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also had letters of credit and other similar instruments of approximately $13.8 million and purchase commitments of approximately $309.3 million outstanding at July 2, 2023.</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contractual obligations and commercial commitments, as detailed in the Company's 2022 Form 10-K, did not materially change outside of certain payments made in the normal course of business and as otherwise set forth in this report.</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a long history of returning cash to its shareholders through quarterly dividends and share repurchases. In 2023 Hasbro maintained its quarterly dividend rate of $0.70 per share for the dividends paid in February and May and has declared a third cash dividend of $0.70 per share payable on August 15, 2023 to shareholders of record as of August 1, 2023. In addition to the dividend, the Company periodically returns cash to shareholders through its share repurchase program. As part of this initiative, since 2005 the Company's Board of Directors (the "Board") adopted numerous share repurchase authorizations with a cumulative authorized repurchase amount of $4.3 billion. The most recent authorization was approved in May 2018 for $500 million. At July 2, 2023, $241.6 million remained available under these share repurchase authorizations. There were no share repurchases made during the first half of 2023. The Company has no obligation to repurchase shares under the authorization, and the timing, actual number, and value of the shares that are repurchased, if any, will depend on a number of factors, including the price of the Company’s stock and the Company's generation of, and uses for, cash.</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believes that cash from operations, and, if necessary, its committed line of credit and other borrowing facilities, will allow the Company to meet its obligations over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film and television production costs, recoverability of goodwill and intangible assets and income taxes. Additionally, the Company identified the valuation of the Company’s equity method investment in Discovery Family Channel as a significant accounting estimate. These critical accounting policies are the same as those detailed in the Company's 2022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Japanese Yen, Brazilian real and Mexican peso and, to a lesser extent, other currencies in Latin America and Asia Pacific countries.</w:t>
      </w:r>
    </w:p>
    <w:p>
      <w:pPr>
        <w:spacing w:after="0" w:line="16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51" w:name="page52"/>
    <w:bookmarkEnd w:id="51"/>
    <w:p>
      <w:pPr>
        <w:ind w:right="140"/>
        <w:spacing w:after="0" w:line="275" w:lineRule="auto"/>
        <w:rPr>
          <w:sz w:val="20"/>
          <w:szCs w:val="20"/>
          <w:color w:val="auto"/>
        </w:rPr>
      </w:pPr>
      <w:r>
        <w:rPr>
          <w:rFonts w:ascii="Arial" w:cs="Arial" w:eastAsia="Arial" w:hAnsi="Arial"/>
          <w:sz w:val="17"/>
          <w:szCs w:val="17"/>
          <w:color w:val="auto"/>
        </w:rPr>
        <w:t>The Company reflects derivatives at their fair value as an asset or liability on the consolidated balance sheets. The Company does not speculate in foreign currency exchange contracts. At July 2, 2023, these contracts had net unrealized losses of $2.1 million, of which $3.9 million of unrealized gains are recorded in prepaid expenses and other current assets, $0.4 million of unrealized gains are recorded in other assets, $6.0 million of unrealized losses are recorded in accrued liabilities and $0.4 million of unrealized losses are recorded in other liabilities. Included in accumulated other comprehensive loss at July 2, 2023 are deferred losses, net of tax, of $5.0 million, related to these derivatives.</w:t>
      </w:r>
    </w:p>
    <w:p>
      <w:pPr>
        <w:spacing w:after="0" w:line="14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At July 2, 2023, the Company had fixed-rate long-term debt of $3.8 billion. In May 2014, the Company issued an aggregate $600.0 million of long-term debt which consisted of $300.0 million of 3.15% Notes, subsequently repaid in 2021, and $300.0 million of 5.10% Notes due 2044. Prior to the May 2014 debt issuance, the Company entered into forward-starting interest rate swap agreements with a total notional value of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July 2, 2023 are deferred losses, net of tax, of $14.6 million related to these derivatives.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business operations for the periods presented have been impacted by inflationary pressures however, due to mitigating actions taken by the Company, such as price increases implemented during 2022, the impact of general price inflation on our financial position and results of operations has been reduced. The Company continues to monitor the impact of inflation to its business operations on an ongoing basis and may need to adjust prices further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information required by this item is included in Part I, Item 2. "Management's Discussion and Analysis of Financial Condition and Results of Operations" and is incorporated herein by reference.</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July 2, 2023. Based on the evaluation of these disclosure controls and procedures, the Chief Executive Officer and Chief Financial Officer concluded that the Company's disclosure controls and procedures were effective.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7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July 2, 2023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2" w:name="page53"/>
    <w:bookmarkEnd w:id="52"/>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party to certain legal proceedings, none of which it believes to be material to its business or financial condition.</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212529"/>
        </w:rPr>
        <w:t>In connection with information set forth in this Quarterly Report on Form 10-Q, the risk factors discussed under Item 1A. Risk Factors, in Part I of our 2022 Form 10-K and in our subsequent filings, including in this filing, should be considered. The risks set forth in our 2022 Form 10-K and in our subsequent filings, including in this filing, could materially and adversely affect our business, financial condition, and results of operations. There are no material changes from the risk factors as previously disclosed in our 2022 10-K, in any of our subsequently filed reports or as otherwise set forth in this Quarterly Report, except as set forth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entertainment business could be adversely affected by strikes or other union job actions.</w:t>
      </w:r>
    </w:p>
    <w:p>
      <w:pPr>
        <w:spacing w:after="0" w:line="1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Any strike, prolonged or new, by, or lockout of, one or more of the unions that provide personnel essential to the development, production or distribution of films or television programs, such as the strike by the Writers Guild of America, which began in May 2023, and the strike by the American actors' union SAG-AFTRA, which began on July 14, 2023, could delay or halt our and out partners' ongoing entertainment activities. Halts or delays, depending on the length of time, could cause a delay or interruption in our and our partners' development, production and release of new films and television programs, which could impact our entertainment business, and could also delay and/or lower the revenues we expected to receive from entertainment related toys, games and other merchandise.</w:t>
      </w:r>
    </w:p>
    <w:p>
      <w:pPr>
        <w:spacing w:after="0" w:line="1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May 2018, the Company announced that its Board of Directors authorized the repurchase of an additional $500 million of common stock, its most recent share repurchase authorization.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spacing w:after="0" w:line="5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were no repurchases of the Company’s Common Stock during the six months ended July 2, 2023. At July 2, 2023, Hasbro had $241.6 million remaining available under its share repurchase authorization.</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During the three months ended July 2, 2023, none of our officers or directors adopted or terminated any contract, instruction or written plan for the purchase or sale of our securities that was intended to satisfy the affirmative defense conditions of Rule 10b5-1(c) or any “non-Rule 10b5-1 trading arrangement" as defined in Item 408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53" w:name="page54"/>
    <w:bookmarkEnd w:id="53"/>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71">
        <w:r>
          <w:rPr>
            <w:rFonts w:ascii="Arial" w:cs="Arial" w:eastAsia="Arial" w:hAnsi="Arial"/>
            <w:sz w:val="16"/>
            <w:szCs w:val="16"/>
            <w:u w:val="single" w:color="auto"/>
            <w:color w:val="0000FF"/>
          </w:rPr>
          <w:t>Restated Articles of Incorporation of the Company. (Incorporated by reference to Exhibit 3.1 to the Company's Quarterly Report on Form</w:t>
        </w:r>
      </w:hyperlink>
    </w:p>
    <w:p>
      <w:pPr>
        <w:spacing w:after="0" w:line="8" w:lineRule="exact"/>
        <w:rPr>
          <w:sz w:val="20"/>
          <w:szCs w:val="20"/>
          <w:color w:val="auto"/>
        </w:rPr>
      </w:pPr>
    </w:p>
    <w:p>
      <w:pPr>
        <w:ind w:left="1020"/>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10-Q for the period ended July 2, 2000, File No. 1-6682.)</w:t>
        </w:r>
      </w:hyperlink>
    </w:p>
    <w:p>
      <w:pPr>
        <w:spacing w:after="0" w:line="61" w:lineRule="exact"/>
        <w:rPr>
          <w:sz w:val="20"/>
          <w:szCs w:val="20"/>
          <w:color w:val="auto"/>
        </w:rPr>
      </w:pPr>
    </w:p>
    <w:p>
      <w:pPr>
        <w:ind w:left="1020" w:right="100" w:hanging="317"/>
        <w:spacing w:after="0" w:line="24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72">
        <w:r>
          <w:rPr>
            <w:rFonts w:ascii="Arial" w:cs="Arial" w:eastAsia="Arial" w:hAnsi="Arial"/>
            <w:sz w:val="18"/>
            <w:szCs w:val="18"/>
            <w:u w:val="single" w:color="auto"/>
            <w:color w:val="0000FF"/>
          </w:rPr>
          <w:t>Amendment to Articles of Incorporation, dated June 28, 2000. (Incorporated by reference to Exhibit 3.4 to the Company's Quarterly Report</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FF"/>
          </w:rPr>
          <w:t>on Form 10-Q for the period ended July 2, 2000, File No. 1-6682.)</w:t>
        </w:r>
      </w:hyperlink>
    </w:p>
    <w:p>
      <w:pPr>
        <w:spacing w:after="0" w:line="48" w:lineRule="exact"/>
        <w:rPr>
          <w:sz w:val="20"/>
          <w:szCs w:val="20"/>
          <w:color w:val="auto"/>
        </w:rPr>
      </w:pPr>
    </w:p>
    <w:p>
      <w:pPr>
        <w:ind w:left="1020" w:right="100" w:hanging="317"/>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3.3 </w:t>
      </w:r>
      <w:hyperlink r:id="rId73">
        <w:r>
          <w:rPr>
            <w:rFonts w:ascii="Arial" w:cs="Arial" w:eastAsia="Arial" w:hAnsi="Arial"/>
            <w:sz w:val="18"/>
            <w:szCs w:val="18"/>
            <w:u w:val="single" w:color="auto"/>
            <w:color w:val="0000FF"/>
          </w:rPr>
          <w:t>Amendment to Articles of Incorporation, dated May 19, 2003. (Incorporated by reference to Exhibit 3.3 to the Company's Quarterly Report</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FF"/>
          </w:rPr>
          <w:t>on Form 10-Q for the period ended June 29, 2003, File No. 1-6682.)</w:t>
        </w:r>
      </w:hyperlink>
    </w:p>
    <w:p>
      <w:pPr>
        <w:spacing w:after="0" w:line="67" w:lineRule="exact"/>
        <w:rPr>
          <w:sz w:val="20"/>
          <w:szCs w:val="20"/>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 xml:space="preserve">3.4 </w:t>
      </w:r>
      <w:hyperlink r:id="rId74">
        <w:r>
          <w:rPr>
            <w:rFonts w:ascii="Arial" w:cs="Arial" w:eastAsia="Arial" w:hAnsi="Arial"/>
            <w:sz w:val="16"/>
            <w:szCs w:val="16"/>
            <w:u w:val="single" w:color="auto"/>
            <w:color w:val="0000FF"/>
          </w:rPr>
          <w:t>Second Amended and Restated Bylaws of the Company (Incorporated by reference to Exhibit 3.1 to the Company’s Current Report on Form</w:t>
        </w:r>
      </w:hyperlink>
    </w:p>
    <w:p>
      <w:pPr>
        <w:spacing w:after="0" w:line="8" w:lineRule="exact"/>
        <w:rPr>
          <w:sz w:val="20"/>
          <w:szCs w:val="20"/>
          <w:color w:val="auto"/>
        </w:rPr>
      </w:pPr>
    </w:p>
    <w:p>
      <w:pPr>
        <w:ind w:left="1020"/>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8-K dated September 30, 2022, File No. 1-6682).</w:t>
        </w:r>
      </w:hyperlink>
    </w:p>
    <w:p>
      <w:pPr>
        <w:spacing w:after="0" w:line="61" w:lineRule="exact"/>
        <w:rPr>
          <w:sz w:val="20"/>
          <w:szCs w:val="20"/>
          <w:color w:val="auto"/>
        </w:rPr>
      </w:pPr>
    </w:p>
    <w:p>
      <w:pPr>
        <w:ind w:left="1020" w:hanging="317"/>
        <w:spacing w:after="0" w:line="274"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3.5 </w:t>
      </w:r>
      <w:hyperlink r:id="rId75">
        <w:r>
          <w:rPr>
            <w:rFonts w:ascii="Arial" w:cs="Arial" w:eastAsia="Arial" w:hAnsi="Arial"/>
            <w:sz w:val="17"/>
            <w:szCs w:val="17"/>
            <w:u w:val="single" w:color="auto"/>
            <w:color w:val="0000FF"/>
          </w:rPr>
          <w:t>Certificate of Designations of Series C Junior Participating Preference Stock of Hasbro, Inc. dated June 29, 1999. (Incorporated by reference</w:t>
        </w:r>
      </w:hyperlink>
      <w:r>
        <w:rPr>
          <w:rFonts w:ascii="Arial" w:cs="Arial" w:eastAsia="Arial" w:hAnsi="Arial"/>
          <w:sz w:val="17"/>
          <w:szCs w:val="17"/>
          <w:color w:val="auto"/>
        </w:rPr>
        <w:t xml:space="preserve"> </w:t>
      </w:r>
      <w:hyperlink r:id="rId75">
        <w:r>
          <w:rPr>
            <w:rFonts w:ascii="Arial" w:cs="Arial" w:eastAsia="Arial" w:hAnsi="Arial"/>
            <w:sz w:val="17"/>
            <w:szCs w:val="17"/>
            <w:u w:val="single" w:color="auto"/>
            <w:color w:val="0000FF"/>
          </w:rPr>
          <w:t>to Exhibit 3.2 to the Company's Quarterly Report on Form 10-Q for the period ended July 2, 2000, File No. 1-6682.)</w:t>
        </w:r>
      </w:hyperlink>
    </w:p>
    <w:p>
      <w:pPr>
        <w:spacing w:after="0" w:line="26" w:lineRule="exact"/>
        <w:rPr>
          <w:sz w:val="20"/>
          <w:szCs w:val="20"/>
          <w:color w:val="auto"/>
        </w:rPr>
      </w:pPr>
    </w:p>
    <w:p>
      <w:pPr>
        <w:ind w:left="1020" w:right="660" w:hanging="317"/>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3.6 </w:t>
      </w:r>
      <w:hyperlink r:id="rId76">
        <w:r>
          <w:rPr>
            <w:rFonts w:ascii="Arial" w:cs="Arial" w:eastAsia="Arial" w:hAnsi="Arial"/>
            <w:sz w:val="18"/>
            <w:szCs w:val="18"/>
            <w:u w:val="single" w:color="auto"/>
            <w:color w:val="0000FF"/>
          </w:rPr>
          <w:t>Certificate of Vote(s) authorizing a decrease of class or series of any class of shares. (Incorporated by reference to Exhibit 3.3 to the</w:t>
        </w:r>
      </w:hyperlink>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FF"/>
          </w:rPr>
          <w:t>Company's Quarterly Report on Form 10-Q for the period ended July 2, 2000, File No 1-6682.)</w:t>
        </w:r>
      </w:hyperlink>
    </w:p>
    <w:p>
      <w:pPr>
        <w:spacing w:after="0" w:line="67" w:lineRule="exact"/>
        <w:rPr>
          <w:sz w:val="20"/>
          <w:szCs w:val="20"/>
          <w:color w:val="auto"/>
        </w:rPr>
      </w:pPr>
    </w:p>
    <w:p>
      <w:pPr>
        <w:ind w:left="1020" w:right="40" w:hanging="317"/>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77">
        <w:r>
          <w:rPr>
            <w:rFonts w:ascii="Arial" w:cs="Arial" w:eastAsia="Arial" w:hAnsi="Arial"/>
            <w:sz w:val="18"/>
            <w:szCs w:val="18"/>
            <w:u w:val="single" w:color="auto"/>
            <w:color w:val="0000FF"/>
          </w:rPr>
          <w:t>Indenture, dated as of July 17, 1998, by and between the Company and The Bank of New York Mellon Trust Company, N.A. as successor</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FF"/>
          </w:rPr>
          <w:t>Trustee to Citibank, N.A. as Trustee. (Incorporated by reference to Exhibit 4.1 to the Company's Current Report on Form 8-K dated July 14,</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1998, File No. 1-6682.)</w:t>
        </w:r>
      </w:hyperlink>
    </w:p>
    <w:p>
      <w:pPr>
        <w:spacing w:after="0" w:line="68" w:lineRule="exact"/>
        <w:rPr>
          <w:rFonts w:ascii="Arial" w:cs="Arial" w:eastAsia="Arial" w:hAnsi="Arial"/>
          <w:sz w:val="18"/>
          <w:szCs w:val="18"/>
          <w:color w:val="auto"/>
        </w:rPr>
      </w:pPr>
    </w:p>
    <w:p>
      <w:pPr>
        <w:ind w:left="1020" w:right="40" w:hanging="317"/>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78">
        <w:r>
          <w:rPr>
            <w:rFonts w:ascii="Arial" w:cs="Arial" w:eastAsia="Arial" w:hAnsi="Arial"/>
            <w:sz w:val="18"/>
            <w:szCs w:val="18"/>
            <w:u w:val="single" w:color="auto"/>
            <w:color w:val="0000FF"/>
          </w:rPr>
          <w:t>Indenture, dated as of March 15, 2000, by and between the Company and The Bank of New York Mellon Trust Company, N.A. as successor</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FF"/>
          </w:rPr>
          <w:t>Trustee to the Bank of Nova Scotia Trust Company of New York. (Incorporated by reference to Exhibit 4(b)(i) to the Company's Annual</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Report on Form 10-K for the fiscal year ended December 26, 1999, File No. 1-6682.)</w:t>
        </w:r>
      </w:hyperlink>
    </w:p>
    <w:p>
      <w:pPr>
        <w:spacing w:after="0" w:line="68" w:lineRule="exact"/>
        <w:rPr>
          <w:rFonts w:ascii="Arial" w:cs="Arial" w:eastAsia="Arial" w:hAnsi="Arial"/>
          <w:sz w:val="18"/>
          <w:szCs w:val="18"/>
          <w:color w:val="auto"/>
        </w:rPr>
      </w:pPr>
    </w:p>
    <w:p>
      <w:pPr>
        <w:ind w:left="1020" w:right="200" w:hanging="317"/>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79">
        <w:r>
          <w:rPr>
            <w:rFonts w:ascii="Arial" w:cs="Arial" w:eastAsia="Arial" w:hAnsi="Arial"/>
            <w:sz w:val="18"/>
            <w:szCs w:val="18"/>
            <w:u w:val="single" w:color="auto"/>
            <w:color w:val="0000FF"/>
          </w:rPr>
          <w:t>First Supplemental Indenture, dated as of September 17, 2007, between the Company and The Bank of New York Mellon Trust Company,</w:t>
        </w:r>
      </w:hyperlink>
      <w:r>
        <w:rPr>
          <w:rFonts w:ascii="Arial" w:cs="Arial" w:eastAsia="Arial" w:hAnsi="Arial"/>
          <w:sz w:val="18"/>
          <w:szCs w:val="18"/>
          <w:color w:val="auto"/>
        </w:rPr>
        <w:t xml:space="preserve"> </w:t>
      </w:r>
      <w:hyperlink r:id="rId79">
        <w:r>
          <w:rPr>
            <w:rFonts w:ascii="Arial" w:cs="Arial" w:eastAsia="Arial" w:hAnsi="Arial"/>
            <w:sz w:val="18"/>
            <w:szCs w:val="18"/>
            <w:u w:val="single" w:color="auto"/>
            <w:color w:val="0000FF"/>
          </w:rPr>
          <w:t>N.A. as successor Trustee to the Bank of Nova Scotia Trust Company of New York. (Incorporated by reference to Exhibit 4.1 to the</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Company's Current Report on Form 8-K filed September 17, 2007, File No. 1-6682.)</w:t>
        </w:r>
      </w:hyperlink>
    </w:p>
    <w:p>
      <w:pPr>
        <w:spacing w:after="0" w:line="68" w:lineRule="exact"/>
        <w:rPr>
          <w:rFonts w:ascii="Arial" w:cs="Arial" w:eastAsia="Arial" w:hAnsi="Arial"/>
          <w:sz w:val="18"/>
          <w:szCs w:val="18"/>
          <w:color w:val="auto"/>
        </w:rPr>
      </w:pPr>
    </w:p>
    <w:p>
      <w:pPr>
        <w:ind w:left="1020" w:right="40" w:hanging="317"/>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80">
        <w:r>
          <w:rPr>
            <w:rFonts w:ascii="Arial" w:cs="Arial" w:eastAsia="Arial" w:hAnsi="Arial"/>
            <w:sz w:val="18"/>
            <w:szCs w:val="18"/>
            <w:u w:val="single" w:color="auto"/>
            <w:color w:val="0000FF"/>
          </w:rPr>
          <w:t>Second Supplemental Indenture, dated as of May 13, 2009, between the Company and The Bank of New York Mellon Trust Company, N.A.</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Current Report on Form 8-K filed May 13, 2009, File No. 1-6682.)</w:t>
        </w:r>
      </w:hyperlink>
    </w:p>
    <w:p>
      <w:pPr>
        <w:spacing w:after="0" w:line="68" w:lineRule="exact"/>
        <w:rPr>
          <w:rFonts w:ascii="Arial" w:cs="Arial" w:eastAsia="Arial" w:hAnsi="Arial"/>
          <w:sz w:val="18"/>
          <w:szCs w:val="18"/>
          <w:color w:val="auto"/>
        </w:rPr>
      </w:pPr>
    </w:p>
    <w:p>
      <w:pPr>
        <w:ind w:left="1020" w:right="40" w:hanging="317"/>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81">
        <w:r>
          <w:rPr>
            <w:rFonts w:ascii="Arial" w:cs="Arial" w:eastAsia="Arial" w:hAnsi="Arial"/>
            <w:sz w:val="18"/>
            <w:szCs w:val="18"/>
            <w:u w:val="single" w:color="auto"/>
            <w:color w:val="0000FF"/>
          </w:rPr>
          <w:t>Third Supplemental Indenture, dated as of March 11, 2010, between the Company and The Bank of New York Mellon Trust Company, N.A.</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Current Report on Form 8-K filed March 11, 2010, File No. 1-6682.)</w:t>
        </w:r>
      </w:hyperlink>
    </w:p>
    <w:p>
      <w:pPr>
        <w:spacing w:after="0" w:line="68" w:lineRule="exact"/>
        <w:rPr>
          <w:rFonts w:ascii="Arial" w:cs="Arial" w:eastAsia="Arial" w:hAnsi="Arial"/>
          <w:sz w:val="18"/>
          <w:szCs w:val="18"/>
          <w:color w:val="auto"/>
        </w:rPr>
      </w:pPr>
    </w:p>
    <w:p>
      <w:pPr>
        <w:jc w:val="both"/>
        <w:ind w:left="1020" w:right="280" w:hanging="317"/>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82">
        <w:r>
          <w:rPr>
            <w:rFonts w:ascii="Arial" w:cs="Arial" w:eastAsia="Arial" w:hAnsi="Arial"/>
            <w:sz w:val="18"/>
            <w:szCs w:val="18"/>
            <w:u w:val="single" w:color="auto"/>
            <w:color w:val="0000FF"/>
          </w:rPr>
          <w:t>Fourth Supplemental Indenture, dated May 13, 2014, between the Company and The Bank of New York Mellon Trust Company, N.A. as</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FF"/>
          </w:rPr>
          <w:t>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Current Report on Form 8-K filed May 13, 2014, file No. 1-6682.)</w:t>
        </w:r>
      </w:hyperlink>
    </w:p>
    <w:p>
      <w:pPr>
        <w:spacing w:after="0" w:line="68" w:lineRule="exact"/>
        <w:rPr>
          <w:rFonts w:ascii="Arial" w:cs="Arial" w:eastAsia="Arial" w:hAnsi="Arial"/>
          <w:sz w:val="18"/>
          <w:szCs w:val="18"/>
          <w:color w:val="auto"/>
        </w:rPr>
      </w:pPr>
    </w:p>
    <w:p>
      <w:pPr>
        <w:jc w:val="both"/>
        <w:ind w:left="1020" w:right="160" w:hanging="317"/>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83">
        <w:r>
          <w:rPr>
            <w:rFonts w:ascii="Arial" w:cs="Arial" w:eastAsia="Arial" w:hAnsi="Arial"/>
            <w:sz w:val="18"/>
            <w:szCs w:val="18"/>
            <w:u w:val="single" w:color="auto"/>
            <w:color w:val="0000FF"/>
          </w:rPr>
          <w:t>Fifth Supplemental Indenture, dated September 13, 2017, between the Company and The Bank of New York Mellon Trust Company, N.A.</w:t>
        </w:r>
      </w:hyperlink>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Current Report on Form 8-K filed September 13, 2017, file No. 1-6682.)</w:t>
        </w:r>
      </w:hyperlink>
    </w:p>
    <w:p>
      <w:pPr>
        <w:spacing w:after="0" w:line="55" w:lineRule="exact"/>
        <w:rPr>
          <w:rFonts w:ascii="Arial" w:cs="Arial" w:eastAsia="Arial" w:hAnsi="Arial"/>
          <w:sz w:val="18"/>
          <w:szCs w:val="18"/>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 xml:space="preserve">4.8 </w:t>
      </w:r>
      <w:hyperlink r:id="rId84">
        <w:r>
          <w:rPr>
            <w:rFonts w:ascii="Arial" w:cs="Arial" w:eastAsia="Arial" w:hAnsi="Arial"/>
            <w:sz w:val="16"/>
            <w:szCs w:val="16"/>
            <w:u w:val="single" w:color="auto"/>
            <w:color w:val="0000FF"/>
          </w:rPr>
          <w:t>Sixth Supplemental Indenture dated as of November 19, 2019, among the Company and The Bank of New York Mellon Trust Company,</w:t>
        </w:r>
      </w:hyperlink>
    </w:p>
    <w:p>
      <w:pPr>
        <w:spacing w:after="0" w:line="21" w:lineRule="exact"/>
        <w:rPr>
          <w:rFonts w:ascii="Arial" w:cs="Arial" w:eastAsia="Arial" w:hAnsi="Arial"/>
          <w:sz w:val="18"/>
          <w:szCs w:val="18"/>
          <w:color w:val="auto"/>
        </w:rPr>
      </w:pPr>
    </w:p>
    <w:p>
      <w:pPr>
        <w:ind w:left="1020" w:right="160"/>
        <w:spacing w:after="0" w:line="226" w:lineRule="auto"/>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N.A. and U.S. Bank, National Association, supplementing the Indenture dated as of March 15, 2000. (Incorporated by reference to Exhibit</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1.2 to the Company’s Current Report on Form 8-K filed November 19, 2019, File No. 1-6682.)</w:t>
        </w:r>
      </w:hyperlink>
    </w:p>
    <w:p>
      <w:pPr>
        <w:spacing w:after="0" w:line="53" w:lineRule="exact"/>
        <w:rPr>
          <w:sz w:val="20"/>
          <w:szCs w:val="20"/>
          <w:color w:val="auto"/>
        </w:rPr>
      </w:pPr>
    </w:p>
    <w:p>
      <w:pPr>
        <w:ind w:left="1020" w:right="380" w:hanging="530"/>
        <w:spacing w:after="0" w:line="24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85">
        <w:r>
          <w:rPr>
            <w:rFonts w:ascii="Arial" w:cs="Arial" w:eastAsia="Arial" w:hAnsi="Arial"/>
            <w:sz w:val="18"/>
            <w:szCs w:val="18"/>
            <w:u w:val="single" w:color="auto"/>
            <w:color w:val="0000FF"/>
          </w:rPr>
          <w:t>Third Amendment to the Restated 2003 Stock Incentive Performance Plan. (Incorporated by reference to Appendix C to the Company’s</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definitive proxy statement for its 2023 Annual Meeting of Shareholders, File No. 1-6682.)</w:t>
        </w:r>
      </w:hyperlink>
    </w:p>
    <w:p>
      <w:pPr>
        <w:spacing w:after="0" w:line="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the Chief Executive Officer Pursuant to Rule 13a-14(a) under the Securities Exchange Act of 1934.</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the Chief Financial Officer Pursuant to Rule 13a-14(a) under the Securities Exchange Act of 1934.</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Certification of the Chief Executive Officer Pursuant to Rule 13a-14(b)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54" w:name="page55"/>
    <w:bookmarkEnd w:id="54"/>
    <w:p>
      <w:pPr>
        <w:ind w:left="58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0000FF"/>
        </w:rPr>
        <w:t>Certification of the Chief Financial Officer Pursuant to Rule 13a-14(b) under the Securities Exchange Act of 1934.</w:t>
      </w:r>
    </w:p>
    <w:p>
      <w:pPr>
        <w:spacing w:after="0" w:line="77" w:lineRule="exact"/>
        <w:rPr>
          <w:sz w:val="20"/>
          <w:szCs w:val="20"/>
          <w:color w:val="auto"/>
        </w:rPr>
      </w:pPr>
    </w:p>
    <w:p>
      <w:pPr>
        <w:ind w:left="1020" w:hanging="640"/>
        <w:spacing w:after="0" w:line="235" w:lineRule="auto"/>
        <w:rPr>
          <w:sz w:val="20"/>
          <w:szCs w:val="20"/>
          <w:color w:val="auto"/>
        </w:rPr>
      </w:pPr>
      <w:r>
        <w:rPr>
          <w:rFonts w:ascii="Arial" w:cs="Arial" w:eastAsia="Arial" w:hAnsi="Arial"/>
          <w:sz w:val="18"/>
          <w:szCs w:val="18"/>
          <w:color w:val="auto"/>
        </w:rPr>
        <w:t>101.INS XBRL Instance Document - the instance document does not appear in the Interactive Data File because its XBRL tags are embedded within the Inline XBRL Document.</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Furnished herewith</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Indicates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0" w:right="49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color w:val="auto"/>
        </w:rPr>
        <w:t>SIGNATURES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14605</wp:posOffset>
            </wp:positionV>
            <wp:extent cx="18688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6"/>
          <w:szCs w:val="16"/>
          <w:color w:val="auto"/>
        </w:rPr>
        <w:t>By: /s/ Gina Goetter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23495</wp:posOffset>
            </wp:positionV>
            <wp:extent cx="18688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Gina Goetter</w:t>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w:t>
      </w:r>
    </w:p>
    <w:p>
      <w:pPr>
        <w:ind w:left="6740"/>
        <w:spacing w:after="0" w:line="219" w:lineRule="auto"/>
        <w:rPr>
          <w:sz w:val="20"/>
          <w:szCs w:val="20"/>
          <w:color w:val="auto"/>
        </w:rPr>
      </w:pPr>
      <w:r>
        <w:rPr>
          <w:rFonts w:ascii="Arial" w:cs="Arial" w:eastAsia="Arial" w:hAnsi="Arial"/>
          <w:sz w:val="18"/>
          <w:szCs w:val="18"/>
          <w:color w:val="auto"/>
        </w:rPr>
        <w:t>Chief Financial Officer</w:t>
      </w:r>
    </w:p>
    <w:p>
      <w:pPr>
        <w:ind w:left="6740"/>
        <w:spacing w:after="0" w:line="203" w:lineRule="auto"/>
        <w:rPr>
          <w:sz w:val="20"/>
          <w:szCs w:val="20"/>
          <w:color w:val="auto"/>
        </w:rPr>
      </w:pPr>
      <w:r>
        <w:rPr>
          <w:rFonts w:ascii="Arial" w:cs="Arial" w:eastAsia="Arial" w:hAnsi="Arial"/>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00"/>
          </w:cols>
          <w:pgMar w:left="320" w:top="949" w:right="3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Christian P. Cocks, certify that:</w:t>
      </w:r>
    </w:p>
    <w:p>
      <w:pPr>
        <w:spacing w:after="0" w:line="185"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80" w:hanging="412"/>
        <w:spacing w:after="0" w:line="263"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00" w:right="140" w:hanging="244"/>
        <w:spacing w:after="0" w:line="263"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00" w:right="440" w:hanging="244"/>
        <w:spacing w:after="0" w:line="263"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00" w:right="620" w:hanging="244"/>
        <w:spacing w:after="0" w:line="34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00" w:right="120" w:hanging="244"/>
        <w:spacing w:after="0" w:line="263"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4, 2023</w:t>
      </w:r>
    </w:p>
    <w:p>
      <w:pPr>
        <w:spacing w:after="0" w:line="144" w:lineRule="exact"/>
        <w:rPr>
          <w:sz w:val="20"/>
          <w:szCs w:val="20"/>
          <w:color w:val="auto"/>
        </w:rPr>
      </w:pPr>
    </w:p>
    <w:p>
      <w:pPr>
        <w:ind w:left="4740"/>
        <w:spacing w:after="0"/>
        <w:rPr>
          <w:sz w:val="20"/>
          <w:szCs w:val="20"/>
          <w:color w:val="auto"/>
        </w:rPr>
      </w:pPr>
      <w:r>
        <w:rPr>
          <w:rFonts w:ascii="Arial" w:cs="Arial" w:eastAsia="Arial" w:hAnsi="Arial"/>
          <w:sz w:val="18"/>
          <w:szCs w:val="18"/>
          <w:u w:val="single" w:color="auto"/>
          <w:color w:val="auto"/>
        </w:rPr>
        <w:t>/s/ Christian P. Cocks</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Christian P. Cocks</w:t>
      </w:r>
    </w:p>
    <w:p>
      <w:pPr>
        <w:jc w:val="center"/>
        <w:ind w:righ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07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Gina Goetter, certify that:</w:t>
      </w:r>
    </w:p>
    <w:p>
      <w:pPr>
        <w:spacing w:after="0" w:line="185"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80" w:hanging="412"/>
        <w:spacing w:after="0" w:line="263"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820" w:right="220" w:hanging="326"/>
        <w:spacing w:after="0" w:line="263"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20" w:right="520" w:hanging="326"/>
        <w:spacing w:after="0" w:line="263"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20" w:right="700" w:hanging="326"/>
        <w:spacing w:after="0" w:line="342" w:lineRule="auto"/>
        <w:tabs>
          <w:tab w:leader="none" w:pos="8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20" w:right="200" w:hanging="326"/>
        <w:spacing w:after="0" w:line="263"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20" w:right="120" w:hanging="326"/>
        <w:spacing w:after="0" w:line="277"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20" w:right="100" w:hanging="326"/>
        <w:spacing w:after="0" w:line="277"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171" w:lineRule="exact"/>
        <w:rPr>
          <w:sz w:val="20"/>
          <w:szCs w:val="20"/>
          <w:color w:val="auto"/>
        </w:rPr>
      </w:pPr>
    </w:p>
    <w:p>
      <w:pPr>
        <w:ind w:left="6140"/>
        <w:spacing w:after="0"/>
        <w:rPr>
          <w:sz w:val="20"/>
          <w:szCs w:val="20"/>
          <w:color w:val="auto"/>
        </w:rPr>
      </w:pPr>
      <w:r>
        <w:rPr>
          <w:rFonts w:ascii="Arial" w:cs="Arial" w:eastAsia="Arial" w:hAnsi="Arial"/>
          <w:sz w:val="18"/>
          <w:szCs w:val="18"/>
          <w:u w:val="single" w:color="auto"/>
          <w:color w:val="auto"/>
        </w:rPr>
        <w:t>/s/ Gina Goetter</w:t>
      </w:r>
    </w:p>
    <w:p>
      <w:pPr>
        <w:spacing w:after="0" w:line="6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Gina Goetter</w:t>
      </w:r>
    </w:p>
    <w:p>
      <w:pPr>
        <w:ind w:left="6140"/>
        <w:spacing w:after="0" w:line="203" w:lineRule="auto"/>
        <w:rPr>
          <w:sz w:val="20"/>
          <w:szCs w:val="20"/>
          <w:color w:val="auto"/>
        </w:rPr>
      </w:pPr>
      <w:r>
        <w:rPr>
          <w:rFonts w:ascii="Arial" w:cs="Arial" w:eastAsia="Arial" w:hAnsi="Arial"/>
          <w:sz w:val="18"/>
          <w:szCs w:val="18"/>
          <w:color w:val="auto"/>
        </w:rPr>
        <w:t>Executive Vice President and</w:t>
      </w:r>
    </w:p>
    <w:p>
      <w:pPr>
        <w:ind w:left="6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7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57" w:lineRule="exact"/>
        <w:rPr>
          <w:sz w:val="20"/>
          <w:szCs w:val="20"/>
          <w:color w:val="auto"/>
        </w:rPr>
      </w:pPr>
    </w:p>
    <w:p>
      <w:pPr>
        <w:ind w:left="420" w:right="80" w:hanging="412"/>
        <w:spacing w:after="0" w:line="308"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July 2, 2023,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20" w:hanging="412"/>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2360"/>
        <w:spacing w:after="0"/>
        <w:rPr>
          <w:sz w:val="20"/>
          <w:szCs w:val="20"/>
          <w:color w:val="auto"/>
        </w:rPr>
      </w:pPr>
      <w:r>
        <w:rPr>
          <w:rFonts w:ascii="Arial" w:cs="Arial" w:eastAsia="Arial" w:hAnsi="Arial"/>
          <w:sz w:val="18"/>
          <w:szCs w:val="18"/>
          <w:u w:val="single" w:color="auto"/>
          <w:color w:val="auto"/>
        </w:rPr>
        <w:t>/s/ Christian P. Cocks</w:t>
      </w:r>
    </w:p>
    <w:p>
      <w:pPr>
        <w:ind w:left="2360"/>
        <w:spacing w:after="0" w:line="203" w:lineRule="auto"/>
        <w:rPr>
          <w:sz w:val="20"/>
          <w:szCs w:val="20"/>
          <w:color w:val="auto"/>
        </w:rPr>
      </w:pPr>
      <w:r>
        <w:rPr>
          <w:rFonts w:ascii="Arial" w:cs="Arial" w:eastAsia="Arial" w:hAnsi="Arial"/>
          <w:sz w:val="18"/>
          <w:szCs w:val="18"/>
          <w:color w:val="auto"/>
        </w:rPr>
        <w:t>Christian P. Cocks</w:t>
      </w:r>
    </w:p>
    <w:p>
      <w:pPr>
        <w:ind w:left="2360"/>
        <w:spacing w:after="0"/>
        <w:rPr>
          <w:sz w:val="20"/>
          <w:szCs w:val="20"/>
          <w:color w:val="auto"/>
        </w:rPr>
      </w:pPr>
      <w:r>
        <w:rPr>
          <w:rFonts w:ascii="Arial" w:cs="Arial" w:eastAsia="Arial" w:hAnsi="Arial"/>
          <w:sz w:val="18"/>
          <w:szCs w:val="18"/>
          <w:color w:val="auto"/>
        </w:rPr>
        <w:t>Chief Executive Officer of Hasbro, Inc.</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2023</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57" w:lineRule="exact"/>
        <w:rPr>
          <w:sz w:val="20"/>
          <w:szCs w:val="20"/>
          <w:color w:val="auto"/>
        </w:rPr>
      </w:pPr>
    </w:p>
    <w:p>
      <w:pPr>
        <w:ind w:left="420" w:right="80" w:hanging="412"/>
        <w:spacing w:after="0" w:line="308"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July 2, 2023,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20" w:hanging="412"/>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3120"/>
        <w:spacing w:after="0"/>
        <w:rPr>
          <w:sz w:val="20"/>
          <w:szCs w:val="20"/>
          <w:color w:val="auto"/>
        </w:rPr>
      </w:pPr>
      <w:r>
        <w:rPr>
          <w:rFonts w:ascii="Arial" w:cs="Arial" w:eastAsia="Arial" w:hAnsi="Arial"/>
          <w:sz w:val="18"/>
          <w:szCs w:val="18"/>
          <w:u w:val="single" w:color="auto"/>
          <w:color w:val="auto"/>
        </w:rPr>
        <w:t>/s/ Gina Goetter</w:t>
      </w:r>
    </w:p>
    <w:p>
      <w:pPr>
        <w:ind w:left="3120"/>
        <w:spacing w:after="0" w:line="203" w:lineRule="auto"/>
        <w:rPr>
          <w:sz w:val="20"/>
          <w:szCs w:val="20"/>
          <w:color w:val="auto"/>
        </w:rPr>
      </w:pPr>
      <w:r>
        <w:rPr>
          <w:rFonts w:ascii="Arial" w:cs="Arial" w:eastAsia="Arial" w:hAnsi="Arial"/>
          <w:sz w:val="18"/>
          <w:szCs w:val="18"/>
          <w:color w:val="auto"/>
        </w:rPr>
        <w:t>Gina Goetter</w:t>
      </w:r>
    </w:p>
    <w:p>
      <w:pPr>
        <w:jc w:val="center"/>
        <w:ind w:right="20"/>
        <w:spacing w:after="0"/>
        <w:rPr>
          <w:sz w:val="20"/>
          <w:szCs w:val="20"/>
          <w:color w:val="auto"/>
        </w:rPr>
      </w:pPr>
      <w:r>
        <w:rPr>
          <w:rFonts w:ascii="Arial" w:cs="Arial" w:eastAsia="Arial" w:hAnsi="Arial"/>
          <w:sz w:val="18"/>
          <w:szCs w:val="18"/>
          <w:color w:val="auto"/>
        </w:rPr>
        <w:t>Executive Vice President and Chief Financial Officer of Hasbro, Inc.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2023</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amp;"/>
      <w:numFmt w:val="bullet"/>
      <w:start w:val="1"/>
    </w:lvl>
  </w:abstractNum>
  <w:abstractNum w:abstractNumId="12">
    <w:nsid w:val="2443A858"/>
    <w:multiLevelType w:val="hybridMultilevel"/>
    <w:lvl w:ilvl="0">
      <w:lvlJc w:val="left"/>
      <w:lvlText w:val="(%1)"/>
      <w:numFmt w:val="decimal"/>
      <w:start w:val="9"/>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0"/>
    </w:lvl>
  </w:abstractNum>
  <w:abstractNum w:abstractNumId="16">
    <w:nsid w:val="8EDBDAB"/>
    <w:multiLevelType w:val="hybridMultilevel"/>
    <w:lvl w:ilvl="0">
      <w:lvlJc w:val="left"/>
      <w:lvlText w:val="(%1)"/>
      <w:numFmt w:val="decimal"/>
      <w:start w:val="11"/>
    </w:lvl>
  </w:abstractNum>
  <w:abstractNum w:abstractNumId="17">
    <w:nsid w:val="79838CB2"/>
    <w:multiLevelType w:val="hybridMultilevel"/>
    <w:lvl w:ilvl="0">
      <w:lvlJc w:val="left"/>
      <w:lvlText w:val="(%1)"/>
      <w:numFmt w:val="decimal"/>
      <w:start w:val="12"/>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3"/>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decimal"/>
      <w:start w:val="14"/>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lvl w:ilvl="1">
      <w:lvlJc w:val="left"/>
      <w:lvlText w:val="•"/>
      <w:numFmt w:val="bullet"/>
      <w:start w:val="1"/>
    </w:lvl>
  </w:abstractNum>
  <w:abstractNum w:abstractNumId="24">
    <w:nsid w:val="836C40E"/>
    <w:multiLevelType w:val="hybridMultilevel"/>
    <w:lvl w:ilvl="0">
      <w:lvlJc w:val="left"/>
      <w:lvlText w:val="•"/>
      <w:numFmt w:val="bullet"/>
      <w:start w:val="1"/>
    </w:lvl>
    <w:lvl w:ilvl="1">
      <w:lvlJc w:val="left"/>
      <w:lvlText w:val="•"/>
      <w:numFmt w:val="bullet"/>
      <w:start w:val="1"/>
    </w:lvl>
  </w:abstractNum>
  <w:abstractNum w:abstractNumId="25">
    <w:nsid w:val="2901D82"/>
    <w:multiLevelType w:val="hybridMultilevel"/>
    <w:lvl w:ilvl="0">
      <w:lvlJc w:val="left"/>
      <w:lvlText w:val="•"/>
      <w:numFmt w:val="bullet"/>
      <w:start w:val="1"/>
    </w:lvl>
    <w:lvl w:ilvl="1">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71" Type="http://schemas.openxmlformats.org/officeDocument/2006/relationships/hyperlink" Target="http://www.sec.gov/Archives/edgar/data/46080/000004608000000013/0000046080-00-000013-0002.txt" TargetMode="External"/><Relationship Id="rId72" Type="http://schemas.openxmlformats.org/officeDocument/2006/relationships/hyperlink" Target="http://www.sec.gov/Archives/edgar/data/46080/000004608000000013/0000046080-00-000013-0005.txt" TargetMode="External"/><Relationship Id="rId73" Type="http://schemas.openxmlformats.org/officeDocument/2006/relationships/hyperlink" Target="http://www.sec.gov/Archives/edgar/data/46080/000004608003000022/ex3-3q203.htm" TargetMode="External"/><Relationship Id="rId74" Type="http://schemas.openxmlformats.org/officeDocument/2006/relationships/hyperlink" Target="http://www.sec.gov/Archives/edgar/data/46080/000004608022000109/0000046080-22-000109-index.htm" TargetMode="External"/><Relationship Id="rId75" Type="http://schemas.openxmlformats.org/officeDocument/2006/relationships/hyperlink" Target="http://www.sec.gov/Archives/edgar/data/46080/000004608000000013/0000046080-00-000013-0003.txt" TargetMode="External"/><Relationship Id="rId76" Type="http://schemas.openxmlformats.org/officeDocument/2006/relationships/hyperlink" Target="http://www.sec.gov/Archives/edgar/data/46080/000004608000000013/0000046080-00-000013-0004.txt" TargetMode="External"/><Relationship Id="rId77" Type="http://schemas.openxmlformats.org/officeDocument/2006/relationships/hyperlink" Target="http://www.sec.gov/Archives/edgar/data/46080/0000950172-98-000702.txt" TargetMode="External"/><Relationship Id="rId78" Type="http://schemas.openxmlformats.org/officeDocument/2006/relationships/hyperlink" Target="http://www.sec.gov/Archives/edgar/data/46080/000004608000000003/0000046080-00-000003.txt" TargetMode="External"/><Relationship Id="rId79" Type="http://schemas.openxmlformats.org/officeDocument/2006/relationships/hyperlink" Target="http://www.sec.gov/Archives/edgar/data/46080/000095013507005709/b66906hbexv4w1.htm" TargetMode="External"/><Relationship Id="rId80" Type="http://schemas.openxmlformats.org/officeDocument/2006/relationships/hyperlink" Target="http://www.sec.gov/Archives/edgar/data/46080/000095013509003948/b75462hiexv4w1.htm" TargetMode="External"/><Relationship Id="rId81" Type="http://schemas.openxmlformats.org/officeDocument/2006/relationships/hyperlink" Target="http://www.sec.gov/Archives/edgar/data/46080/000095012310023420/b80058exv4w1.htm" TargetMode="External"/><Relationship Id="rId82" Type="http://schemas.openxmlformats.org/officeDocument/2006/relationships/hyperlink" Target="http://www.sec.gov/Archives/edgar/data/46080/000119312514196726/d727293dex41.htm" TargetMode="External"/><Relationship Id="rId83" Type="http://schemas.openxmlformats.org/officeDocument/2006/relationships/hyperlink" Target="http://www.sec.gov/Archives/edgar/data/46080/000119312517283854/d456734dex41.htm" TargetMode="External"/><Relationship Id="rId84" Type="http://schemas.openxmlformats.org/officeDocument/2006/relationships/hyperlink" Target="http://www.sec.gov/Archives/edgar/data/46080/000119312519295544/d822953dex12.htm" TargetMode="External"/><Relationship Id="rId85" Type="http://schemas.openxmlformats.org/officeDocument/2006/relationships/hyperlink" Target="http://www.sec.gov/ix?doc=/Archives/edgar/data/46080/000119312523088813/d443850ddef14a.htm#toc443850_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2023-08-04T13:23:55Z</dcterms:created>
  <dcterms:modified xsi:type="dcterms:W3CDTF">2023-08-04T13:23:55Z</dcterms:modified>
</cp:coreProperties>
</file>