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180" w:after="283"/>
        <w:jc w:val="center"/>
        <w:rPr>
          <w:rFonts w:ascii="Arial;sans-serif" w:hAnsi="Arial;sans-serif"/>
          <w:b/>
          <w:color w:val="000000"/>
          <w:sz w:val="28"/>
        </w:rPr>
      </w:pPr>
      <w:r>
        <w:rPr>
          <w:rFonts w:ascii="Arial;sans-serif" w:hAnsi="Arial;sans-serif"/>
          <w:b/>
          <w:color w:val="000000"/>
          <w:sz w:val="28"/>
        </w:rPr>
        <w:t xml:space="preserve">FORM 10-Q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(Mark One)</w:t>
      </w:r>
    </w:p>
    <w:tbl>
      <w:tblPr>
        <w:tblW w:w="9716" w:type="dxa"/>
        <w:jc w:val="center"/>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June 28, 2026 </w:t>
      </w:r>
    </w:p>
    <w:tbl>
      <w:tblPr>
        <w:tblW w:w="9686" w:type="dxa"/>
        <w:jc w:val="center"/>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Commission File Number 1-6682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200" w:after="283"/>
        <w:jc w:val="center"/>
        <w:rPr>
          <w:rFonts w:ascii="Arial;sans-serif" w:hAnsi="Arial;sans-serif"/>
          <w:b/>
          <w:color w:val="000000"/>
          <w:sz w:val="28"/>
        </w:rPr>
      </w:pPr>
      <w:r>
        <w:rPr>
          <w:rFonts w:ascii="Arial;sans-serif" w:hAnsi="Arial;sans-serif"/>
          <w:b/>
          <w:color w:val="000000"/>
          <w:sz w:val="28"/>
        </w:rPr>
        <w:t xml:space="preserve">HASBRO, INC.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7799" w:type="dxa"/>
        <w:jc w:val="center"/>
        <w:tblInd w:w="0" w:type="dxa"/>
        <w:tblLayout w:type="fixed"/>
        <w:tblCellMar>
          <w:top w:w="28" w:type="dxa"/>
          <w:left w:w="28" w:type="dxa"/>
          <w:bottom w:w="28" w:type="dxa"/>
          <w:right w:w="28" w:type="dxa"/>
        </w:tblCellMar>
      </w:tblPr>
      <w:tblGrid>
        <w:gridCol w:w="897"/>
        <w:gridCol w:w="789"/>
        <w:gridCol w:w="789"/>
        <w:gridCol w:w="789"/>
        <w:gridCol w:w="789"/>
        <w:gridCol w:w="807"/>
        <w:gridCol w:w="857"/>
        <w:gridCol w:w="857"/>
        <w:gridCol w:w="1225"/>
      </w:tblGrid>
      <w:tr>
        <w:trPr/>
        <w:tc>
          <w:tcPr>
            <w:tcW w:w="89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4860"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Rhode Island</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05-0155090</w:t>
            </w:r>
          </w:p>
        </w:tc>
      </w:tr>
      <w:tr>
        <w:trPr/>
        <w:tc>
          <w:tcPr>
            <w:tcW w:w="4860"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8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1027 Newport Avenue</w:t>
            </w:r>
          </w:p>
        </w:tc>
        <w:tc>
          <w:tcPr>
            <w:tcW w:w="2939" w:type="dxa"/>
            <w:gridSpan w:val="3"/>
            <w:tcBorders/>
            <w:tcMar>
              <w:top w:w="0" w:type="dxa"/>
              <w:left w:w="0" w:type="dxa"/>
              <w:bottom w:w="0" w:type="dxa"/>
              <w:right w:w="0" w:type="dxa"/>
            </w:tcMar>
            <w:vAlign w:val="center"/>
          </w:tcPr>
          <w:p>
            <w:pPr>
              <w:pStyle w:val="TableContents"/>
              <w:bidi w:val="0"/>
              <w:spacing w:before="0" w:after="20"/>
              <w:jc w:val="center"/>
              <w:rPr/>
            </w:pPr>
            <w:r>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Arial;sans-serif" w:hAnsi="Arial;sans-serif"/>
                <w:b/>
                <w:color w:val="000000"/>
                <w:sz w:val="20"/>
              </w:rPr>
            </w:pPr>
            <w:r>
              <w:rPr>
                <w:rFonts w:ascii="Arial;sans-serif" w:hAnsi="Arial;sans-serif"/>
                <w:b/>
                <w:color w:val="000000"/>
                <w:sz w:val="20"/>
              </w:rPr>
              <w:t>Pawtucket,</w:t>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0"/>
              </w:rPr>
            </w:pPr>
            <w:r>
              <w:rPr>
                <w:rFonts w:ascii="Arial;sans-serif" w:hAnsi="Arial;sans-serif"/>
                <w:b/>
                <w:color w:val="000000"/>
                <w:sz w:val="20"/>
              </w:rPr>
              <w:t>Rhode Island</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02861</w:t>
            </w:r>
          </w:p>
        </w:tc>
      </w:tr>
      <w:tr>
        <w:trPr/>
        <w:tc>
          <w:tcPr>
            <w:tcW w:w="4860"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 xml:space="preserve">(401) 431-8697 </w:t>
      </w:r>
    </w:p>
    <w:p>
      <w:pPr>
        <w:pStyle w:val="TextBody"/>
        <w:bidi w:val="0"/>
        <w:spacing w:lineRule="auto" w:line="264"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60" w:after="283"/>
        <w:ind w:left="0" w:right="0" w:firstLine="630"/>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404" w:type="dxa"/>
        <w:jc w:val="center"/>
        <w:tblInd w:w="0" w:type="dxa"/>
        <w:tblLayout w:type="fixed"/>
        <w:tblCellMar>
          <w:top w:w="28" w:type="dxa"/>
          <w:left w:w="28" w:type="dxa"/>
          <w:bottom w:w="28" w:type="dxa"/>
          <w:right w:w="28" w:type="dxa"/>
        </w:tblCellMar>
      </w:tblPr>
      <w:tblGrid>
        <w:gridCol w:w="1450"/>
        <w:gridCol w:w="1275"/>
        <w:gridCol w:w="1280"/>
        <w:gridCol w:w="534"/>
        <w:gridCol w:w="534"/>
        <w:gridCol w:w="536"/>
        <w:gridCol w:w="1108"/>
        <w:gridCol w:w="1108"/>
        <w:gridCol w:w="1579"/>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00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$0.50 par value per share</w:t>
            </w:r>
          </w:p>
        </w:tc>
        <w:tc>
          <w:tcPr>
            <w:tcW w:w="160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HAS</w:t>
            </w:r>
          </w:p>
        </w:tc>
        <w:tc>
          <w:tcPr>
            <w:tcW w:w="379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Global Select Market</w:t>
            </w:r>
          </w:p>
        </w:tc>
      </w:tr>
    </w:tbl>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168" w:type="dxa"/>
        <w:jc w:val="center"/>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 Yes ☐ No  [x]</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number of shares of Common Stock, par value $.50 per share, outstanding as of July 20, 2026 was 141,044,467.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212529"/>
          <w:sz w:val="20"/>
        </w:rPr>
      </w:pPr>
      <w:r>
        <w:rPr>
          <w:rFonts w:ascii="Arial;sans-serif" w:hAnsi="Arial;sans-serif"/>
          <w:b/>
          <w:color w:val="212529"/>
          <w:sz w:val="20"/>
        </w:rPr>
        <w:t>Hasbro, Inc.</w:t>
      </w:r>
    </w:p>
    <w:p>
      <w:pPr>
        <w:pStyle w:val="TextBody"/>
        <w:bidi w:val="0"/>
        <w:spacing w:lineRule="auto" w:line="288" w:before="0" w:after="0"/>
        <w:jc w:val="center"/>
        <w:rPr>
          <w:rFonts w:ascii="Arial;sans-serif" w:hAnsi="Arial;sans-serif"/>
          <w:b/>
          <w:color w:val="212529"/>
          <w:sz w:val="20"/>
        </w:rPr>
      </w:pPr>
      <w:r>
        <w:rPr>
          <w:rFonts w:ascii="Arial;sans-serif" w:hAnsi="Arial;sans-serif"/>
          <w:b/>
          <w:color w:val="212529"/>
          <w:sz w:val="20"/>
        </w:rPr>
        <w:t>Form 10-Q</w:t>
      </w:r>
    </w:p>
    <w:p>
      <w:pPr>
        <w:pStyle w:val="TextBody"/>
        <w:bidi w:val="0"/>
        <w:spacing w:lineRule="auto" w:line="288" w:before="0" w:after="0"/>
        <w:jc w:val="center"/>
        <w:rPr/>
      </w:pPr>
      <w:r>
        <w:rPr>
          <w:rFonts w:ascii="Arial;sans-serif" w:hAnsi="Arial;sans-serif"/>
          <w:b/>
          <w:color w:val="212529"/>
          <w:sz w:val="20"/>
        </w:rPr>
        <w:t>For the Quarter Ended June 28, 2026</w:t>
      </w:r>
      <w:r>
        <w:rPr>
          <w:color w:val="000000"/>
        </w:rPr>
        <w:t xml:space="preserve"> </w:t>
      </w:r>
    </w:p>
    <w:tbl>
      <w:tblPr>
        <w:tblW w:w="9327" w:type="dxa"/>
        <w:jc w:val="left"/>
        <w:tblInd w:w="0" w:type="dxa"/>
        <w:tblLayout w:type="fixed"/>
        <w:tblCellMar>
          <w:top w:w="28" w:type="dxa"/>
          <w:left w:w="28" w:type="dxa"/>
          <w:bottom w:w="28" w:type="dxa"/>
          <w:right w:w="28" w:type="dxa"/>
        </w:tblCellMar>
      </w:tblPr>
      <w:tblGrid>
        <w:gridCol w:w="427"/>
        <w:gridCol w:w="348"/>
        <w:gridCol w:w="351"/>
        <w:gridCol w:w="2607"/>
        <w:gridCol w:w="2607"/>
        <w:gridCol w:w="2615"/>
        <w:gridCol w:w="109"/>
        <w:gridCol w:w="109"/>
        <w:gridCol w:w="154"/>
      </w:tblGrid>
      <w:tr>
        <w:trPr/>
        <w:tc>
          <w:tcPr>
            <w:tcW w:w="42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3">
              <w:r>
                <w:rPr>
                  <w:rStyle w:val="InternetLink"/>
                  <w:rFonts w:ascii="Arial;sans-serif" w:hAnsi="Arial;sans-serif"/>
                  <w:b/>
                  <w:color w:val="0000FF"/>
                  <w:sz w:val="20"/>
                  <w:u w:val="single"/>
                </w:rPr>
                <w:t>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3">
              <w:r>
                <w:rPr>
                  <w:rStyle w:val="InternetLink"/>
                  <w:rFonts w:ascii="Arial;sans-serif" w:hAnsi="Arial;sans-serif"/>
                  <w:b w:val="false"/>
                  <w:color w:val="0000FF"/>
                  <w:sz w:val="20"/>
                  <w:u w:val="single"/>
                </w:rPr>
                <w:t>5</w:t>
              </w:r>
            </w:hyperlink>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6">
              <w:r>
                <w:rPr>
                  <w:rStyle w:val="InternetLink"/>
                  <w:rFonts w:ascii="Arial;sans-serif" w:hAnsi="Arial;sans-serif"/>
                  <w:b w:val="false"/>
                  <w:color w:val="0000FF"/>
                  <w:sz w:val="20"/>
                  <w:u w:val="single"/>
                </w:rPr>
                <w:t>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6">
              <w:r>
                <w:rPr>
                  <w:rStyle w:val="InternetLink"/>
                  <w:rFonts w:ascii="Arial;sans-serif" w:hAnsi="Arial;sans-serif"/>
                  <w:b w:val="false"/>
                  <w:color w:val="0000FF"/>
                  <w:sz w:val="20"/>
                  <w:u w:val="single"/>
                </w:rPr>
                <w:t>5</w:t>
              </w:r>
            </w:hyperlink>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9">
              <w:r>
                <w:rPr>
                  <w:rStyle w:val="InternetLink"/>
                  <w:rFonts w:ascii="Arial;sans-serif" w:hAnsi="Arial;sans-serif"/>
                  <w:b w:val="false"/>
                  <w:color w:val="0000FF"/>
                  <w:sz w:val="20"/>
                  <w:u w:val="single"/>
                </w:rPr>
                <w:t>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9">
              <w:r>
                <w:rPr>
                  <w:rStyle w:val="InternetLink"/>
                  <w:rFonts w:ascii="Arial;sans-serif" w:hAnsi="Arial;sans-serif"/>
                  <w:b w:val="false"/>
                  <w:color w:val="0000FF"/>
                  <w:sz w:val="20"/>
                  <w:u w:val="single"/>
                </w:rPr>
                <w:t>5</w:t>
              </w:r>
            </w:hyperlink>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22">
              <w:r>
                <w:rPr>
                  <w:rStyle w:val="InternetLink"/>
                  <w:rFonts w:ascii="Arial;sans-serif" w:hAnsi="Arial;sans-serif"/>
                  <w:b w:val="false"/>
                  <w:color w:val="0000FF"/>
                  <w:sz w:val="20"/>
                  <w:u w:val="single"/>
                </w:rPr>
                <w:t>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22">
              <w:r>
                <w:rPr>
                  <w:rStyle w:val="InternetLink"/>
                  <w:rFonts w:ascii="Arial;sans-serif" w:hAnsi="Arial;sans-serif"/>
                  <w:b w:val="false"/>
                  <w:color w:val="0000FF"/>
                  <w:sz w:val="20"/>
                  <w:u w:val="single"/>
                </w:rPr>
                <w:t>6</w:t>
              </w:r>
            </w:hyperlink>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25">
              <w:r>
                <w:rPr>
                  <w:rStyle w:val="InternetLink"/>
                  <w:rFonts w:ascii="Arial;sans-serif" w:hAnsi="Arial;sans-serif"/>
                  <w:b w:val="false"/>
                  <w:color w:val="0000FF"/>
                  <w:sz w:val="20"/>
                  <w:u w:val="single"/>
                </w:rPr>
                <w:t>Consolidated Statements of Comprehensive Earnings (Loss)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25">
              <w:r>
                <w:rPr>
                  <w:rStyle w:val="InternetLink"/>
                  <w:rFonts w:ascii="Arial;sans-serif" w:hAnsi="Arial;sans-serif"/>
                  <w:b w:val="false"/>
                  <w:color w:val="0000FF"/>
                  <w:sz w:val="20"/>
                  <w:u w:val="single"/>
                </w:rPr>
                <w:t>7</w:t>
              </w:r>
            </w:hyperlink>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28">
              <w:r>
                <w:rPr>
                  <w:rStyle w:val="InternetLink"/>
                  <w:rFonts w:ascii="Arial;sans-serif" w:hAnsi="Arial;sans-serif"/>
                  <w:b w:val="false"/>
                  <w:color w:val="0000FF"/>
                  <w:sz w:val="20"/>
                  <w:u w:val="single"/>
                </w:rPr>
                <w:t>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28">
              <w:r>
                <w:rPr>
                  <w:rStyle w:val="InternetLink"/>
                  <w:rFonts w:ascii="Arial;sans-serif" w:hAnsi="Arial;sans-serif"/>
                  <w:b w:val="false"/>
                  <w:color w:val="0000FF"/>
                  <w:sz w:val="20"/>
                  <w:u w:val="single"/>
                </w:rPr>
                <w:t>8</w:t>
              </w:r>
            </w:hyperlink>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31">
              <w:r>
                <w:rPr>
                  <w:rStyle w:val="InternetLink"/>
                  <w:rFonts w:ascii="Arial;sans-serif" w:hAnsi="Arial;sans-serif"/>
                  <w:b w:val="false"/>
                  <w:color w:val="0000FF"/>
                  <w:sz w:val="20"/>
                  <w:u w:val="single"/>
                </w:rPr>
                <w:t>Consolidated Statements of Shareholders' Equity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31">
              <w:r>
                <w:rPr>
                  <w:rStyle w:val="InternetLink"/>
                  <w:rFonts w:ascii="Arial;sans-serif" w:hAnsi="Arial;sans-serif"/>
                  <w:b w:val="false"/>
                  <w:color w:val="0000FF"/>
                  <w:sz w:val="20"/>
                  <w:u w:val="single"/>
                </w:rPr>
                <w:t>9</w:t>
              </w:r>
            </w:hyperlink>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pPr>
            <w:hyperlink w:anchor="ib24327a87af04db58b75ab59611a0f48_34">
              <w:r>
                <w:rPr>
                  <w:rStyle w:val="InternetLink"/>
                  <w:rFonts w:ascii="Arial;sans-serif" w:hAnsi="Arial;sans-serif"/>
                  <w:b w:val="false"/>
                  <w:color w:val="0000FF"/>
                  <w:sz w:val="20"/>
                  <w:u w:val="single"/>
                </w:rPr>
                <w:t>Condensed Notes to Consolidated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34">
              <w:r>
                <w:rPr>
                  <w:rStyle w:val="InternetLink"/>
                  <w:rFonts w:ascii="Arial;sans-serif" w:hAnsi="Arial;sans-serif"/>
                  <w:b w:val="false"/>
                  <w:color w:val="0000FF"/>
                  <w:sz w:val="20"/>
                  <w:u w:val="single"/>
                </w:rPr>
                <w:t>10</w:t>
              </w:r>
            </w:hyperlink>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88">
              <w:r>
                <w:rPr>
                  <w:rStyle w:val="InternetLink"/>
                  <w:rFonts w:ascii="Arial;sans-serif" w:hAnsi="Arial;sans-serif"/>
                  <w:b w:val="false"/>
                  <w:color w:val="0000FF"/>
                  <w:sz w:val="20"/>
                  <w:u w:val="single"/>
                </w:rPr>
                <w:t>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88">
              <w:r>
                <w:rPr>
                  <w:rStyle w:val="InternetLink"/>
                  <w:rFonts w:ascii="Arial;sans-serif" w:hAnsi="Arial;sans-serif"/>
                  <w:b w:val="false"/>
                  <w:color w:val="0000FF"/>
                  <w:sz w:val="20"/>
                  <w:u w:val="single"/>
                </w:rPr>
                <w:t>29</w:t>
              </w:r>
            </w:hyperlink>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b24327a87af04db58b75ab59611a0f48_118">
              <w:r>
                <w:rPr>
                  <w:rStyle w:val="InternetLink"/>
                  <w:rFonts w:ascii="Arial;sans-serif" w:hAnsi="Arial;sans-serif"/>
                  <w:b w:val="false"/>
                  <w:color w:val="0000FF"/>
                  <w:sz w:val="20"/>
                  <w:u w:val="single"/>
                </w:rPr>
                <w:t>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18">
              <w:r>
                <w:rPr>
                  <w:rStyle w:val="InternetLink"/>
                  <w:rFonts w:ascii="Arial;sans-serif" w:hAnsi="Arial;sans-serif"/>
                  <w:b w:val="false"/>
                  <w:color w:val="0000FF"/>
                  <w:sz w:val="20"/>
                  <w:u w:val="single"/>
                </w:rPr>
                <w:t>43</w:t>
              </w:r>
            </w:hyperlink>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21">
              <w:r>
                <w:rPr>
                  <w:rStyle w:val="InternetLink"/>
                  <w:rFonts w:ascii="Arial;sans-serif" w:hAnsi="Arial;sans-serif"/>
                  <w:b w:val="false"/>
                  <w:color w:val="0000FF"/>
                  <w:sz w:val="20"/>
                  <w:u w:val="single"/>
                </w:rPr>
                <w:t>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21">
              <w:r>
                <w:rPr>
                  <w:rStyle w:val="InternetLink"/>
                  <w:rFonts w:ascii="Arial;sans-serif" w:hAnsi="Arial;sans-serif"/>
                  <w:b w:val="false"/>
                  <w:color w:val="0000FF"/>
                  <w:sz w:val="20"/>
                  <w:u w:val="single"/>
                </w:rPr>
                <w:t>44</w:t>
              </w:r>
            </w:hyperlink>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24">
              <w:r>
                <w:rPr>
                  <w:rStyle w:val="InternetLink"/>
                  <w:rFonts w:ascii="Arial;sans-serif" w:hAnsi="Arial;sans-serif"/>
                  <w:b/>
                  <w:color w:val="0000FF"/>
                  <w:sz w:val="20"/>
                  <w:u w:val="single"/>
                </w:rPr>
                <w:t>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24">
              <w:r>
                <w:rPr>
                  <w:rStyle w:val="InternetLink"/>
                  <w:rFonts w:ascii="Arial;sans-serif" w:hAnsi="Arial;sans-serif"/>
                  <w:b w:val="false"/>
                  <w:color w:val="0000FF"/>
                  <w:sz w:val="20"/>
                  <w:u w:val="single"/>
                </w:rPr>
                <w:t>45</w:t>
              </w:r>
            </w:hyperlink>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27">
              <w:r>
                <w:rPr>
                  <w:rStyle w:val="InternetLink"/>
                  <w:rFonts w:ascii="Arial;sans-serif" w:hAnsi="Arial;sans-serif"/>
                  <w:b w:val="false"/>
                  <w:color w:val="0000FF"/>
                  <w:sz w:val="20"/>
                  <w:u w:val="single"/>
                </w:rPr>
                <w:t>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27">
              <w:r>
                <w:rPr>
                  <w:rStyle w:val="InternetLink"/>
                  <w:rFonts w:ascii="Arial;sans-serif" w:hAnsi="Arial;sans-serif"/>
                  <w:b w:val="false"/>
                  <w:color w:val="0000FF"/>
                  <w:sz w:val="20"/>
                  <w:u w:val="single"/>
                </w:rPr>
                <w:t>45</w:t>
              </w:r>
            </w:hyperlink>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30">
              <w:r>
                <w:rPr>
                  <w:rStyle w:val="InternetLink"/>
                  <w:rFonts w:ascii="Arial;sans-serif" w:hAnsi="Arial;sans-serif"/>
                  <w:b w:val="false"/>
                  <w:color w:val="0000FF"/>
                  <w:sz w:val="20"/>
                  <w:u w:val="single"/>
                </w:rPr>
                <w:t>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30">
              <w:r>
                <w:rPr>
                  <w:rStyle w:val="InternetLink"/>
                  <w:rFonts w:ascii="Arial;sans-serif" w:hAnsi="Arial;sans-serif"/>
                  <w:b w:val="false"/>
                  <w:color w:val="0000FF"/>
                  <w:sz w:val="20"/>
                  <w:u w:val="single"/>
                </w:rPr>
                <w:t>45</w:t>
              </w:r>
            </w:hyperlink>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33">
              <w:r>
                <w:rPr>
                  <w:rStyle w:val="InternetLink"/>
                  <w:rFonts w:ascii="Arial;sans-serif" w:hAnsi="Arial;sans-serif"/>
                  <w:b w:val="false"/>
                  <w:color w:val="0000FF"/>
                  <w:sz w:val="20"/>
                  <w:u w:val="single"/>
                </w:rPr>
                <w:t>Unregistered Sales of Equity Securities and Use of Proceeds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33">
              <w:r>
                <w:rPr>
                  <w:rStyle w:val="InternetLink"/>
                  <w:rFonts w:ascii="Arial;sans-serif" w:hAnsi="Arial;sans-serif"/>
                  <w:b w:val="false"/>
                  <w:color w:val="0000FF"/>
                  <w:sz w:val="20"/>
                  <w:u w:val="single"/>
                </w:rPr>
                <w:t>46</w:t>
              </w:r>
            </w:hyperlink>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36">
              <w:r>
                <w:rPr>
                  <w:rStyle w:val="InternetLink"/>
                  <w:rFonts w:ascii="Arial;sans-serif" w:hAnsi="Arial;sans-serif"/>
                  <w:b w:val="false"/>
                  <w:color w:val="0000FF"/>
                  <w:sz w:val="20"/>
                  <w:u w:val="single"/>
                </w:rPr>
                <w:t>Defaults Upon Senior Securities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36">
              <w:r>
                <w:rPr>
                  <w:rStyle w:val="InternetLink"/>
                  <w:rFonts w:ascii="Arial;sans-serif" w:hAnsi="Arial;sans-serif"/>
                  <w:b w:val="false"/>
                  <w:color w:val="0000FF"/>
                  <w:sz w:val="20"/>
                  <w:u w:val="single"/>
                </w:rPr>
                <w:t>46</w:t>
              </w:r>
            </w:hyperlink>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39">
              <w:r>
                <w:rPr>
                  <w:rStyle w:val="InternetLink"/>
                  <w:rFonts w:ascii="Arial;sans-serif" w:hAnsi="Arial;sans-serif"/>
                  <w:b w:val="false"/>
                  <w:color w:val="0000FF"/>
                  <w:sz w:val="20"/>
                  <w:u w:val="single"/>
                </w:rPr>
                <w:t>Mine Safety Disclosures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39">
              <w:r>
                <w:rPr>
                  <w:rStyle w:val="InternetLink"/>
                  <w:rFonts w:ascii="Arial;sans-serif" w:hAnsi="Arial;sans-serif"/>
                  <w:b w:val="false"/>
                  <w:color w:val="0000FF"/>
                  <w:sz w:val="20"/>
                  <w:u w:val="single"/>
                </w:rPr>
                <w:t>46</w:t>
              </w:r>
            </w:hyperlink>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42">
              <w:r>
                <w:rPr>
                  <w:rStyle w:val="InternetLink"/>
                  <w:rFonts w:ascii="Arial;sans-serif" w:hAnsi="Arial;sans-serif"/>
                  <w:b w:val="false"/>
                  <w:color w:val="0000FF"/>
                  <w:sz w:val="20"/>
                  <w:u w:val="single"/>
                </w:rPr>
                <w:t>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42">
              <w:r>
                <w:rPr>
                  <w:rStyle w:val="InternetLink"/>
                  <w:rFonts w:ascii="Arial;sans-serif" w:hAnsi="Arial;sans-serif"/>
                  <w:b w:val="false"/>
                  <w:color w:val="0000FF"/>
                  <w:sz w:val="20"/>
                  <w:u w:val="single"/>
                </w:rPr>
                <w:t>46</w:t>
              </w:r>
            </w:hyperlink>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45">
              <w:r>
                <w:rPr>
                  <w:rStyle w:val="InternetLink"/>
                  <w:rFonts w:ascii="Arial;sans-serif" w:hAnsi="Arial;sans-serif"/>
                  <w:b w:val="false"/>
                  <w:color w:val="0000FF"/>
                  <w:sz w:val="20"/>
                  <w:u w:val="single"/>
                </w:rPr>
                <w:t>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45">
              <w:r>
                <w:rPr>
                  <w:rStyle w:val="InternetLink"/>
                  <w:rFonts w:ascii="Arial;sans-serif" w:hAnsi="Arial;sans-serif"/>
                  <w:b w:val="false"/>
                  <w:color w:val="0000FF"/>
                  <w:sz w:val="20"/>
                  <w:u w:val="single"/>
                </w:rPr>
                <w:t>47</w:t>
              </w:r>
            </w:hyperlink>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48">
              <w:r>
                <w:rPr>
                  <w:rStyle w:val="InternetLink"/>
                  <w:rFonts w:ascii="Arial;sans-serif" w:hAnsi="Arial;sans-serif"/>
                  <w:b/>
                  <w:color w:val="0000FF"/>
                  <w:sz w:val="20"/>
                  <w:u w:val="single"/>
                </w:rPr>
                <w:t>Signatures</w:t>
              </w:r>
            </w:hyperlink>
          </w:p>
        </w:tc>
        <w:tc>
          <w:tcPr>
            <w:tcW w:w="7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4327a87af04db58b75ab59611a0f48_148">
              <w:r>
                <w:rPr>
                  <w:rStyle w:val="InternetLink"/>
                  <w:rFonts w:ascii="Arial;sans-serif" w:hAnsi="Arial;sans-serif"/>
                  <w:b w:val="false"/>
                  <w:color w:val="0000FF"/>
                  <w:sz w:val="20"/>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Special Note Regarding Forward-Looking Statements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Certain statements in this Quarterly Report on Form 10-Q (“Quarterly Report”) contain “forward-looking statements” within the meaning of the Private Securities Litigation Reform Act of 1995. These statements, which may be identified by the use of forward-looking words or phrases, include statements relating to: our business strategies and plans; products, gaming and entertainment; anticipated cost savings; expected debt repayments and share repurchases; expected impact of tariffs or refunds thereof; anticipated impact of moving our Rhode Island operations to Boston, Massachusetts; expectations relating to the impact of unauthorized access to the Company’s network, including on our financial condition and results of operations, findings from our investigation into the unauthorized access, the effectiveness of our containment and remediation efforts, costs and expenses and any insurance recoveries; expected impact of newly issued accounting pronouncements and tax legislation; financial targets; and expectations for our future performance. Our actual actions or results may differ materially from those expected or anticipated in the forward-looking statements due to both known and unknown risks and uncertainties.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Factors that might cause such a difference include, but are not limited to:</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successfully implement and execute on our </w:t>
      </w:r>
      <w:r>
        <w:rPr>
          <w:rFonts w:ascii="Arial;sans-serif" w:hAnsi="Arial;sans-serif"/>
          <w:b w:val="false"/>
          <w:i/>
          <w:color w:val="000000"/>
          <w:sz w:val="20"/>
        </w:rPr>
        <w:t>Playing to Win</w:t>
      </w:r>
      <w:r>
        <w:rPr>
          <w:color w:val="000000"/>
        </w:rPr>
        <w:t xml:space="preserve"> </w:t>
      </w:r>
      <w:r>
        <w:rPr>
          <w:rFonts w:ascii="Arial;sans-serif" w:hAnsi="Arial;sans-serif"/>
          <w:b w:val="false"/>
          <w:color w:val="000000"/>
          <w:sz w:val="20"/>
        </w:rPr>
        <w:t>business strategy;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successfully compete in the play industry and further develop our digital gaming, licensing and consumer products businesses and partnerships;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continually introduce new and innovative products that are accepted by consumers, particularly for brands such as </w:t>
      </w:r>
      <w:r>
        <w:rPr>
          <w:rFonts w:ascii="Arial;sans-serif" w:hAnsi="Arial;sans-serif"/>
          <w:b w:val="false"/>
          <w:i/>
          <w:color w:val="000000"/>
          <w:sz w:val="20"/>
        </w:rPr>
        <w:t>Magic: The Gathering</w:t>
      </w:r>
      <w:r>
        <w:rPr>
          <w:color w:val="000000"/>
        </w:rPr>
        <w:t xml:space="preserve"> </w:t>
      </w:r>
      <w:r>
        <w:rPr>
          <w:rFonts w:ascii="Arial;sans-serif" w:hAnsi="Arial;sans-serif"/>
          <w:b w:val="false"/>
          <w:color w:val="000000"/>
          <w:sz w:val="20"/>
        </w:rPr>
        <w:t>in which we have seen an increasing concentration of our sales and profits;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risks associated with the imposition, threat, or uncertainty of tariffs, including any possible refunds of tariffs, in markets in which we operate; imposition of tariffs could increase our product costs and other costs of doing business, result in higher prices of our products, impact consumer spending, lower our revenues, result in delays or reductions in purchases from our customers, result in goodwill impairments, reduce earnings and otherwise have an adverse impact on our business;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associated with international operations, such as: conflict in territories in which we operate or which affect areas in which we operate such as the recent conflict with Iran, which could impact, among other things, shipping timing, oil prices and other product and raw material costs and consumer spending; currency conversion; currency fluctuations; quotas; shipping delays or difficulties; border adjustment taxes, tariffs or other protectionist measures; and other factors impacting the territories in which we operate;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 or disruption to our business our inability to protect our assets and intellectual property, including as a result of infringement, theft, misappropriation, cyber-attacks or other acts compromising the integrity of our assets or intellectual property or systems;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risks associated with unauthorized access to our network we recently experienced, including the duration and magnitude of operational disruption; the effectiveness of our response; the impact of such unauthorized access on our business, operations, financial results, and financial reporting; and any further business disruptions from such unauthorized access and increased costs relating to such unauthorized access, including from any legal proceedings;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related to political, economic and public health conditions or regulatory changes in the markets in which we and our customers, partners, licensees, suppliers and manufacturers operate, such as inflation, fluctuating interest rates, tariffs, higher commodity prices, labor strikes, labor costs or transportation costs, or outbreaks of illness or disease, the occurrence of which could create work slowdowns, delays or shortages in production or shipment of products, increases in costs, reduced purchasing power or less discretionary income, or losses and delays in revenue and earnings;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uncertain and unpredictable global and regional economic conditions impacting one or more of the markets in which we sell products, which can result in higher prices for our products or consumer necessities and can otherwise negatively impact our customers and consumers, result in lower employment levels, consumer discretionary income, retailer inventories and spending, including lower spending on purchases of our products;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transform our business and capabilities to address the changing global consumer landscape, including evolving demographics for our products and advancements in emerging technologies, such as the integration of artificial intelligence into our product development, marketing strategies, and consumer engagement, and the associated risks such as evolving regulatory standards, implementation challenges, and third-party dependencies on such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design, develop, manufacture, and ship products on a timely, cost-effective and profitable basis;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concentration of our customers, potentially increasing the negative impact to our business of difficulties experienced by any of our customers or changes in their purchasing or selling patterns;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dependence on third-party relationships, including with third-party partners, manufacturers, distributors, studios, content producers, licensors, licensees, and outsourcers, which creates reliance on others and loss of control;</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relating to the concentration of manufacturing for many of our products in the People’s Republic of China, which include the risks associated with increased tariffs imposed on trade between China and the U.S., and our ability to successfully diversify sourcing of our products to reduce reliance on sources of supply in China;</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attract and retain talented and diverse employees;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business could be adversely affected by challenges and disruptions arising from the loss of skills, knowledge or expertise, and from uncertainty regarding the continued employment of key personnel, particularly as a result of recent workforce reductions and the planned relocation of our Rhode Island operations to Boston, Massachusetts;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realize the benefits of cost-savings and efficiency and/or revenue and operating profit enhancing initiatives;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risks relating to the impairment and/or write-offs related to businesses, products and/or content we acquire, develop and/or produce;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risk that acquisitions, dispositions and other investments we complete may not provide us with the benefits we expect, or the realization of such benefits may be significantly delayed or reduced;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fluctuations in our business due to seasonality;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risk of product recalls or product liability suits and costs associated with product safety regulations;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impact of litigation or arbitration decisions or settlement actions;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bankruptcy or other lack of success of one or more of our significant retailers, licensees and other partners;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other risks and uncertainties as may be detailed in our public announcements and U.S. Securities and Exchange Commission (“SEC”) filings.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a detailed discussion of these and other risks, uncertainties and factors, see Part I, Item 1A “Risk Factors” of our Annual Report on Form 10-K for the fiscal year ended December 28, 2025 (the “2025 Annual Report”), as well as Part II, Item 1A "Risk Factors" of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Except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98"/>
        <w:gridCol w:w="1906"/>
        <w:gridCol w:w="1891"/>
        <w:gridCol w:w="211"/>
        <w:gridCol w:w="766"/>
        <w:gridCol w:w="109"/>
        <w:gridCol w:w="109"/>
        <w:gridCol w:w="109"/>
        <w:gridCol w:w="109"/>
        <w:gridCol w:w="211"/>
        <w:gridCol w:w="766"/>
        <w:gridCol w:w="109"/>
        <w:gridCol w:w="109"/>
        <w:gridCol w:w="109"/>
        <w:gridCol w:w="109"/>
        <w:gridCol w:w="239"/>
        <w:gridCol w:w="868"/>
        <w:gridCol w:w="177"/>
      </w:tblGrid>
      <w:tr>
        <w:trPr/>
        <w:tc>
          <w:tcPr>
            <w:tcW w:w="2298"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28,</w:t>
              <w:br/>
              <w:t>2025</w:t>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ASSETS</w:t>
            </w:r>
          </w:p>
        </w:tc>
      </w:tr>
      <w:tr>
        <w:trPr/>
        <w:tc>
          <w:tcPr>
            <w:tcW w:w="6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2,583.7 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Property, plant and equipment, net of accumulated depreciation of $1,079.6, $1,055.4 and $1,060.0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intangible assets, net of accumulated amortization of $439.9, $460.3 and $412.2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5,552.0 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LIABILITIES, NONCONTROLLING INTERESTS AND SHAREHOLDERS' EQUITY</w:t>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6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1,871.1 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2,767.9 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4,986.5 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16)</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Preference stock of $2.50 par value. Authorized 5,000,000 shares; none issued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of $0.50 par value. Authorized 600,000,000 shares; 220,286,736 shares issued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79,017,960 shares; 80,075,685 shares; and 79,901,615 shares,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(3,603.6)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565.5 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noncontrolling interests and shareholders'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5,552.0 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val="false"/>
          <w:color w:val="000000"/>
          <w:sz w:val="16"/>
        </w:rPr>
      </w:pPr>
      <w:r>
        <w:rPr>
          <w:rFonts w:ascii="Arial;sans-serif" w:hAnsi="Arial;sans-serif"/>
          <w:b w:val="false"/>
          <w:color w:val="000000"/>
          <w:sz w:val="16"/>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344" w:type="dxa"/>
        <w:jc w:val="left"/>
        <w:tblInd w:w="0" w:type="dxa"/>
        <w:tblLayout w:type="fixed"/>
        <w:tblCellMar>
          <w:top w:w="28" w:type="dxa"/>
          <w:left w:w="28" w:type="dxa"/>
          <w:bottom w:w="28" w:type="dxa"/>
          <w:right w:w="28" w:type="dxa"/>
        </w:tblCellMar>
      </w:tblPr>
      <w:tblGrid>
        <w:gridCol w:w="1549"/>
        <w:gridCol w:w="1361"/>
        <w:gridCol w:w="1364"/>
        <w:gridCol w:w="211"/>
        <w:gridCol w:w="766"/>
        <w:gridCol w:w="109"/>
        <w:gridCol w:w="109"/>
        <w:gridCol w:w="109"/>
        <w:gridCol w:w="109"/>
        <w:gridCol w:w="211"/>
        <w:gridCol w:w="691"/>
        <w:gridCol w:w="109"/>
        <w:gridCol w:w="109"/>
        <w:gridCol w:w="109"/>
        <w:gridCol w:w="109"/>
        <w:gridCol w:w="211"/>
        <w:gridCol w:w="616"/>
        <w:gridCol w:w="109"/>
        <w:gridCol w:w="109"/>
        <w:gridCol w:w="109"/>
        <w:gridCol w:w="109"/>
        <w:gridCol w:w="211"/>
        <w:gridCol w:w="691"/>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 (Note 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distribution and administration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non-operating expense, net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 before income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noncontrolling interests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per common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dividends declared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30" w:after="10"/>
        <w:jc w:val="center"/>
        <w:rPr>
          <w:rFonts w:ascii="Arial;sans-serif" w:hAnsi="Arial;sans-serif"/>
          <w:b w:val="false"/>
          <w:color w:val="000000"/>
          <w:sz w:val="16"/>
        </w:rPr>
      </w:pPr>
      <w:r>
        <w:rPr>
          <w:rFonts w:ascii="Arial;sans-serif" w:hAnsi="Arial;sans-serif"/>
          <w:b w:val="false"/>
          <w:color w:val="000000"/>
          <w:sz w:val="16"/>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Earnings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04"/>
        <w:gridCol w:w="1658"/>
        <w:gridCol w:w="1634"/>
        <w:gridCol w:w="211"/>
        <w:gridCol w:w="616"/>
        <w:gridCol w:w="109"/>
        <w:gridCol w:w="109"/>
        <w:gridCol w:w="109"/>
        <w:gridCol w:w="109"/>
        <w:gridCol w:w="211"/>
        <w:gridCol w:w="683"/>
        <w:gridCol w:w="109"/>
        <w:gridCol w:w="109"/>
        <w:gridCol w:w="109"/>
        <w:gridCol w:w="109"/>
        <w:gridCol w:w="308"/>
        <w:gridCol w:w="308"/>
        <w:gridCol w:w="262"/>
        <w:gridCol w:w="169"/>
        <w:gridCol w:w="169"/>
        <w:gridCol w:w="169"/>
        <w:gridCol w:w="340"/>
        <w:gridCol w:w="342"/>
        <w:gridCol w:w="349"/>
      </w:tblGrid>
      <w:tr>
        <w:trPr/>
        <w:tc>
          <w:tcPr>
            <w:tcW w:w="1904"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5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360.8 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(755.2)</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holding gains on available-for-sale securities,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unrecognized pension amounts,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gains (losses) on hedging activities,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34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to earnings, net of tax:</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losses (gains) on hedging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 net of tax</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earnings (loss), net of tax</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366.4 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(735.4)</w:t>
            </w:r>
          </w:p>
        </w:tc>
        <w:tc>
          <w:tcPr>
            <w:tcW w:w="3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earnings attributable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earnings (loss) attributable to Hasbro, Inc.</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364.9 </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(737.4)</w:t>
            </w:r>
          </w:p>
        </w:tc>
        <w:tc>
          <w:tcPr>
            <w:tcW w:w="3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pPr>
      <w:r>
        <w:rPr>
          <w:rFonts w:ascii="Arial;sans-serif" w:hAnsi="Arial;sans-serif"/>
          <w:b w:val="false"/>
          <w:color w:val="000000"/>
          <w:sz w:val="16"/>
        </w:rPr>
        <w:t>See accompanying condensed notes to consolidated financial statements.</w:t>
      </w: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473" w:type="dxa"/>
        <w:jc w:val="center"/>
        <w:tblInd w:w="0" w:type="dxa"/>
        <w:tblLayout w:type="fixed"/>
        <w:tblCellMar>
          <w:top w:w="28" w:type="dxa"/>
          <w:left w:w="28" w:type="dxa"/>
          <w:bottom w:w="28" w:type="dxa"/>
          <w:right w:w="28" w:type="dxa"/>
        </w:tblCellMar>
      </w:tblPr>
      <w:tblGrid>
        <w:gridCol w:w="2616"/>
        <w:gridCol w:w="2303"/>
        <w:gridCol w:w="2310"/>
        <w:gridCol w:w="211"/>
        <w:gridCol w:w="616"/>
        <w:gridCol w:w="109"/>
        <w:gridCol w:w="109"/>
        <w:gridCol w:w="109"/>
        <w:gridCol w:w="109"/>
        <w:gridCol w:w="211"/>
        <w:gridCol w:w="616"/>
        <w:gridCol w:w="154"/>
      </w:tblGrid>
      <w:tr>
        <w:trPr/>
        <w:tc>
          <w:tcPr>
            <w:tcW w:w="261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(755.2)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earnings (loss)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business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capitalized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 obsolescence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operating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prepaid expenses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production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accounts payable and 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net deemed repatriation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software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utilized by investing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financing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transactions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related to tax withholding for 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(utilized) by financing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information</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612" w:type="dxa"/>
        <w:jc w:val="center"/>
        <w:tblInd w:w="0" w:type="dxa"/>
        <w:tblLayout w:type="fixed"/>
        <w:tblCellMar>
          <w:top w:w="28" w:type="dxa"/>
          <w:left w:w="28" w:type="dxa"/>
          <w:bottom w:w="28" w:type="dxa"/>
          <w:right w:w="28" w:type="dxa"/>
        </w:tblCellMar>
      </w:tblPr>
      <w:tblGrid>
        <w:gridCol w:w="767"/>
        <w:gridCol w:w="239"/>
        <w:gridCol w:w="240"/>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245"/>
        <w:gridCol w:w="714"/>
        <w:gridCol w:w="137"/>
        <w:gridCol w:w="109"/>
        <w:gridCol w:w="109"/>
        <w:gridCol w:w="109"/>
        <w:gridCol w:w="196"/>
        <w:gridCol w:w="706"/>
        <w:gridCol w:w="109"/>
        <w:gridCol w:w="109"/>
        <w:gridCol w:w="109"/>
        <w:gridCol w:w="109"/>
        <w:gridCol w:w="274"/>
        <w:gridCol w:w="653"/>
        <w:gridCol w:w="154"/>
        <w:gridCol w:w="109"/>
        <w:gridCol w:w="109"/>
        <w:gridCol w:w="109"/>
        <w:gridCol w:w="225"/>
        <w:gridCol w:w="639"/>
        <w:gridCol w:w="127"/>
        <w:gridCol w:w="109"/>
        <w:gridCol w:w="109"/>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28,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(7.7)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March 29, 2026</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(217.4)</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June 28, 2026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(211.9)</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730.3 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962" w:type="dxa"/>
        <w:jc w:val="left"/>
        <w:tblInd w:w="0" w:type="dxa"/>
        <w:tblLayout w:type="fixed"/>
        <w:tblCellMar>
          <w:top w:w="28" w:type="dxa"/>
          <w:left w:w="28" w:type="dxa"/>
          <w:bottom w:w="28" w:type="dxa"/>
          <w:right w:w="28" w:type="dxa"/>
        </w:tblCellMar>
      </w:tblPr>
      <w:tblGrid>
        <w:gridCol w:w="767"/>
        <w:gridCol w:w="239"/>
        <w:gridCol w:w="240"/>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322"/>
        <w:gridCol w:w="939"/>
        <w:gridCol w:w="180"/>
        <w:gridCol w:w="109"/>
        <w:gridCol w:w="109"/>
        <w:gridCol w:w="109"/>
        <w:gridCol w:w="196"/>
        <w:gridCol w:w="706"/>
        <w:gridCol w:w="109"/>
        <w:gridCol w:w="109"/>
        <w:gridCol w:w="109"/>
        <w:gridCol w:w="109"/>
        <w:gridCol w:w="274"/>
        <w:gridCol w:w="653"/>
        <w:gridCol w:w="154"/>
        <w:gridCol w:w="109"/>
        <w:gridCol w:w="109"/>
        <w:gridCol w:w="109"/>
        <w:gridCol w:w="196"/>
        <w:gridCol w:w="691"/>
        <w:gridCol w:w="109"/>
        <w:gridCol w:w="109"/>
        <w:gridCol w:w="109"/>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29, 2024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(246.4)</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March 30, 2025</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(239.6)</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earnings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June 29, 2025</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(3,605.9)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    </w:t>
      </w:r>
      <w:r>
        <w:rPr>
          <w:rFonts w:ascii="Arial;sans-serif" w:hAnsi="Arial;sans-serif"/>
          <w:b/>
          <w:color w:val="000000"/>
          <w:sz w:val="20"/>
          <w:u w:val="single"/>
        </w:rPr>
        <w:t>Basis of Presentation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the opinion of management, the accompanying unaudited interim consolidated financial statements contain all normal and recurring adjustments necessary to present fairly the consolidated financial position of Hasbro, Inc. and all consolidated subsidiaries ("Hasbro" or the "Company") as of June 28, 2026, June 29, 2025, and December 28, 2025, and the results of its operations and cash flows and shareholders' equity for the periods ended June 28, 2026 and June 29, 2025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condensed notes thereto. Actual results could differ from those estimates.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three months ended June 28, 2026 and June 29, 2025 were 13-week periods. The six months ended June 28, 2026 and June 29, 2025 were 26-week periods.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results of operations for the three and six months ended June 28, 2026 are not necessarily indicative of results to be expected for the full year 2026, nor were those of the comparable 2025 periods representative of those actually experienced for the full year 2025.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These consolidated financial statements have been prepared without audit, pursuant to the rules and regulations of the U.S.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28, 2025 in the Company's Annual Report on Form 10-K for the year ended December 28, 2025 ("2025 Form 10-K"), which includes all such information and disclosures and, accordingly, should be read in conjunction with the financial information included herein. Certain amounts have been reclassified to conform to current year presentation.</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Significant Accounting Policies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significant accounting policies are summarized in Note 1, Summary of Significant Accounting Policies, to the consolidated financial statements included in the Company's 2025 Form 10-K. We believe that at June 28, 2026, there has been no material change to this information except as noted below.</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Software Development Costs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Capitalized software development costs include both direct costs for internally developed titles and payments to third-party software developers under development agreements that have been incurred by the Company subsequent to establishing the technological feasibility of a software title. Software development costs are capitalized within Other assets in the Company’s accompanying Consolidated Balance Sheets.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evaluate the future recoverability of capitalized software development costs on a quarterly basis. For titles that have been released to the general public, recoverability is primarily assessed based on the title's actual performance. For titles that are scheduled to be released in the future, recoverability is evaluated based on the expected performance of the specific titles to which the cost relates. When we determine that capitalized costs of the title are unlikely to be recovered by product sales or when we decide to abandon a project, an impairment or write-off of software development costs capitalized is charged in the period in which such determination is made.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Write-offs of unreleased titles are recorded within Selling, distribution and administration in the Company's accompanying Consolidated Statements of Operations. During the three and six months ended June 28, 2026, the Company recorded a $56.4 million non-cash impairment charge related to the Company's decision to refocus the Digital Games portfolio, which included the cancellation of certain titles scheduled for releases in 2028 and beyond. The Company did not write-off any unreleased titles in the three and six months ended June 29, 2025.</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Recently Adopted Accounting Pronouncements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and six months ended June 28, 2026, there were no recently adopted accounting standards that had a material effect on the Company’s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Accounting Standards Issued But Not Yet Adopted</w:t>
      </w:r>
    </w:p>
    <w:p>
      <w:pPr>
        <w:pStyle w:val="TextBody"/>
        <w:bidi w:val="0"/>
        <w:spacing w:lineRule="auto" w:line="288" w:before="120" w:after="283"/>
        <w:jc w:val="left"/>
        <w:rPr/>
      </w:pPr>
      <w:r>
        <w:rPr>
          <w:rFonts w:ascii="Arial;sans-serif" w:hAnsi="Arial;sans-serif"/>
          <w:b w:val="false"/>
          <w:color w:val="000000"/>
          <w:sz w:val="20"/>
        </w:rPr>
        <w:t xml:space="preserve">In November 2024, the Financial Accounting Standards Board ("FASB") issued Accounting Standards Update ("ASU") 2024-03, </w:t>
      </w:r>
      <w:r>
        <w:rPr>
          <w:rFonts w:ascii="Arial;sans-serif" w:hAnsi="Arial;sans-serif"/>
          <w:b w:val="false"/>
          <w:i/>
          <w:color w:val="000000"/>
          <w:sz w:val="20"/>
        </w:rPr>
        <w:t>Income Statement—Reporting Comprehensive Income—Expense Disaggregation Disclosures</w:t>
      </w:r>
      <w:r>
        <w:rPr>
          <w:rFonts w:ascii="Arial;sans-serif" w:hAnsi="Arial;sans-serif"/>
          <w:b w:val="false"/>
          <w:color w:val="000000"/>
          <w:sz w:val="20"/>
        </w:rPr>
        <w:t>. The new standard requires enhanced additional disclosures related to certain expense categories. The new standard is effective for fiscal years beginning after December 15, 2026. We are assessing the effect on our 2027 annual consolidated financial statement disclosures and in future interim periods thereafter. At this time, we anticipate adoption will result in additional disclosures within our consolidated financial statements; however adoption will not impact our consolidated balance sheets or statements of operations.</w:t>
      </w:r>
    </w:p>
    <w:p>
      <w:pPr>
        <w:pStyle w:val="TextBody"/>
        <w:bidi w:val="0"/>
        <w:spacing w:lineRule="auto" w:line="288" w:before="120" w:after="283"/>
        <w:jc w:val="left"/>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Intangibles—Goodwill and Other—</w:t>
      </w:r>
    </w:p>
    <w:p>
      <w:pPr>
        <w:pStyle w:val="TextBody"/>
        <w:bidi w:val="0"/>
        <w:spacing w:lineRule="auto" w:line="288" w:before="0" w:after="0"/>
        <w:jc w:val="left"/>
        <w:rPr/>
      </w:pPr>
      <w:r>
        <w:rPr>
          <w:rFonts w:ascii="Arial;sans-serif" w:hAnsi="Arial;sans-serif"/>
          <w:b w:val="false"/>
          <w:i/>
          <w:color w:val="000000"/>
          <w:sz w:val="20"/>
        </w:rPr>
        <w:t>Internal-Use Software (Subtopic 350-40)</w:t>
      </w:r>
      <w:r>
        <w:rPr>
          <w:rFonts w:ascii="Arial;sans-serif" w:hAnsi="Arial;sans-serif"/>
          <w:b w:val="false"/>
          <w:color w:val="000000"/>
          <w:sz w:val="20"/>
        </w:rPr>
        <w:t>. The standard removes all references to the previously existing software development project stages and requires entities to start capitalizing software costs when management has authorized and committed funding to a software project and it is probable that the project will be completed with its intended functionality. The new standard is effective for fiscal years beginning after December 15, 2027. Early adoption is permitted and can be applied prospectively, retrospectively, or utilizing a modified transition approach. We are currently assessing the impact of this ASU on our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All other ASUs issued but not yet adopted were assessed and determined to be not applicable or are not expected to have a material impact on our consolidated financial statements or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(2)    </w:t>
      </w:r>
      <w:r>
        <w:rPr>
          <w:rFonts w:ascii="Arial;sans-serif" w:hAnsi="Arial;sans-serif"/>
          <w:b/>
          <w:color w:val="000000"/>
          <w:sz w:val="20"/>
          <w:u w:val="single"/>
        </w:rPr>
        <w:t>Unauthorized Network Access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late March 2026, the Company identified unauthorized access to its network. Upon discovery, the Company promptly activated its security incident response protocols, implemented containment measures, including proactively taking certain systems offline, and launched an investigation with the assistance of third-party cybersecurity professionals. Simultaneously, the Company implemented its business continuity plans, including manual ordering and processing procedures at a reduced rate of operations in order to continue servicing its customers.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impacts of these system disruptions included order processing, shipping, and invoicing delays, resulting in a negative impact on net sales and operating profit during the second quarter, particularly within the Consumer Products segment. As of June 28, 2026, the Company has since returned to pre-incident order processing, shipping, and invoicing practices.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incurred incremental expenses of approximately $10.8 million during the three and six months ended June 28, 2026 as a result of the unauthorized access, including for third-party IT recovery and forensic experts, professional services and other costs incurred to investigate and remediate the attack. The Company expects to incur a less significant amount of additional costs related to the incident in future periods. The Company has not recognized any insurance proceeds during the three months ended June 28, 2026 related to the unauthorized network access. The timing of recognizing insurance recoveries, if any, may differ from the timing of recognizing the associated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(3)    </w:t>
      </w:r>
      <w:r>
        <w:rPr>
          <w:rFonts w:ascii="Arial;sans-serif" w:hAnsi="Arial;sans-serif"/>
          <w:b/>
          <w:color w:val="000000"/>
          <w:sz w:val="20"/>
          <w:u w:val="single"/>
        </w:rPr>
        <w:t>Revenue Recognition</w:t>
      </w:r>
    </w:p>
    <w:p>
      <w:pPr>
        <w:pStyle w:val="TextBody"/>
        <w:bidi w:val="0"/>
        <w:spacing w:lineRule="auto" w:line="288" w:before="120" w:after="283"/>
        <w:jc w:val="left"/>
        <w:rPr/>
      </w:pPr>
      <w:r>
        <w:rPr>
          <w:rFonts w:ascii="Arial;sans-serif" w:hAnsi="Arial;sans-serif"/>
          <w:b w:val="false"/>
          <w:color w:val="000000"/>
          <w:sz w:val="20"/>
          <w:shd w:fill="FFFFFF" w:val="clear"/>
        </w:rPr>
        <w:t xml:space="preserve">Revenue is recognized when control of the promised goods, functional intellectual property or production is transferred to the customers or licensees, in an amount 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 </w:t>
      </w:r>
      <w:r>
        <w:rPr>
          <w:rFonts w:ascii="Arial;sans-serif" w:hAnsi="Arial;sans-serif"/>
          <w:b w:val="false"/>
          <w:color w:val="000000"/>
          <w:sz w:val="20"/>
        </w:rPr>
        <w:t>The majority of the Company’s revenues are derived from sales of finished products to customers. Refer to Note 1, Summary of Significant Accounting Policies, of the Company's 2025 Form 10-K for the Company's revenue recognition accounting policy.</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Contract Assets and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ordinary course of business, the Company enters into arrangements that result in the recognition of contract assets and contract liabilities. The Company records the current portion of contract assets and contract liabilities in Prepaid expenses and other current assets and Accrued liabilities, respectively, and the long-term portion within Other assets and Other liabilities, respectively, in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opening and closing balances of contract assets and contract liabilities are as follows:</w:t>
      </w:r>
    </w:p>
    <w:tbl>
      <w:tblPr>
        <w:tblW w:w="4718" w:type="dxa"/>
        <w:jc w:val="left"/>
        <w:tblInd w:w="0" w:type="dxa"/>
        <w:tblLayout w:type="fixed"/>
        <w:tblCellMar>
          <w:top w:w="28" w:type="dxa"/>
          <w:left w:w="28" w:type="dxa"/>
          <w:bottom w:w="28" w:type="dxa"/>
          <w:right w:w="28" w:type="dxa"/>
        </w:tblCellMar>
      </w:tblPr>
      <w:tblGrid>
        <w:gridCol w:w="897"/>
        <w:gridCol w:w="787"/>
        <w:gridCol w:w="790"/>
        <w:gridCol w:w="211"/>
        <w:gridCol w:w="616"/>
        <w:gridCol w:w="109"/>
        <w:gridCol w:w="109"/>
        <w:gridCol w:w="109"/>
        <w:gridCol w:w="109"/>
        <w:gridCol w:w="211"/>
        <w:gridCol w:w="616"/>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Contract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end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Contract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end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six months ended June 28, 2026, the Company recognized revenue of $84.7 million that was included in the December 28, 2025 contract liability balance. For the six months ended June 29, 2025, the Company recognized revenue of $150.8 million that was included in the December 29, 2024 contract liability balance.</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Unsatisfied Performance Obligations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28, 2026, revenue for unsatisfied performance obligations expected to be recognized in the future is $951.6 million, primarily for intellectual property to be made available in the future under existing agreements with merchandise and co-branding licensees and television station affiliates. Of this amount, we expect to recognize approximately $124.4 million in the remainder of 2026, $199.5 million in 2027, $155.3 million in 2028, and $472.4 million thereafter. These amounts include only fixed consideration or minimum guarantees and do not include amounts related to (i) contracts with an original expected term of one year or less or (ii) licenses of intellectual property that are solely based on the sales of the licensee.</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Accounts Receivable and Allowance for Credit Losses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balance for accounts receivable on the Consolidated Balance Sheets as of June 28, 2026 and June 29, 2025 primarily represents billed amounts relating to contracts with customers. Unbilled amounts, typically relating to the minimum guarantees recognized in advance of contractual billing schedules, are recorded as contract assets within the Consolidated Balance Sheets. A summary of the related allowance for credit losses activity for accounts receivable and contract assets is as follows:</w:t>
      </w:r>
    </w:p>
    <w:tbl>
      <w:tblPr>
        <w:tblW w:w="6968" w:type="dxa"/>
        <w:jc w:val="left"/>
        <w:tblInd w:w="0" w:type="dxa"/>
        <w:tblLayout w:type="fixed"/>
        <w:tblCellMar>
          <w:top w:w="28" w:type="dxa"/>
          <w:left w:w="28" w:type="dxa"/>
          <w:bottom w:w="28" w:type="dxa"/>
          <w:right w:w="28" w:type="dxa"/>
        </w:tblCellMar>
      </w:tblPr>
      <w:tblGrid>
        <w:gridCol w:w="949"/>
        <w:gridCol w:w="837"/>
        <w:gridCol w:w="83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38"/>
        <w:gridCol w:w="458"/>
        <w:gridCol w:w="173"/>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Allowance for Credit Losses</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Accounts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Contract Assets</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Provisions/charges to income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charged off and 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impact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Disaggregation of Revenues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disaggregates its revenues from contracts with customers by reportable segment: Wizards of the Coast and Digital Gaming, Consumer Products, and Entertainment. The Company further disaggregates revenues within its Wizards of the Coast and Digital Gaming segment by category: Tabletop Gaming and Digital and Licensed Gaming; within its Consumer Products segment by major geographic region: North America, Europe, Latin America, and Asia Pacific; and within its Entertainment segment by category: Family Brands and Film and TV. Finally, the Company disaggregates its revenues into three brand categories: Grow Brands, Optimize Brands, and Reinvent Brands. We believe these collectively depict how the nature, amount, timing and uncertainty of revenue and cash flows are affected by 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Wizards of the Coast and Digital Gaming segment net revenues by category:</w:t>
      </w:r>
    </w:p>
    <w:tbl>
      <w:tblPr>
        <w:tblW w:w="7409" w:type="dxa"/>
        <w:jc w:val="left"/>
        <w:tblInd w:w="0" w:type="dxa"/>
        <w:tblLayout w:type="fixed"/>
        <w:tblCellMar>
          <w:top w:w="28" w:type="dxa"/>
          <w:left w:w="28" w:type="dxa"/>
          <w:bottom w:w="28" w:type="dxa"/>
          <w:right w:w="28" w:type="dxa"/>
        </w:tblCellMar>
      </w:tblPr>
      <w:tblGrid>
        <w:gridCol w:w="900"/>
        <w:gridCol w:w="793"/>
        <w:gridCol w:w="796"/>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Tabletop Gaming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and Licensed Gaming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Consumer Products segment net revenues by major geographic region:</w:t>
      </w:r>
    </w:p>
    <w:tbl>
      <w:tblPr>
        <w:tblW w:w="6060" w:type="dxa"/>
        <w:jc w:val="left"/>
        <w:tblInd w:w="0" w:type="dxa"/>
        <w:tblLayout w:type="fixed"/>
        <w:tblCellMar>
          <w:top w:w="28" w:type="dxa"/>
          <w:left w:w="28" w:type="dxa"/>
          <w:bottom w:w="28" w:type="dxa"/>
          <w:right w:w="28" w:type="dxa"/>
        </w:tblCellMar>
      </w:tblPr>
      <w:tblGrid>
        <w:gridCol w:w="467"/>
        <w:gridCol w:w="410"/>
        <w:gridCol w:w="41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Entertainment segment net revenues by category:</w:t>
      </w:r>
    </w:p>
    <w:tbl>
      <w:tblPr>
        <w:tblW w:w="5640" w:type="dxa"/>
        <w:jc w:val="left"/>
        <w:tblInd w:w="0" w:type="dxa"/>
        <w:tblLayout w:type="fixed"/>
        <w:tblCellMar>
          <w:top w:w="28" w:type="dxa"/>
          <w:left w:w="28" w:type="dxa"/>
          <w:bottom w:w="28" w:type="dxa"/>
          <w:right w:w="28" w:type="dxa"/>
        </w:tblCellMar>
      </w:tblPr>
      <w:tblGrid>
        <w:gridCol w:w="466"/>
        <w:gridCol w:w="411"/>
        <w:gridCol w:w="413"/>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Family Brands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 and TV</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net revenues by brand portfolio:</w:t>
      </w:r>
    </w:p>
    <w:tbl>
      <w:tblPr>
        <w:tblW w:w="7606" w:type="dxa"/>
        <w:jc w:val="left"/>
        <w:tblInd w:w="0" w:type="dxa"/>
        <w:tblLayout w:type="fixed"/>
        <w:tblCellMar>
          <w:top w:w="28" w:type="dxa"/>
          <w:left w:w="28" w:type="dxa"/>
          <w:bottom w:w="28" w:type="dxa"/>
          <w:right w:w="28" w:type="dxa"/>
        </w:tblCellMar>
      </w:tblPr>
      <w:tblGrid>
        <w:gridCol w:w="552"/>
        <w:gridCol w:w="487"/>
        <w:gridCol w:w="490"/>
        <w:gridCol w:w="211"/>
        <w:gridCol w:w="766"/>
        <w:gridCol w:w="109"/>
        <w:gridCol w:w="109"/>
        <w:gridCol w:w="109"/>
        <w:gridCol w:w="109"/>
        <w:gridCol w:w="324"/>
        <w:gridCol w:w="948"/>
        <w:gridCol w:w="167"/>
        <w:gridCol w:w="109"/>
        <w:gridCol w:w="109"/>
        <w:gridCol w:w="109"/>
        <w:gridCol w:w="211"/>
        <w:gridCol w:w="766"/>
        <w:gridCol w:w="109"/>
        <w:gridCol w:w="109"/>
        <w:gridCol w:w="109"/>
        <w:gridCol w:w="109"/>
        <w:gridCol w:w="277"/>
        <w:gridCol w:w="1006"/>
        <w:gridCol w:w="202"/>
      </w:tblGrid>
      <w:tr>
        <w:trPr/>
        <w:tc>
          <w:tcPr>
            <w:tcW w:w="55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June 29, 2025</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June 29, 2025</w:t>
            </w:r>
            <w:r>
              <w:rPr>
                <w:rFonts w:ascii="Arial;sans-serif" w:hAnsi="Arial;sans-serif"/>
                <w:b/>
                <w:color w:val="000000"/>
                <w:sz w:val="12"/>
              </w:rPr>
              <w:t>(1)</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Grow Brands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740.6 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1,401.4 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Optimize Brands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Reinvent Brands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980.8 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1,867.9 </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Arial;sans-serif" w:hAnsi="Arial;sans-serif"/>
          <w:b w:val="false"/>
          <w:i/>
          <w:color w:val="000000"/>
          <w:sz w:val="10"/>
        </w:rPr>
        <w:t xml:space="preserve">(1) </w:t>
      </w:r>
      <w:r>
        <w:rPr>
          <w:rFonts w:ascii="Arial;sans-serif" w:hAnsi="Arial;sans-serif"/>
          <w:b w:val="false"/>
          <w:i/>
          <w:color w:val="000000"/>
          <w:sz w:val="16"/>
        </w:rPr>
        <w:t>During the first quarter of 2026, the classification of brands within these categories was reviewed and certain brands were reclassified based on changes in growth, profitability or other characteristics. As such, the respective historical revenues associated within these brands has been reclassified into the brands' new brand category.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(4)    </w:t>
      </w:r>
      <w:r>
        <w:rPr>
          <w:rFonts w:ascii="Arial;sans-serif" w:hAnsi="Arial;sans-serif"/>
          <w:b/>
          <w:color w:val="000000"/>
          <w:sz w:val="20"/>
          <w:u w:val="single"/>
        </w:rPr>
        <w:t>Sale of Entertainment One Film and TV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December 27, 2023, the Company completed the sale of its Entertainment One film and television business ("eOne Film and TV") to Lions Gate Entertainment Corp., Lions Gate Entertainment Inc. and Lions Gate International Motion Pictures S.à.r.l (collectively "Lionsgate"), pursuant to the terms of an Equity Purchase Agreement dated August 3, 2023, among Hasbro and Lionsgate for a purchase price of $375.0 million in cash, subject to certain purchase price adjustments plus the assumption by Lionsgate of production financing loans. The Equity Purchase Agreement also included a holdback amount that was retained by Lionsgate upon the execution of the sale but remained recoverable by Hasbro if certain terms were not satisfied by Lionsgate within 30 days of the first anniversary of the agreement.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six months ended June 29, 2025, the Company was informed by Lionsgate of the satisfaction of the requirements under the agreement and the final holdback amount was settled, resulting in a $25.0 million Loss on disposal of business on the Consolidated Statements of Operations. During the six months ended June 28, 2026, no further amounts were recorded to Loss on disposal of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120" w:after="283"/>
        <w:ind w:left="0" w:right="0" w:hanging="540"/>
        <w:jc w:val="left"/>
        <w:rPr/>
      </w:pPr>
      <w:r>
        <w:rPr>
          <w:rFonts w:ascii="Arial;sans-serif" w:hAnsi="Arial;sans-serif"/>
          <w:b/>
          <w:color w:val="000000"/>
          <w:sz w:val="20"/>
        </w:rPr>
        <w:t>(5)    </w:t>
      </w:r>
      <w:r>
        <w:rPr>
          <w:rFonts w:ascii="Arial;sans-serif" w:hAnsi="Arial;sans-serif"/>
          <w:b/>
          <w:color w:val="000000"/>
          <w:sz w:val="20"/>
          <w:u w:val="single"/>
        </w:rPr>
        <w:t>Earnings (Loss) Per Common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earnings (loss) per share data was computed as follows:</w:t>
      </w:r>
    </w:p>
    <w:tbl>
      <w:tblPr>
        <w:tblW w:w="10205" w:type="dxa"/>
        <w:jc w:val="left"/>
        <w:tblInd w:w="0" w:type="dxa"/>
        <w:tblLayout w:type="fixed"/>
        <w:tblCellMar>
          <w:top w:w="28" w:type="dxa"/>
          <w:left w:w="28" w:type="dxa"/>
          <w:bottom w:w="28" w:type="dxa"/>
          <w:right w:w="28" w:type="dxa"/>
        </w:tblCellMar>
      </w:tblPr>
      <w:tblGrid>
        <w:gridCol w:w="1917"/>
        <w:gridCol w:w="1683"/>
        <w:gridCol w:w="1688"/>
        <w:gridCol w:w="211"/>
        <w:gridCol w:w="616"/>
        <w:gridCol w:w="109"/>
        <w:gridCol w:w="109"/>
        <w:gridCol w:w="109"/>
        <w:gridCol w:w="109"/>
        <w:gridCol w:w="211"/>
        <w:gridCol w:w="688"/>
        <w:gridCol w:w="109"/>
        <w:gridCol w:w="109"/>
        <w:gridCol w:w="109"/>
        <w:gridCol w:w="109"/>
        <w:gridCol w:w="211"/>
        <w:gridCol w:w="616"/>
        <w:gridCol w:w="109"/>
        <w:gridCol w:w="109"/>
        <w:gridCol w:w="109"/>
        <w:gridCol w:w="109"/>
        <w:gridCol w:w="211"/>
        <w:gridCol w:w="688"/>
        <w:gridCol w:w="157"/>
      </w:tblGrid>
      <w:tr>
        <w:trPr/>
        <w:tc>
          <w:tcPr>
            <w:tcW w:w="1917"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5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(757.2)</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shares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Equivalent Shares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 Inc. per common share: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both the three and six months ended June 28, 2026, options and other share-based awards totaling 0.3 million were excluded from the calculation of diluted earnings per share because to include them would have been anti-dilutive. For the three and six months ended June 29, 2025, options and restricted units were 3.6 million and were excluded from the calculation of diluted earnings per share because to include them would have been anti-dilutive. With respect to 2025, 2.9 million and 2.8 million awards, respectively, would have been included in the calculation of diluted shares had the Company not had a net loss for the three and six months ended June 29, 2025. Assuming that these options and restricted stock units were included, under the treasury stock method, this would have resulted in an additional 1.0 million and 1.1 million shares, respectively, being included in the diluted earnings per share calculation for the three and six months ended June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(6)    </w:t>
      </w:r>
      <w:r>
        <w:rPr>
          <w:rFonts w:ascii="Arial;sans-serif" w:hAnsi="Arial;sans-serif"/>
          <w:b/>
          <w:color w:val="000000"/>
          <w:sz w:val="20"/>
          <w:u w:val="single"/>
        </w:rPr>
        <w:t>Other Comprehensive Earnings (Loss)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Components of Other comprehensive earnings (loss) are presented within the Consolidated Statements of Comprehensive Earnings (Loss), net of tax. Income tax effects are released from Accumulated other comprehensive loss ("AOCL") at the effective tax rate during the period in which the components are released.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Changes in the components of AOCL are as follows:</w:t>
      </w:r>
    </w:p>
    <w:tbl>
      <w:tblPr>
        <w:tblW w:w="10205" w:type="dxa"/>
        <w:jc w:val="left"/>
        <w:tblInd w:w="0" w:type="dxa"/>
        <w:tblLayout w:type="fixed"/>
        <w:tblCellMar>
          <w:top w:w="28" w:type="dxa"/>
          <w:left w:w="28" w:type="dxa"/>
          <w:bottom w:w="28" w:type="dxa"/>
          <w:right w:w="28" w:type="dxa"/>
        </w:tblCellMar>
      </w:tblPr>
      <w:tblGrid>
        <w:gridCol w:w="1313"/>
        <w:gridCol w:w="972"/>
        <w:gridCol w:w="879"/>
        <w:gridCol w:w="397"/>
        <w:gridCol w:w="793"/>
        <w:gridCol w:w="206"/>
        <w:gridCol w:w="109"/>
        <w:gridCol w:w="109"/>
        <w:gridCol w:w="109"/>
        <w:gridCol w:w="284"/>
        <w:gridCol w:w="709"/>
        <w:gridCol w:w="148"/>
        <w:gridCol w:w="109"/>
        <w:gridCol w:w="109"/>
        <w:gridCol w:w="109"/>
        <w:gridCol w:w="277"/>
        <w:gridCol w:w="554"/>
        <w:gridCol w:w="145"/>
        <w:gridCol w:w="109"/>
        <w:gridCol w:w="109"/>
        <w:gridCol w:w="109"/>
        <w:gridCol w:w="266"/>
        <w:gridCol w:w="796"/>
        <w:gridCol w:w="139"/>
        <w:gridCol w:w="109"/>
        <w:gridCol w:w="109"/>
        <w:gridCol w:w="109"/>
        <w:gridCol w:w="211"/>
        <w:gridCol w:w="653"/>
        <w:gridCol w:w="155"/>
      </w:tblGrid>
      <w:tr>
        <w:trPr/>
        <w:tc>
          <w:tcPr>
            <w:tcW w:w="131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1"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28, 2026</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Pension and</w:t>
              <w:br/>
              <w:t>Postretirement</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Derivative</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Available-</w:t>
              <w:br/>
              <w:t>for-Sale</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w:t>
              <w:br/>
              <w:t>Currency</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AOCL</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March 29, 2026</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(194.3)</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(217.4)</w:t>
            </w:r>
          </w:p>
        </w:tc>
        <w:tc>
          <w:tcPr>
            <w:tcW w:w="155"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 (loss), before reclassifications, before tax</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 (loss), before reclassifications</w:t>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from AOCL to earnings, before tax</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from AOCL to earnings</w:t>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 (loss)</w:t>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June 28, 2026</w:t>
            </w:r>
          </w:p>
        </w:tc>
        <w:tc>
          <w:tcPr>
            <w:tcW w:w="3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91"/>
        <w:gridCol w:w="894"/>
        <w:gridCol w:w="879"/>
        <w:gridCol w:w="397"/>
        <w:gridCol w:w="793"/>
        <w:gridCol w:w="206"/>
        <w:gridCol w:w="109"/>
        <w:gridCol w:w="109"/>
        <w:gridCol w:w="109"/>
        <w:gridCol w:w="284"/>
        <w:gridCol w:w="709"/>
        <w:gridCol w:w="148"/>
        <w:gridCol w:w="109"/>
        <w:gridCol w:w="109"/>
        <w:gridCol w:w="109"/>
        <w:gridCol w:w="277"/>
        <w:gridCol w:w="554"/>
        <w:gridCol w:w="145"/>
        <w:gridCol w:w="109"/>
        <w:gridCol w:w="109"/>
        <w:gridCol w:w="109"/>
        <w:gridCol w:w="266"/>
        <w:gridCol w:w="796"/>
        <w:gridCol w:w="139"/>
        <w:gridCol w:w="109"/>
        <w:gridCol w:w="109"/>
        <w:gridCol w:w="109"/>
        <w:gridCol w:w="211"/>
        <w:gridCol w:w="653"/>
        <w:gridCol w:w="155"/>
      </w:tblGrid>
      <w:tr>
        <w:trPr/>
        <w:tc>
          <w:tcPr>
            <w:tcW w:w="13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1"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28, 2026</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Pension and</w:t>
              <w:br/>
              <w:t>Postretirement</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Derivative</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Available-</w:t>
              <w:br/>
              <w:t>for-Sale</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w:t>
              <w:br/>
              <w:t>Currency</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AOCL</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28, 2025</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 (loss), before reclassifications, before tax</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 (loss), before reclassifications</w:t>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from AOCL to earnings, before tax</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from AOCL to earnings</w:t>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 (loss)</w:t>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June 28, 2026</w:t>
            </w:r>
          </w:p>
        </w:tc>
        <w:tc>
          <w:tcPr>
            <w:tcW w:w="3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1"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29, 2025</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Pension and</w:t>
              <w:br/>
              <w:t>Postretirement</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Derivative</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Available-</w:t>
              <w:br/>
              <w:t>for-Sale</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w:t>
              <w:br/>
              <w:t>Currency</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AOCL</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Balance, March 30, 2025</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earnings, before reclassifications, before tax</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earnings, before reclassifications</w:t>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from AOCL to earnings, before tax</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from AOCL to earnings</w:t>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earnings</w:t>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29, 2025</w:t>
            </w:r>
          </w:p>
        </w:tc>
        <w:tc>
          <w:tcPr>
            <w:tcW w:w="3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1"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29, 2025</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Pension and</w:t>
              <w:br/>
              <w:t>Postretirement</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Derivative</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Available-</w:t>
              <w:br/>
              <w:t>for-Sale</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w:t>
              <w:br/>
              <w:t>Currency</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AOCL</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29, 2024</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(229.2)</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earnings, before reclassifications, before tax</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earnings, before reclassifications</w:t>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from AOCL to earnings, before tax</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from AOCL to earnings</w:t>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earnings</w:t>
            </w:r>
          </w:p>
        </w:tc>
        <w:tc>
          <w:tcPr>
            <w:tcW w:w="119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13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5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tbl>
      <w:tblPr>
        <w:tblW w:w="7938" w:type="dxa"/>
        <w:jc w:val="left"/>
        <w:tblInd w:w="0" w:type="dxa"/>
        <w:tblLayout w:type="fixed"/>
        <w:tblCellMar>
          <w:top w:w="28" w:type="dxa"/>
          <w:left w:w="28" w:type="dxa"/>
          <w:bottom w:w="28" w:type="dxa"/>
          <w:right w:w="28" w:type="dxa"/>
        </w:tblCellMar>
      </w:tblPr>
      <w:tblGrid>
        <w:gridCol w:w="743"/>
        <w:gridCol w:w="655"/>
        <w:gridCol w:w="657"/>
        <w:gridCol w:w="211"/>
        <w:gridCol w:w="481"/>
        <w:gridCol w:w="109"/>
        <w:gridCol w:w="109"/>
        <w:gridCol w:w="109"/>
        <w:gridCol w:w="109"/>
        <w:gridCol w:w="211"/>
        <w:gridCol w:w="586"/>
        <w:gridCol w:w="109"/>
        <w:gridCol w:w="109"/>
        <w:gridCol w:w="109"/>
        <w:gridCol w:w="109"/>
        <w:gridCol w:w="211"/>
        <w:gridCol w:w="481"/>
        <w:gridCol w:w="109"/>
        <w:gridCol w:w="109"/>
        <w:gridCol w:w="109"/>
        <w:gridCol w:w="109"/>
        <w:gridCol w:w="211"/>
        <w:gridCol w:w="691"/>
        <w:gridCol w:w="109"/>
        <w:gridCol w:w="109"/>
        <w:gridCol w:w="109"/>
        <w:gridCol w:w="109"/>
        <w:gridCol w:w="211"/>
        <w:gridCol w:w="691"/>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June 29, 2025</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Gains (Losses) on Derivative Instruments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28, 2026, the Company had remaining net deferred losses on foreign currency forward contracts, net of tax, of $1.9 million in AOCL. These instruments hedge payments related to inventory purchased in the six months ended June 28, 2026 or forecasted to be purchased during the remainder of 2026, intercompany expenses expected to be paid or received during 2026 and cash receipts for sales made at the end of the second quarter of 2026 or forecasted to be made in the remainder of 2026. These amounts will be reclassified into the Consolidated Statements of Operations upon the sale of the related inventory or recognition of the related sales or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foreign currency forward contracts, the Company entered into hedging contracts on future interest payments related to the 5.10% Notes due 2044. At the date of debt issuance, these contracts were terminated and the fair value on the date of settlement was deferred in AOCL and is being amortized to interest expense over the life of the related Notes using the effective interest rate method. At June 28, 2026, deferred losses, net of tax, of $10.7 million related to these instruments remained in AOCL. For the three months ended June 28, 2026 and June 29, 2025, previously deferred losses, net of tax, of $1.9 million and $0.2 million, respectively, related to these instruments were reclassified from AOCL to net earnings. For the six months ended June 28, 2026 and June 29, 2025, previously deferred losses, net of tax, of $2.1 million and $0.4 million, respectively, related to these instruments were reclassified from AOCL to net earnings.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Of the amounts included in AOCL at June 28, 2026, the Company expects net loss of approximately $1.1 million to be reclassified to the Consolidated Statements of Operations within the next twelve months. However, the amount ultimately realized in earnings is dependent on the fair value of the hedging instruments on the settlement dates.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Note 14, Derivative Financial Instruments, to the consolidated financial statements for additional discussion on reclassifications from AOCL to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(7)    </w:t>
      </w:r>
      <w:r>
        <w:rPr>
          <w:rFonts w:ascii="Arial;sans-serif" w:hAnsi="Arial;sans-serif"/>
          <w:b/>
          <w:color w:val="000000"/>
          <w:sz w:val="20"/>
          <w:u w:val="single"/>
        </w:rPr>
        <w:t>Goodwill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Changes in the carrying amount of goodwill, by operating segment, are as follows:</w:t>
      </w:r>
    </w:p>
    <w:tbl>
      <w:tblPr>
        <w:tblW w:w="10205" w:type="dxa"/>
        <w:jc w:val="left"/>
        <w:tblInd w:w="0" w:type="dxa"/>
        <w:tblLayout w:type="fixed"/>
        <w:tblCellMar>
          <w:top w:w="28" w:type="dxa"/>
          <w:left w:w="28" w:type="dxa"/>
          <w:bottom w:w="28" w:type="dxa"/>
          <w:right w:w="28" w:type="dxa"/>
        </w:tblCellMar>
      </w:tblPr>
      <w:tblGrid>
        <w:gridCol w:w="780"/>
        <w:gridCol w:w="653"/>
        <w:gridCol w:w="660"/>
        <w:gridCol w:w="109"/>
        <w:gridCol w:w="109"/>
        <w:gridCol w:w="109"/>
        <w:gridCol w:w="1371"/>
        <w:gridCol w:w="752"/>
        <w:gridCol w:w="712"/>
        <w:gridCol w:w="109"/>
        <w:gridCol w:w="109"/>
        <w:gridCol w:w="109"/>
        <w:gridCol w:w="790"/>
        <w:gridCol w:w="423"/>
        <w:gridCol w:w="410"/>
        <w:gridCol w:w="109"/>
        <w:gridCol w:w="109"/>
        <w:gridCol w:w="109"/>
        <w:gridCol w:w="649"/>
        <w:gridCol w:w="335"/>
        <w:gridCol w:w="337"/>
        <w:gridCol w:w="109"/>
        <w:gridCol w:w="109"/>
        <w:gridCol w:w="109"/>
        <w:gridCol w:w="254"/>
        <w:gridCol w:w="316"/>
        <w:gridCol w:w="455"/>
      </w:tblGrid>
      <w:tr>
        <w:trPr/>
        <w:tc>
          <w:tcPr>
            <w:tcW w:w="78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2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1,256.7</w:t>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1,256.2</w:t>
            </w:r>
          </w:p>
        </w:tc>
      </w:tr>
    </w:tbl>
    <w:tbl>
      <w:tblPr>
        <w:tblW w:w="10205" w:type="dxa"/>
        <w:jc w:val="left"/>
        <w:tblInd w:w="0" w:type="dxa"/>
        <w:tblLayout w:type="fixed"/>
        <w:tblCellMar>
          <w:top w:w="28" w:type="dxa"/>
          <w:left w:w="28" w:type="dxa"/>
          <w:bottom w:w="28" w:type="dxa"/>
          <w:right w:w="28" w:type="dxa"/>
        </w:tblCellMar>
      </w:tblPr>
      <w:tblGrid>
        <w:gridCol w:w="781"/>
        <w:gridCol w:w="634"/>
        <w:gridCol w:w="641"/>
        <w:gridCol w:w="109"/>
        <w:gridCol w:w="109"/>
        <w:gridCol w:w="109"/>
        <w:gridCol w:w="1322"/>
        <w:gridCol w:w="733"/>
        <w:gridCol w:w="686"/>
        <w:gridCol w:w="109"/>
        <w:gridCol w:w="109"/>
        <w:gridCol w:w="109"/>
        <w:gridCol w:w="775"/>
        <w:gridCol w:w="464"/>
        <w:gridCol w:w="403"/>
        <w:gridCol w:w="109"/>
        <w:gridCol w:w="109"/>
        <w:gridCol w:w="109"/>
        <w:gridCol w:w="649"/>
        <w:gridCol w:w="335"/>
        <w:gridCol w:w="337"/>
        <w:gridCol w:w="109"/>
        <w:gridCol w:w="109"/>
        <w:gridCol w:w="109"/>
        <w:gridCol w:w="258"/>
        <w:gridCol w:w="357"/>
        <w:gridCol w:w="364"/>
        <w:gridCol w:w="158"/>
      </w:tblGrid>
      <w:tr>
        <w:trPr/>
        <w:tc>
          <w:tcPr>
            <w:tcW w:w="78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1,256.8</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assess goodwill and other intangible assets with indefinite lives for impairment each year, or more frequently if events or changes in circumstances indicate an asset may be impaired. For goodwill and indefinite-lived intangible assets, our policy is to assess for impairment as of the beginning of each fiscal fourth quarter. The Company may perform a qualitative assessment and bypass the quantitative impairment testing process, if it is not more likely than not that the carrying value of a reporting unit exceeds its fair value. During the three and six months ended June 28, 2026, there were no events or changes in circumstances necessitating an interim impairment test.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Due to increased tariffs, including reciprocal tariffs, announced by the U.S. government in April 2025, the escalation of on-going trade policy disputes between international governments, the financial performance of certain reporting units being lower than previously forecasted, and other macroeconomic headwinds, in April 2025, the Company noted downward revisions to operating income and cash flow forecasts for certain of its reporting units within the Consumer Products and Entertainment segments. As a result, during the three and six months ended June 29, 2025, the Company performed an interim quantitative impairment test for the North America, Europe, Asia Pacific,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and Latin America Consumer Products reporting units, as well as the Family Brands reporting unit within the Entertainment segment. Additionally, due to our ongoing transformation, we concluded that, as of the second quarter of 2025, the North America, Europe, Asia Pacific, and Latin America reporting units had similar economic characteristics and should be aggregated for purposes of testing goodwill for impairment. Our conclusion was based on a detailed analysis of the aggregation criteria set forth in FASB Accounting Standard Codification ("ASC") Topic 280, Segment Reporting, and in FASB ASC Topic 350, Intangibles - Goodwill and Other. These reporting units serve similar clients and have similar products, and as of the second quarter of 2025 had similar sourcing and distribution methods that along with our ongoing transformation has resulted in similar economic characteristics.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result of the quantitative tests performed prior to and following the aggregation, in April 2025, the Company determined that the carrying values of our regional Consumer Products reporting units exceeded their expected fair values and recorded pre-tax non-cash impairment charges of $1,021.9 million within the Consolidated Statements of Operations for the three and six months ended June 29, 2025. The fair values of North America and Europe were determined considering a discounted cash flow model which was primarily based on management’s future revenue and cost estimates, which included the estimated impact of tariff policies in effect and the related macroeconomic environment, and a discount rate. The fair value of the Asia Pacific and Latin America reporting units was determined considering a discounted cash flow model weighted equally with the market approach which was primarily based on multiples of comparable public companies. No impairments were recorded related to the Family Brands reporting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(8)    </w:t>
      </w:r>
      <w:r>
        <w:rPr>
          <w:rFonts w:ascii="Arial;sans-serif" w:hAnsi="Arial;sans-serif"/>
          <w:b/>
          <w:color w:val="000000"/>
          <w:sz w:val="20"/>
          <w:u w:val="single"/>
        </w:rPr>
        <w:t>Investments in Productions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Investments in productions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title basis and any portion of the unamortized amount that appears not to be recoverable from future net revenues is expensed as part of program cost amortization during the period the loss becomes evident.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unamortized investments in productions consisted of the following:</w:t>
      </w:r>
    </w:p>
    <w:tbl>
      <w:tblPr>
        <w:tblW w:w="8339" w:type="dxa"/>
        <w:jc w:val="center"/>
        <w:tblInd w:w="0" w:type="dxa"/>
        <w:tblLayout w:type="fixed"/>
        <w:tblCellMar>
          <w:top w:w="28" w:type="dxa"/>
          <w:left w:w="28" w:type="dxa"/>
          <w:bottom w:w="28" w:type="dxa"/>
          <w:right w:w="28" w:type="dxa"/>
        </w:tblCellMar>
      </w:tblPr>
      <w:tblGrid>
        <w:gridCol w:w="1378"/>
        <w:gridCol w:w="1212"/>
        <w:gridCol w:w="1219"/>
        <w:gridCol w:w="109"/>
        <w:gridCol w:w="109"/>
        <w:gridCol w:w="109"/>
        <w:gridCol w:w="211"/>
        <w:gridCol w:w="616"/>
        <w:gridCol w:w="109"/>
        <w:gridCol w:w="109"/>
        <w:gridCol w:w="109"/>
        <w:gridCol w:w="109"/>
        <w:gridCol w:w="211"/>
        <w:gridCol w:w="616"/>
        <w:gridCol w:w="109"/>
        <w:gridCol w:w="109"/>
        <w:gridCol w:w="109"/>
        <w:gridCol w:w="109"/>
        <w:gridCol w:w="331"/>
        <w:gridCol w:w="802"/>
        <w:gridCol w:w="172"/>
        <w:gridCol w:w="109"/>
        <w:gridCol w:w="109"/>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28,</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Films and Television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Individual monetization: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Released, net of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Completed and not released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individual monetization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Film/TV group monetization: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Released, net of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film/TV group monetization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program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program cost amortization consisted of the following:</w:t>
      </w:r>
    </w:p>
    <w:tbl>
      <w:tblPr>
        <w:tblW w:w="9210" w:type="dxa"/>
        <w:jc w:val="left"/>
        <w:tblInd w:w="0" w:type="dxa"/>
        <w:tblLayout w:type="fixed"/>
        <w:tblCellMar>
          <w:top w:w="28" w:type="dxa"/>
          <w:left w:w="28" w:type="dxa"/>
          <w:bottom w:w="28" w:type="dxa"/>
          <w:right w:w="28" w:type="dxa"/>
        </w:tblCellMar>
      </w:tblPr>
      <w:tblGrid>
        <w:gridCol w:w="972"/>
        <w:gridCol w:w="855"/>
        <w:gridCol w:w="857"/>
        <w:gridCol w:w="109"/>
        <w:gridCol w:w="109"/>
        <w:gridCol w:w="109"/>
        <w:gridCol w:w="374"/>
        <w:gridCol w:w="722"/>
        <w:gridCol w:w="194"/>
        <w:gridCol w:w="114"/>
        <w:gridCol w:w="114"/>
        <w:gridCol w:w="114"/>
        <w:gridCol w:w="374"/>
        <w:gridCol w:w="722"/>
        <w:gridCol w:w="194"/>
        <w:gridCol w:w="109"/>
        <w:gridCol w:w="109"/>
        <w:gridCol w:w="109"/>
        <w:gridCol w:w="375"/>
        <w:gridCol w:w="721"/>
        <w:gridCol w:w="193"/>
        <w:gridCol w:w="109"/>
        <w:gridCol w:w="109"/>
        <w:gridCol w:w="109"/>
        <w:gridCol w:w="321"/>
        <w:gridCol w:w="779"/>
        <w:gridCol w:w="23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Individual monetization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Film/TV group monetization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120" w:after="283"/>
        <w:ind w:left="0" w:right="0" w:hanging="540"/>
        <w:jc w:val="left"/>
        <w:rPr/>
      </w:pPr>
      <w:r>
        <w:rPr>
          <w:rFonts w:ascii="Arial;sans-serif" w:hAnsi="Arial;sans-serif"/>
          <w:b/>
          <w:color w:val="000000"/>
          <w:sz w:val="20"/>
        </w:rPr>
        <w:t>(9)    </w:t>
      </w:r>
      <w:r>
        <w:rPr>
          <w:rFonts w:ascii="Arial;sans-serif" w:hAnsi="Arial;sans-serif"/>
          <w:b/>
          <w:color w:val="000000"/>
          <w:sz w:val="20"/>
          <w:u w:val="single"/>
        </w:rPr>
        <w:t>Additional Balance Sheet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Components of accrued liabilities were as follows:</w:t>
      </w:r>
    </w:p>
    <w:tbl>
      <w:tblPr>
        <w:tblW w:w="7385" w:type="dxa"/>
        <w:jc w:val="left"/>
        <w:tblInd w:w="0" w:type="dxa"/>
        <w:tblLayout w:type="fixed"/>
        <w:tblCellMar>
          <w:top w:w="28" w:type="dxa"/>
          <w:left w:w="28" w:type="dxa"/>
          <w:bottom w:w="28" w:type="dxa"/>
          <w:right w:w="28" w:type="dxa"/>
        </w:tblCellMar>
      </w:tblPr>
      <w:tblGrid>
        <w:gridCol w:w="1101"/>
        <w:gridCol w:w="970"/>
        <w:gridCol w:w="974"/>
        <w:gridCol w:w="211"/>
        <w:gridCol w:w="616"/>
        <w:gridCol w:w="109"/>
        <w:gridCol w:w="109"/>
        <w:gridCol w:w="109"/>
        <w:gridCol w:w="109"/>
        <w:gridCol w:w="211"/>
        <w:gridCol w:w="616"/>
        <w:gridCol w:w="109"/>
        <w:gridCol w:w="109"/>
        <w:gridCol w:w="109"/>
        <w:gridCol w:w="109"/>
        <w:gridCol w:w="338"/>
        <w:gridCol w:w="1229"/>
        <w:gridCol w:w="247"/>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shd w:fill="FFFFFF" w:val="clear"/>
              </w:rPr>
            </w:pPr>
            <w:r>
              <w:rPr>
                <w:rFonts w:ascii="Arial;sans-serif" w:hAnsi="Arial;sans-serif"/>
                <w:b/>
                <w:color w:val="000000"/>
                <w:sz w:val="18"/>
                <w:shd w:fill="FFFFFF" w:val="clear"/>
              </w:rPr>
              <w:t>December 28, 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royalties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207.7 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 current</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and management incentives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vendor accruals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taxes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Freight</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liability - current</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Supplier cancellation charges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Defined contributions plans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Participations and residuals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 productions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1,038.7 </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20"/>
        </w:rPr>
        <w:t>Prepaid expenses and other current assets include contract assets, current of $92.0 million, $129.2 million, and $142.4 million as of June 28, 2026, June 29, 2025, and December 28, 2025</w:t>
      </w:r>
      <w:r>
        <w:rPr>
          <w:rFonts w:ascii="Arial;sans-serif" w:hAnsi="Arial;sans-serif"/>
          <w:b w:val="false"/>
          <w:color w:val="000000"/>
          <w:sz w:val="20"/>
          <w:shd w:fill="FFFFFF" w:val="clear"/>
        </w:rPr>
        <w:t>, respectively.</w:t>
      </w:r>
    </w:p>
    <w:p>
      <w:pPr>
        <w:pStyle w:val="TextBody"/>
        <w:bidi w:val="0"/>
        <w:spacing w:lineRule="auto" w:line="288" w:before="120" w:after="283"/>
        <w:jc w:val="left"/>
        <w:rPr/>
      </w:pPr>
      <w:r>
        <w:rPr>
          <w:rFonts w:ascii="Arial;sans-serif" w:hAnsi="Arial;sans-serif"/>
          <w:b w:val="false"/>
          <w:color w:val="000000"/>
          <w:sz w:val="20"/>
        </w:rPr>
        <w:t>Other assets include deferred tax assets of $268.2 million, $443.7 million, and $286.8 million as of June 28, 2026, June 29, 2025, and December 28, 2025</w:t>
      </w:r>
      <w:r>
        <w:rPr>
          <w:rFonts w:ascii="Arial;sans-serif" w:hAnsi="Arial;sans-serif"/>
          <w:b w:val="false"/>
          <w:color w:val="000000"/>
          <w:sz w:val="20"/>
          <w:shd w:fill="FFFFFF" w:val="clear"/>
        </w:rPr>
        <w:t xml:space="preserve">, respectively, and unamortized software development costs of </w:t>
      </w:r>
      <w:r>
        <w:rPr>
          <w:rFonts w:ascii="Arial;sans-serif" w:hAnsi="Arial;sans-serif"/>
          <w:b w:val="false"/>
          <w:color w:val="000000"/>
          <w:sz w:val="20"/>
        </w:rPr>
        <w:t>$383.4 million</w:t>
      </w:r>
      <w:r>
        <w:rPr>
          <w:rFonts w:ascii="Arial;sans-serif" w:hAnsi="Arial;sans-serif"/>
          <w:b w:val="false"/>
          <w:color w:val="000000"/>
          <w:sz w:val="20"/>
          <w:shd w:fill="FFFFFF" w:val="clear"/>
        </w:rPr>
        <w:t xml:space="preserve">, </w:t>
      </w:r>
      <w:r>
        <w:rPr>
          <w:rFonts w:ascii="Arial;sans-serif" w:hAnsi="Arial;sans-serif"/>
          <w:b w:val="false"/>
          <w:color w:val="000000"/>
          <w:sz w:val="20"/>
        </w:rPr>
        <w:t>$323.3 million</w:t>
      </w:r>
      <w:r>
        <w:rPr>
          <w:rFonts w:ascii="Arial;sans-serif" w:hAnsi="Arial;sans-serif"/>
          <w:b w:val="false"/>
          <w:color w:val="000000"/>
          <w:sz w:val="20"/>
          <w:shd w:fill="FFFFFF" w:val="clear"/>
        </w:rPr>
        <w:t xml:space="preserve">, and </w:t>
      </w:r>
      <w:r>
        <w:rPr>
          <w:rFonts w:ascii="Arial;sans-serif" w:hAnsi="Arial;sans-serif"/>
          <w:b w:val="false"/>
          <w:color w:val="000000"/>
          <w:sz w:val="20"/>
        </w:rPr>
        <w:t>$385.6 million</w:t>
      </w:r>
      <w:r>
        <w:rPr>
          <w:color w:val="000000"/>
          <w:shd w:fill="FFFFFF" w:val="clear"/>
        </w:rPr>
        <w:t xml:space="preserve"> </w:t>
      </w:r>
      <w:r>
        <w:rPr>
          <w:rFonts w:ascii="Arial;sans-serif" w:hAnsi="Arial;sans-serif"/>
          <w:b w:val="false"/>
          <w:color w:val="000000"/>
          <w:sz w:val="20"/>
        </w:rPr>
        <w:t>as of June 28, 2026, June 29, 2025, and December 28, 2025</w:t>
      </w:r>
      <w:r>
        <w:rPr>
          <w:rFonts w:ascii="Arial;sans-serif" w:hAnsi="Arial;sans-serif"/>
          <w:b w:val="false"/>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(10)    </w:t>
      </w:r>
      <w:r>
        <w:rPr>
          <w:rFonts w:ascii="Arial;sans-serif" w:hAnsi="Arial;sans-serif"/>
          <w:b/>
          <w:color w:val="000000"/>
          <w:sz w:val="20"/>
          <w:u w:val="single"/>
        </w:rPr>
        <w:t>Long-Term Debt and Other Financing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carrying costs, which are equal to the outstanding principal amounts, and fair values of the Company's long-term borrowings are as follows:</w:t>
      </w:r>
    </w:p>
    <w:tbl>
      <w:tblPr>
        <w:tblW w:w="10205" w:type="dxa"/>
        <w:jc w:val="left"/>
        <w:tblInd w:w="0" w:type="dxa"/>
        <w:tblLayout w:type="fixed"/>
        <w:tblCellMar>
          <w:top w:w="28" w:type="dxa"/>
          <w:left w:w="28" w:type="dxa"/>
          <w:bottom w:w="28" w:type="dxa"/>
          <w:right w:w="28" w:type="dxa"/>
        </w:tblCellMar>
      </w:tblPr>
      <w:tblGrid>
        <w:gridCol w:w="836"/>
        <w:gridCol w:w="582"/>
        <w:gridCol w:w="58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83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28, 2025</w:t>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3.90% Notes Due 2029</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6.05% Notes Due 2034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3.55% Notes Due 2026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6.35% Notes Due 2040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3.50% Notes Due 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4.65% Notes Due 2031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5.10% Notes Due 2044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6.60% Debentures Due 2028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3,291.5 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deferred debt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 of 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2,796.2 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120" w:after="283"/>
        <w:jc w:val="left"/>
        <w:rPr/>
      </w:pPr>
      <w:r>
        <w:rPr>
          <w:rFonts w:ascii="Arial;sans-serif" w:hAnsi="Arial;sans-serif"/>
          <w:b w:val="false"/>
          <w:color w:val="000000"/>
          <w:sz w:val="20"/>
        </w:rPr>
        <w:t>During the three and six months ended June 28, 2026, the Company repurchased $55.2 million and $125.0 million, respectively, of its 2027, 2040, and 2044 Notes and recorded a gain on extinguishment of $0.2 million and $1.7 million, respectively,</w:t>
      </w:r>
      <w:r>
        <w:rPr>
          <w:color w:val="000000"/>
        </w:rPr>
        <w:t xml:space="preserve"> </w:t>
      </w:r>
      <w:r>
        <w:rPr>
          <w:rFonts w:ascii="Arial;sans-serif" w:hAnsi="Arial;sans-serif"/>
          <w:b w:val="false"/>
          <w:color w:val="000000"/>
          <w:sz w:val="20"/>
        </w:rPr>
        <w:t>in Other expense (income), net in the Consolidated Statements of Operations. For the three and six months ended June 29, 2025, the Company repurchased $11.5 million and $61.9 million, respectively, of its 2026 and 2027 Notes and recorded a gain on extinguishment of $0.2 million and $1.4 million, respectively, which were recorded in Other expense (income), net in the Consolidated Statements of Operations.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2031 Notes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March 2026, the Company issued an aggregate of $400.0 million in senior unsecured debt securities that bear a fixed interest rate of 4.65% due 2031 (the "2031 Notes"). The 2031 Notes were issued with an original issuance discount of $0.6 million and the Company capitalized $3.7 million of debt issuance costs. The original issuance discount and debt issuance costs will be amortized over the term of the 2031 Notes.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Other Financing Arrangements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February 20, 2026, the Company entered into a Fourth Amended and Restated Revolving Credit Agreement (the "Amended Agreement") with Bank of America, N.A., as administrative agent, swing line lender, Letter of Credit issuer and lender, and certain other financial institutions, as Letter of Credit issuers and/or lenders. The Amended Agreement amends and restates the Borrower's Third Amended and Restated Revolving Credit Agreement dated as of September 5, 2023.</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Amended Agreement provides the Company with a senior unsecured revolving credit facility (the “Revolving Facility”) with commitments in an aggregate principal amount of $1.1 billion. The Amended Agreement also provides for a potential additional incremental commitment increase of up to $550.0 million. Additionally, the Amended Agreement extends the term of the Revolving Facility from September 5, 2028 to February 20, 2031. The Amended Agreement contains sub-facilities that permit the Borrower to use up to $75.0 million of the Revolving Facility for the issuance of letters of credit and up to $50.0 million for swing line loans.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Amended Agreement contains affirmative and negative covenants typical of this type of facility, including: (a) restrictions on the Company’s and its domestic subsidiaries’ ability to allow liens on their assets, (b) restrictions on the incurrence of indebtedness, (c) restrictions on the Company’s and certain of its subsidiaries’ ability to engage in certain mergers, (d) the requirement that the Company maintain a Consolidated Interest Coverage Ratio of no less than 3.00:1.00 as of the end of any fiscal quarter and (e) the requirement that the Company maintain: a Consolidated Net Total Leverage Ratio of no more than (i) 3.75:1.00 for each of the first, second and fourth fiscal quarters of each year and (ii) 4.00:1.00 for the third fiscal quarter of each year. The Company has no outstanding borrowings under the Amended Agreement as of June 28, 2026. In connection with the execution of the Amended Agreement, the Company capitalized $1.8 million of deferred financing costs.</w:t>
      </w:r>
    </w:p>
    <w:p>
      <w:pPr>
        <w:pStyle w:val="TextBody"/>
        <w:bidi w:val="0"/>
        <w:spacing w:lineRule="auto" w:line="288" w:before="120" w:after="283"/>
        <w:jc w:val="left"/>
        <w:rPr/>
      </w:pPr>
      <w:r>
        <w:rPr>
          <w:rFonts w:ascii="Arial;sans-serif" w:hAnsi="Arial;sans-serif"/>
          <w:b w:val="false"/>
          <w:color w:val="000000"/>
          <w:sz w:val="20"/>
          <w:shd w:fill="FFFFFF" w:val="clear"/>
        </w:rPr>
        <w:t>The Company also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 The amount of obligations confirmed under the program that remain unpaid by the Company were</w:t>
      </w:r>
      <w:r>
        <w:rPr>
          <w:color w:val="000000"/>
        </w:rPr>
        <w:t xml:space="preserve"> </w:t>
      </w:r>
      <w:r>
        <w:rPr>
          <w:rFonts w:ascii="Arial;sans-serif" w:hAnsi="Arial;sans-serif"/>
          <w:b w:val="false"/>
          <w:color w:val="000000"/>
          <w:sz w:val="20"/>
        </w:rPr>
        <w:t xml:space="preserve">$56.5 million, $67.8 million, and $45.7 million </w:t>
      </w:r>
      <w:r>
        <w:rPr>
          <w:rFonts w:ascii="Arial;sans-serif" w:hAnsi="Arial;sans-serif"/>
          <w:b w:val="false"/>
          <w:color w:val="000000"/>
          <w:sz w:val="20"/>
          <w:shd w:fill="FFFFFF" w:val="clear"/>
        </w:rPr>
        <w:t xml:space="preserve">as of </w:t>
      </w:r>
      <w:r>
        <w:rPr>
          <w:rFonts w:ascii="Arial;sans-serif" w:hAnsi="Arial;sans-serif"/>
          <w:b w:val="false"/>
          <w:color w:val="000000"/>
          <w:sz w:val="20"/>
        </w:rPr>
        <w:t>June 28, 2026, June 29, 2025, and December 28, 2025</w:t>
      </w:r>
      <w:r>
        <w:rPr>
          <w:rFonts w:ascii="Arial;sans-serif" w:hAnsi="Arial;sans-serif"/>
          <w:b w:val="false"/>
          <w:color w:val="000000"/>
          <w:sz w:val="20"/>
          <w:shd w:fill="FFFFFF" w:val="clear"/>
        </w:rPr>
        <w:t>, respectively. These obligations are presented within Accounts payable in our Consolidated Balance Sheets. The activity related to this program is reflected within the operating activities section of the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(11)    </w:t>
      </w:r>
      <w:r>
        <w:rPr>
          <w:rFonts w:ascii="Arial;sans-serif" w:hAnsi="Arial;sans-serif"/>
          <w:b/>
          <w:color w:val="000000"/>
          <w:sz w:val="20"/>
          <w:u w:val="single"/>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effective tax rate ("ETR") was 22.7% and 20.3% for the three and six months ended June 28, 2026, and (4.9)% and (11.4)% for the three and six months ended June 29, 2025. The following items impacted the ETR during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During the three months ended June 28, 2026 the Company recorded a net discrete tax benefit of $1.0 million, primarily associated with the release of uncertain tax positions resulting from the expiration of certain international statutes of limitations. During the three months ended June 29, 2025 the Company recorded a non-cash goodwill impairment of $1,021.9 million with no corresponding tax benefit within the Consumer Products segment. The Company also recorded a net discrete tax benefit of $5.9 million, primarily associated with the release of a valuation allowance.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During the six months ended June 28, 2026 the Company recorded a net discrete tax benefit of $9.8 million, primarily associated with share-based compensation. During the six months ended June 29, 2025 the Company recorded a non-cash goodwill impairment of $1,021.9 million within the Consumer Products segment and an unfavorable adjustment to the Loss on disposal of the eOne Film and TV business of $25.0 million. Neither adjustment had a corresponding tax benefit. The Company also recorded a net discrete tax benefit of $6.2 million, primarily associated with the release of a valuation allowance.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(12)    </w:t>
      </w:r>
      <w:r>
        <w:rPr>
          <w:rFonts w:ascii="Arial;sans-serif" w:hAnsi="Arial;sans-serif"/>
          <w:b/>
          <w:color w:val="000000"/>
          <w:sz w:val="20"/>
          <w:u w:val="single"/>
        </w:rPr>
        <w:t>Fair Value of Financial Instruments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measures certain financial instruments at fair value. The fair value hierarchy consists of three levels: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1 fair values are based on quoted market prices in active markets for identical assets or liabilities that the entity has the ability to access;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2 fair values are those based on quoted prices for similar assets or liabilities, quoted prices in markets that are not active, or other inputs that are observable or can be corroborated by observable data for substantially the full term of the assets or liabilities;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3 fair values are based on inputs that are supported by little or no market activity and that are significant to the fair value of the assets or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have been no transfers between levels within the fair value hierarchy.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28, 2026, June 29, 2025 and December 28, 2025, the Company had the following assets and liabilities measured at fair value in its Consolidated Balance Sheets:</w:t>
      </w:r>
    </w:p>
    <w:tbl>
      <w:tblPr>
        <w:tblW w:w="7124" w:type="dxa"/>
        <w:jc w:val="left"/>
        <w:tblInd w:w="0" w:type="dxa"/>
        <w:tblLayout w:type="fixed"/>
        <w:tblCellMar>
          <w:top w:w="28" w:type="dxa"/>
          <w:left w:w="28" w:type="dxa"/>
          <w:bottom w:w="28" w:type="dxa"/>
          <w:right w:w="28" w:type="dxa"/>
        </w:tblCellMar>
      </w:tblPr>
      <w:tblGrid>
        <w:gridCol w:w="1262"/>
        <w:gridCol w:w="702"/>
        <w:gridCol w:w="705"/>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406"/>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Using:</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June 28, 2026</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June 29, 2025</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December 28, 2025</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Marketable securities are classified as available-for-sale since the Company does not have the positive intent and ability to hold the marketable securities until the maturity date. At June 28, 2026, the Company held $527.9 million of available-for-sale securities, of which $527.6 million consisted of U.S. Treasury securities. These investments are recorded at fair value within Short-term investments or Other assets in the Company's Consolidated Balance Sheets based on their contractual maturity dates, with an insignificant amount of unrealized gains and losses excluded from net income and deferred as a component of Other comprehensive earnings (loss), net of related tax effects, until realized. The accretion of discounts (amortization of premiums) is accounted for in the Company's Consolidated Statements of Operations within Other expense (income), net. At June 28, 2026, accrued interest receivable on available-for-sale securities totaled $3.7 million and was included within Accounts Receivable in the Consolidated Balance Sheets.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derivative financial instruments primarily consist of foreign currency forward and option contracts. The Company uses current forward rates of the respective foreign currencies to measure the fair value of these contracts. There were no changes in these valuation techniques during the six months ended June 28, 2026.</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Other Fair Value Measurements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financial instruments include cash and cash equivalents, accounts receivable, short-term borrowings, accounts payable and certain accrued liabilities. At June 28, 2026, June 29, 2025, and December 28, 2025, the carrying cost of these instruments approximated their fair value. The Company's financial instruments at June 28, 2026, June 29, 2025, and December 28, 2025 also include certain assets and liabilities measured at fair value, as described above. Refer to Note 10, Long-Term Debt and Other Financing, to the consolidated financial statements for the fair value of the Company's outstanding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(13)    </w:t>
      </w:r>
      <w:r>
        <w:rPr>
          <w:rFonts w:ascii="Arial;sans-serif" w:hAnsi="Arial;sans-serif"/>
          <w:b/>
          <w:color w:val="000000"/>
          <w:sz w:val="20"/>
          <w:u w:val="single"/>
        </w:rPr>
        <w:t>Leases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first six months of 2026, the Company entered into several significant new operating leases, primarily relating to office and warehousing facilities located within the United States, with initial lease terms ranging from approximately 10 to 12 years.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is a reconciliation of future undiscounted cash flows to the operating liabilities, and the related right-of-use assets, included in our Consolidated Balance Sheets as of June 28, 2026:</w:t>
      </w:r>
    </w:p>
    <w:tbl>
      <w:tblPr>
        <w:tblW w:w="6031" w:type="dxa"/>
        <w:jc w:val="left"/>
        <w:tblInd w:w="0" w:type="dxa"/>
        <w:tblLayout w:type="fixed"/>
        <w:tblCellMar>
          <w:top w:w="28" w:type="dxa"/>
          <w:left w:w="28" w:type="dxa"/>
          <w:bottom w:w="28" w:type="dxa"/>
          <w:right w:w="28" w:type="dxa"/>
        </w:tblCellMar>
      </w:tblPr>
      <w:tblGrid>
        <w:gridCol w:w="1543"/>
        <w:gridCol w:w="1352"/>
        <w:gridCol w:w="1365"/>
        <w:gridCol w:w="291"/>
        <w:gridCol w:w="849"/>
        <w:gridCol w:w="150"/>
        <w:gridCol w:w="109"/>
        <w:gridCol w:w="109"/>
        <w:gridCol w:w="109"/>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future lease payments </w:t>
            </w:r>
            <w:r>
              <w:rPr>
                <w:rFonts w:ascii="Arial;sans-serif" w:hAnsi="Arial;sans-serif"/>
                <w:b w:val="false"/>
                <w:color w:val="000000"/>
                <w:sz w:val="12"/>
              </w:rPr>
              <w:t>(1)</w:t>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439.7 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imputed interest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Present value of future operating lease payments</w:t>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Less: current portion of operating lease liabilities </w:t>
            </w:r>
            <w:r>
              <w:rPr>
                <w:rFonts w:ascii="Arial;sans-serif" w:hAnsi="Arial;sans-serif"/>
                <w:b w:val="false"/>
                <w:color w:val="000000"/>
                <w:sz w:val="12"/>
              </w:rPr>
              <w:t>(2)</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Non-current operating lease liability </w:t>
            </w:r>
            <w:r>
              <w:rPr>
                <w:rFonts w:ascii="Arial;sans-serif" w:hAnsi="Arial;sans-serif"/>
                <w:b w:val="false"/>
                <w:color w:val="000000"/>
                <w:sz w:val="12"/>
              </w:rPr>
              <w:t>(3)</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309.2 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Operating lease right-of-use assets, net </w:t>
            </w:r>
            <w:r>
              <w:rPr>
                <w:rFonts w:ascii="Arial;sans-serif" w:hAnsi="Arial;sans-serif"/>
                <w:b w:val="false"/>
                <w:color w:val="000000"/>
                <w:sz w:val="12"/>
              </w:rPr>
              <w:t>(4)</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 xml:space="preserve">Lease cash flow activity is displayed net within the Statements of Cash Flows, total gross Right of Use Assets and Lease Liabilities added during the six months ended were </w:t>
      </w:r>
      <w:r>
        <w:rPr>
          <w:rFonts w:ascii="Arial;sans-serif" w:hAnsi="Arial;sans-serif"/>
          <w:b w:val="false"/>
          <w:color w:val="000000"/>
          <w:sz w:val="16"/>
        </w:rPr>
        <w:t xml:space="preserve">$221.8 million. </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Included in Accrued liabilities on the Consolidated Balance Sheets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(3) </w:t>
      </w:r>
      <w:r>
        <w:rPr>
          <w:rFonts w:ascii="Arial;sans-serif" w:hAnsi="Arial;sans-serif"/>
          <w:b w:val="false"/>
          <w:i/>
          <w:color w:val="000000"/>
          <w:sz w:val="16"/>
        </w:rPr>
        <w:t>Included in Other liabilities on the Consolidated Balance Sheets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(4) </w:t>
      </w:r>
      <w:r>
        <w:rPr>
          <w:rFonts w:ascii="Arial;sans-serif" w:hAnsi="Arial;sans-serif"/>
          <w:b w:val="false"/>
          <w:i/>
          <w:color w:val="000000"/>
          <w:sz w:val="16"/>
        </w:rPr>
        <w:t>Included in Property, plant and equipment on the Consolidated Balance Sheets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(14)    </w:t>
      </w:r>
      <w:r>
        <w:rPr>
          <w:rFonts w:ascii="Arial;sans-serif" w:hAnsi="Arial;sans-serif"/>
          <w:b/>
          <w:color w:val="000000"/>
          <w:sz w:val="20"/>
          <w:u w:val="single"/>
        </w:rPr>
        <w:t>Derivative Financial Instruments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uses foreign currency forward and option contracts to mitigate the impact of currency rate fluctuations on firmly committed and projected future foreign currency transactions. These over-the-counter contracts, which hedge future currency requirements related to purchases of inventory, product sales and other cross-border transactions not denominated in the functional currency of the business unit, are primarily denominated in United States, Canadian and Hong Kong dollars as well as Euros and British pound sterling.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All contracts are entered into with a number of counterparties, all of which are major financial institutions. The Company believes that a default by a single counterparty would not have a material adverse effect on the financial condition of the Company. The Company does not enter into derivative financial instruments for speculative purposes. Cash flow activity associated with the Company's derivative financial instruments is recorded within cash flows from operating activities on the Consolidated Statement of Cash Flows.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Cash Flow Hedges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All of the Company's designated foreign currency forward contracts are considered to be cash flow hedges. These instruments hedge a portion of the Company's currency requirements associated with anticipated inventory purchases, product sales and other cross-border transactions.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notional amounts and fair values of the Company's foreign currency forward contracts designated as cash flow hedging instruments were as follows:</w:t>
      </w:r>
    </w:p>
    <w:tbl>
      <w:tblPr>
        <w:tblW w:w="8766" w:type="dxa"/>
        <w:jc w:val="left"/>
        <w:tblInd w:w="0" w:type="dxa"/>
        <w:tblLayout w:type="fixed"/>
        <w:tblCellMar>
          <w:top w:w="28" w:type="dxa"/>
          <w:left w:w="28" w:type="dxa"/>
          <w:bottom w:w="28" w:type="dxa"/>
          <w:right w:w="28" w:type="dxa"/>
        </w:tblCellMar>
      </w:tblPr>
      <w:tblGrid>
        <w:gridCol w:w="640"/>
        <w:gridCol w:w="564"/>
        <w:gridCol w:w="566"/>
        <w:gridCol w:w="211"/>
        <w:gridCol w:w="616"/>
        <w:gridCol w:w="109"/>
        <w:gridCol w:w="109"/>
        <w:gridCol w:w="109"/>
        <w:gridCol w:w="109"/>
        <w:gridCol w:w="211"/>
        <w:gridCol w:w="481"/>
        <w:gridCol w:w="109"/>
        <w:gridCol w:w="109"/>
        <w:gridCol w:w="109"/>
        <w:gridCol w:w="109"/>
        <w:gridCol w:w="211"/>
        <w:gridCol w:w="616"/>
        <w:gridCol w:w="109"/>
        <w:gridCol w:w="109"/>
        <w:gridCol w:w="109"/>
        <w:gridCol w:w="109"/>
        <w:gridCol w:w="211"/>
        <w:gridCol w:w="586"/>
        <w:gridCol w:w="109"/>
        <w:gridCol w:w="109"/>
        <w:gridCol w:w="109"/>
        <w:gridCol w:w="109"/>
        <w:gridCol w:w="211"/>
        <w:gridCol w:w="616"/>
        <w:gridCol w:w="109"/>
        <w:gridCol w:w="109"/>
        <w:gridCol w:w="109"/>
        <w:gridCol w:w="109"/>
        <w:gridCol w:w="211"/>
        <w:gridCol w:w="481"/>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28, 2025</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 purchases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Undesignated Hedges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As of June 28, 2026, June 29, 2025 and December 28, 2025, the total notional amounts of the Company's undesignated derivative financial instruments were $252.0 million, $263.4 million, and $191.5 million, respectively.</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Fair Value Measurement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as follows:</w:t>
      </w:r>
    </w:p>
    <w:tbl>
      <w:tblPr>
        <w:tblW w:w="7314" w:type="dxa"/>
        <w:jc w:val="left"/>
        <w:tblInd w:w="0" w:type="dxa"/>
        <w:tblLayout w:type="fixed"/>
        <w:tblCellMar>
          <w:top w:w="28" w:type="dxa"/>
          <w:left w:w="28" w:type="dxa"/>
          <w:bottom w:w="28" w:type="dxa"/>
          <w:right w:w="28" w:type="dxa"/>
        </w:tblCellMar>
      </w:tblPr>
      <w:tblGrid>
        <w:gridCol w:w="1326"/>
        <w:gridCol w:w="1163"/>
        <w:gridCol w:w="1171"/>
        <w:gridCol w:w="217"/>
        <w:gridCol w:w="496"/>
        <w:gridCol w:w="112"/>
        <w:gridCol w:w="109"/>
        <w:gridCol w:w="109"/>
        <w:gridCol w:w="109"/>
        <w:gridCol w:w="217"/>
        <w:gridCol w:w="496"/>
        <w:gridCol w:w="112"/>
        <w:gridCol w:w="109"/>
        <w:gridCol w:w="109"/>
        <w:gridCol w:w="109"/>
        <w:gridCol w:w="362"/>
        <w:gridCol w:w="722"/>
        <w:gridCol w:w="266"/>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28,</w:t>
              <w:br/>
              <w:t>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Prepaid expenses and other current assets:</w:t>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Other assets:</w:t>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Accrued liabilities:</w:t>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losses</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Other liabilities:</w:t>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losses</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fair values of the Company's undesignated derivative financial instruments were recorded in the Consolidated Balance Sheets as follows:</w:t>
      </w:r>
    </w:p>
    <w:tbl>
      <w:tblPr>
        <w:tblW w:w="7313" w:type="dxa"/>
        <w:jc w:val="left"/>
        <w:tblInd w:w="0" w:type="dxa"/>
        <w:tblLayout w:type="fixed"/>
        <w:tblCellMar>
          <w:top w:w="28" w:type="dxa"/>
          <w:left w:w="28" w:type="dxa"/>
          <w:bottom w:w="28" w:type="dxa"/>
          <w:right w:w="28" w:type="dxa"/>
        </w:tblCellMar>
      </w:tblPr>
      <w:tblGrid>
        <w:gridCol w:w="1326"/>
        <w:gridCol w:w="1163"/>
        <w:gridCol w:w="1171"/>
        <w:gridCol w:w="217"/>
        <w:gridCol w:w="496"/>
        <w:gridCol w:w="112"/>
        <w:gridCol w:w="109"/>
        <w:gridCol w:w="109"/>
        <w:gridCol w:w="109"/>
        <w:gridCol w:w="240"/>
        <w:gridCol w:w="461"/>
        <w:gridCol w:w="124"/>
        <w:gridCol w:w="109"/>
        <w:gridCol w:w="109"/>
        <w:gridCol w:w="109"/>
        <w:gridCol w:w="368"/>
        <w:gridCol w:w="710"/>
        <w:gridCol w:w="271"/>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28,</w:t>
              <w:br/>
              <w:t>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Prepaid expenses and other current assets:</w:t>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Accrued liabilities:</w:t>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losses</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realized (losses) gains on cash flow hedging activities have been reclassified from Other comprehensive earnings, net of tax to Net earnings (loss) as follows:</w:t>
      </w:r>
    </w:p>
    <w:tbl>
      <w:tblPr>
        <w:tblW w:w="7638" w:type="dxa"/>
        <w:jc w:val="left"/>
        <w:tblInd w:w="0" w:type="dxa"/>
        <w:tblLayout w:type="fixed"/>
        <w:tblCellMar>
          <w:top w:w="28" w:type="dxa"/>
          <w:left w:w="28" w:type="dxa"/>
          <w:bottom w:w="28" w:type="dxa"/>
          <w:right w:w="28" w:type="dxa"/>
        </w:tblCellMar>
      </w:tblPr>
      <w:tblGrid>
        <w:gridCol w:w="1199"/>
        <w:gridCol w:w="1055"/>
        <w:gridCol w:w="1060"/>
        <w:gridCol w:w="217"/>
        <w:gridCol w:w="496"/>
        <w:gridCol w:w="112"/>
        <w:gridCol w:w="109"/>
        <w:gridCol w:w="109"/>
        <w:gridCol w:w="109"/>
        <w:gridCol w:w="239"/>
        <w:gridCol w:w="462"/>
        <w:gridCol w:w="123"/>
        <w:gridCol w:w="109"/>
        <w:gridCol w:w="109"/>
        <w:gridCol w:w="109"/>
        <w:gridCol w:w="217"/>
        <w:gridCol w:w="496"/>
        <w:gridCol w:w="112"/>
        <w:gridCol w:w="109"/>
        <w:gridCol w:w="109"/>
        <w:gridCol w:w="109"/>
        <w:gridCol w:w="238"/>
        <w:gridCol w:w="458"/>
        <w:gridCol w:w="173"/>
      </w:tblGrid>
      <w:tr>
        <w:trPr/>
        <w:tc>
          <w:tcPr>
            <w:tcW w:w="119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Statements of Operations Classification</w:t>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(losses) gains</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the Company recorded a net loss of $0.8 million and $3.3 million on its undesignated financial instruments for the three and six months ended June 28, 2026, respectively, and a net gain of $7.0 million and $9.2 million for the three and six months ended June 29, 2025, respectively, relating to the change in fair value of such derivative financial instruments, substantially offsetting gains and losses from the change in fair value of intercompany loans to which the contracts relate. Such amounts are recorded within Other expense (income), net within the Consolidated Statements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additional information related to the Company's derivative financial instruments refer to Note 6, Other Comprehensive Earnings (Loss) and Note 12, Fair Value of Financial Instruments,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(15)    </w:t>
      </w:r>
      <w:r>
        <w:rPr>
          <w:rFonts w:ascii="Arial;sans-serif" w:hAnsi="Arial;sans-serif"/>
          <w:b/>
          <w:color w:val="000000"/>
          <w:sz w:val="20"/>
          <w:u w:val="single"/>
        </w:rPr>
        <w:t>Restructuring Actions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Starting in 2022, the Company implemented its Operational Excellence program ("the Program"), an ongoing enterprise-wide initiative intended to improve our business through programs that include targeted cost-savings, supply chain transformation and certain other restructuring actions designed to drive growth and enhance shareholder value. The Company's organizational structure changes have resulted and will further result in workforce reductions as well as the reallocation of people and resources. The Company currently anticipates that these changes will be substantially complete over the next three to six months.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Charges related to the Program were recorded in Selling, distribution and administration expense within Corporate and Other. Going forward, the Company may implement further cost-saving initiatives under the Program that could result in additional restructuring charges including severance and other employee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liability balance associated with the Program related restructuring actions consisted of severance payments recorded within Accrued liabilities in the Consolidated Balance Sheets as follows:</w:t>
      </w:r>
    </w:p>
    <w:tbl>
      <w:tblPr>
        <w:tblW w:w="4945" w:type="dxa"/>
        <w:jc w:val="left"/>
        <w:tblInd w:w="0" w:type="dxa"/>
        <w:tblLayout w:type="fixed"/>
        <w:tblCellMar>
          <w:top w:w="28" w:type="dxa"/>
          <w:left w:w="28" w:type="dxa"/>
          <w:bottom w:w="28" w:type="dxa"/>
          <w:right w:w="28" w:type="dxa"/>
        </w:tblCellMar>
      </w:tblPr>
      <w:tblGrid>
        <w:gridCol w:w="895"/>
        <w:gridCol w:w="789"/>
        <w:gridCol w:w="791"/>
        <w:gridCol w:w="211"/>
        <w:gridCol w:w="511"/>
        <w:gridCol w:w="109"/>
        <w:gridCol w:w="109"/>
        <w:gridCol w:w="109"/>
        <w:gridCol w:w="109"/>
        <w:gridCol w:w="211"/>
        <w:gridCol w:w="511"/>
        <w:gridCol w:w="109"/>
        <w:gridCol w:w="109"/>
        <w:gridCol w:w="109"/>
        <w:gridCol w:w="109"/>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restructuring charges incurred to date under the Program as of June 28, 2026 equals $177.2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(16)    </w:t>
      </w:r>
      <w:r>
        <w:rPr>
          <w:rFonts w:ascii="Arial;sans-serif" w:hAnsi="Arial;sans-serif"/>
          <w:b/>
          <w:color w:val="000000"/>
          <w:sz w:val="20"/>
          <w:u w:val="single"/>
        </w:rPr>
        <w:t>Commitments and Contingencies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Contingencies – The Company is subject to claims related to product and other commercial matters.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Litigation and Other Claims – The Company from time to time may be subject to lawsuits and other claims related to product, commercial, employee, environmental and other matters in the normal course of business.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Environmental Liabilities – The Company monitors for any estimated environmental contingencies related to its current physical locations and former owned or leased facilities in which it is responsible for environmental matters. The Company has estimated a $30.5 million environmental liability related primarily to one previously owned manufacturing facility (environmental liability assumed as part of a historical acquisition), in which the Company is solely responsible for the mitigation and remediation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Contractual obligations and commercial commitments, as detailed in the Company's 2025 Form 10-K, did not materially change outside of certain payments made in the normal course of business, except as disclosed above and in Note 10, Long-Term Debt and Other Financing and Note 13, Leases,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(17)    </w:t>
      </w:r>
      <w:r>
        <w:rPr>
          <w:rFonts w:ascii="Arial;sans-serif" w:hAnsi="Arial;sans-serif"/>
          <w:b/>
          <w:color w:val="000000"/>
          <w:sz w:val="20"/>
          <w:u w:val="single"/>
        </w:rPr>
        <w:t>Segment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reportable segments are strategic business units that offer different products and services. They are managed separately because the business requires different technology and marketing strategies. The Company's three reportable segments are as follows: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Wizards of the Coast and Digital Gaming business engages in the promotion of the Company's brands through the development of trading card, role-playing and digital game experiences based on Hasbro and Wizards of the Coast games. Additionally, we license certain of our brands to other third-party digital game developers who transform Hasbro brand-based characters and other intellectual properties, into digital gaming experiences.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Additionally, through license agreements with third parties, we develop and sell products based on popular third-party brands.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Entertainment segment develops, produces, and monetizes Hasbro-branded entertainment content including film, television, children’s programming, digital content and live entertainment focused on Hasbro-owned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Corporate and Other, which does not meet the criteria to be an operating segment, provides management and administrative services to the Company's reportable segments described above and consists of unallocated corporate expenses and administrative costs and activities not considered when evaluating segment performance as well as certain assets benefiting more than one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Segment performance is measured at the operating profit level.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adjustments to actual expenses and foreign exchange rates included in Corporate and Other. We do not present a measure of total assets for our reportable segments as this information is not used by the chief operating decision maker ("CODM") to allocate resources and assess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Information by segment and a reconciliation to reported amounts for the three months ended June 28, 2026 are as follows:</w:t>
      </w:r>
    </w:p>
    <w:tbl>
      <w:tblPr>
        <w:tblW w:w="10205" w:type="dxa"/>
        <w:jc w:val="left"/>
        <w:tblInd w:w="0" w:type="dxa"/>
        <w:tblLayout w:type="fixed"/>
        <w:tblCellMar>
          <w:top w:w="28" w:type="dxa"/>
          <w:left w:w="28" w:type="dxa"/>
          <w:bottom w:w="28" w:type="dxa"/>
          <w:right w:w="28" w:type="dxa"/>
        </w:tblCellMar>
      </w:tblPr>
      <w:tblGrid>
        <w:gridCol w:w="925"/>
        <w:gridCol w:w="615"/>
        <w:gridCol w:w="618"/>
        <w:gridCol w:w="109"/>
        <w:gridCol w:w="109"/>
        <w:gridCol w:w="109"/>
        <w:gridCol w:w="383"/>
        <w:gridCol w:w="1120"/>
        <w:gridCol w:w="197"/>
        <w:gridCol w:w="109"/>
        <w:gridCol w:w="109"/>
        <w:gridCol w:w="109"/>
        <w:gridCol w:w="265"/>
        <w:gridCol w:w="775"/>
        <w:gridCol w:w="137"/>
        <w:gridCol w:w="109"/>
        <w:gridCol w:w="109"/>
        <w:gridCol w:w="109"/>
        <w:gridCol w:w="312"/>
        <w:gridCol w:w="756"/>
        <w:gridCol w:w="163"/>
        <w:gridCol w:w="109"/>
        <w:gridCol w:w="109"/>
        <w:gridCol w:w="109"/>
        <w:gridCol w:w="332"/>
        <w:gridCol w:w="663"/>
        <w:gridCol w:w="173"/>
        <w:gridCol w:w="109"/>
        <w:gridCol w:w="109"/>
        <w:gridCol w:w="109"/>
        <w:gridCol w:w="211"/>
        <w:gridCol w:w="766"/>
        <w:gridCol w:w="159"/>
      </w:tblGrid>
      <w:tr>
        <w:trPr/>
        <w:tc>
          <w:tcPr>
            <w:tcW w:w="92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525.9 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663.8 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Distribution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Managed expense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to 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Distribution expenses consist of shipping and warehousing expense and are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Managed expenses consist of product development and selling and administrative expense. Product development is included in Product Development in the Consolidated Statement of Operations. Selling and administrative expense is included in Selling, distribution and administration in the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Information by segment and a reconciliation to reported amounts for the three months ended June 29, 2025 are as follows:</w:t>
      </w:r>
    </w:p>
    <w:tbl>
      <w:tblPr>
        <w:tblW w:w="10205" w:type="dxa"/>
        <w:jc w:val="left"/>
        <w:tblInd w:w="0" w:type="dxa"/>
        <w:tblLayout w:type="fixed"/>
        <w:tblCellMar>
          <w:top w:w="28" w:type="dxa"/>
          <w:left w:w="28" w:type="dxa"/>
          <w:bottom w:w="28" w:type="dxa"/>
          <w:right w:w="28" w:type="dxa"/>
        </w:tblCellMar>
      </w:tblPr>
      <w:tblGrid>
        <w:gridCol w:w="885"/>
        <w:gridCol w:w="580"/>
        <w:gridCol w:w="582"/>
        <w:gridCol w:w="109"/>
        <w:gridCol w:w="109"/>
        <w:gridCol w:w="109"/>
        <w:gridCol w:w="383"/>
        <w:gridCol w:w="1119"/>
        <w:gridCol w:w="197"/>
        <w:gridCol w:w="109"/>
        <w:gridCol w:w="109"/>
        <w:gridCol w:w="109"/>
        <w:gridCol w:w="241"/>
        <w:gridCol w:w="923"/>
        <w:gridCol w:w="124"/>
        <w:gridCol w:w="109"/>
        <w:gridCol w:w="109"/>
        <w:gridCol w:w="109"/>
        <w:gridCol w:w="312"/>
        <w:gridCol w:w="756"/>
        <w:gridCol w:w="163"/>
        <w:gridCol w:w="109"/>
        <w:gridCol w:w="109"/>
        <w:gridCol w:w="109"/>
        <w:gridCol w:w="272"/>
        <w:gridCol w:w="755"/>
        <w:gridCol w:w="140"/>
        <w:gridCol w:w="109"/>
        <w:gridCol w:w="109"/>
        <w:gridCol w:w="109"/>
        <w:gridCol w:w="211"/>
        <w:gridCol w:w="766"/>
        <w:gridCol w:w="161"/>
      </w:tblGrid>
      <w:tr>
        <w:trPr/>
        <w:tc>
          <w:tcPr>
            <w:tcW w:w="88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571.2 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522.4 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Distribution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Managed expense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(1,029.5)</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(798.2)</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to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(814.7)</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Distribution expenses consist of shipping and warehousing expense and are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 xml:space="preserve">Managed expenses consist of product development, selling and administrative expense, and impairment of goodwill. Product development is included in Product Development in the Consolidated Statement of Operations. Selling and administrative expense is included in Selling, distribution and administration in the Consolidated Statement of Operations. Impairment of goodwill is included in Impairment of goodwill in the Consolidated Statement of Operations. Managed expenses for the Consumer Products segment included a $1,021.9 million non-cash loss associated with the impairment of certain reporting units within the Consumer Products segment. Refer to Note 7, Goodwill, to the consolidated financial statements for further information.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Information by segment and a reconciliation to reported amounts for the six months ended June 28, 2026 are as follows: </w:t>
      </w:r>
    </w:p>
    <w:tbl>
      <w:tblPr>
        <w:tblW w:w="10205" w:type="dxa"/>
        <w:jc w:val="left"/>
        <w:tblInd w:w="0" w:type="dxa"/>
        <w:tblLayout w:type="fixed"/>
        <w:tblCellMar>
          <w:top w:w="28" w:type="dxa"/>
          <w:left w:w="28" w:type="dxa"/>
          <w:bottom w:w="28" w:type="dxa"/>
          <w:right w:w="28" w:type="dxa"/>
        </w:tblCellMar>
      </w:tblPr>
      <w:tblGrid>
        <w:gridCol w:w="913"/>
        <w:gridCol w:w="600"/>
        <w:gridCol w:w="602"/>
        <w:gridCol w:w="109"/>
        <w:gridCol w:w="109"/>
        <w:gridCol w:w="109"/>
        <w:gridCol w:w="343"/>
        <w:gridCol w:w="1247"/>
        <w:gridCol w:w="177"/>
        <w:gridCol w:w="109"/>
        <w:gridCol w:w="109"/>
        <w:gridCol w:w="109"/>
        <w:gridCol w:w="263"/>
        <w:gridCol w:w="768"/>
        <w:gridCol w:w="135"/>
        <w:gridCol w:w="109"/>
        <w:gridCol w:w="109"/>
        <w:gridCol w:w="109"/>
        <w:gridCol w:w="312"/>
        <w:gridCol w:w="756"/>
        <w:gridCol w:w="163"/>
        <w:gridCol w:w="109"/>
        <w:gridCol w:w="109"/>
        <w:gridCol w:w="109"/>
        <w:gridCol w:w="270"/>
        <w:gridCol w:w="746"/>
        <w:gridCol w:w="139"/>
        <w:gridCol w:w="109"/>
        <w:gridCol w:w="109"/>
        <w:gridCol w:w="109"/>
        <w:gridCol w:w="211"/>
        <w:gridCol w:w="766"/>
        <w:gridCol w:w="159"/>
      </w:tblGrid>
      <w:tr>
        <w:trPr/>
        <w:tc>
          <w:tcPr>
            <w:tcW w:w="91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1,397.9 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960.8 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860.9 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Distribution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Managed expense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to 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Distribution expenses consist of shipping and warehousing expense and are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Managed expenses consist of product development and selling and administrative expense. Product development is included in Product Development in the Consolidated Statement of Operations. Selling and administrative expense is included in Selling, distribution and administration in the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Information by segment and a reconciliation to reported amounts for the six months ended June 29, 2025 are as follows: </w:t>
      </w:r>
    </w:p>
    <w:tbl>
      <w:tblPr>
        <w:tblW w:w="10205" w:type="dxa"/>
        <w:jc w:val="left"/>
        <w:tblInd w:w="0" w:type="dxa"/>
        <w:tblLayout w:type="fixed"/>
        <w:tblCellMar>
          <w:top w:w="28" w:type="dxa"/>
          <w:left w:w="28" w:type="dxa"/>
          <w:bottom w:w="28" w:type="dxa"/>
          <w:right w:w="28" w:type="dxa"/>
        </w:tblCellMar>
      </w:tblPr>
      <w:tblGrid>
        <w:gridCol w:w="874"/>
        <w:gridCol w:w="565"/>
        <w:gridCol w:w="567"/>
        <w:gridCol w:w="109"/>
        <w:gridCol w:w="109"/>
        <w:gridCol w:w="109"/>
        <w:gridCol w:w="342"/>
        <w:gridCol w:w="1244"/>
        <w:gridCol w:w="177"/>
        <w:gridCol w:w="109"/>
        <w:gridCol w:w="109"/>
        <w:gridCol w:w="109"/>
        <w:gridCol w:w="240"/>
        <w:gridCol w:w="916"/>
        <w:gridCol w:w="124"/>
        <w:gridCol w:w="109"/>
        <w:gridCol w:w="109"/>
        <w:gridCol w:w="109"/>
        <w:gridCol w:w="312"/>
        <w:gridCol w:w="756"/>
        <w:gridCol w:w="163"/>
        <w:gridCol w:w="109"/>
        <w:gridCol w:w="109"/>
        <w:gridCol w:w="109"/>
        <w:gridCol w:w="269"/>
        <w:gridCol w:w="745"/>
        <w:gridCol w:w="139"/>
        <w:gridCol w:w="109"/>
        <w:gridCol w:w="109"/>
        <w:gridCol w:w="109"/>
        <w:gridCol w:w="211"/>
        <w:gridCol w:w="766"/>
        <w:gridCol w:w="160"/>
      </w:tblGrid>
      <w:tr>
        <w:trPr/>
        <w:tc>
          <w:tcPr>
            <w:tcW w:w="87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1,076.9 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Distribution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Managed expense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(1,073.5)</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(627.5)</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to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(678.1)</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Distribution expenses consist of shipping and warehousing expense and are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Managed expenses consist of product development, selling and administrative expense, impairment of goodwill, and loss on disposal of business. Product development is included in Product Development in the Consolidated Statement of Operations. Selling and administrative expense is included in Selling, distribution and administration in the Consolidated Statement of Operations. Impairment of goodwill is included in the Impairment of goodwill in the Consolidated Statement of Operations. Loss on disposal of business is included in Loss on disposal of business in the Consolidated Statement of Operations. Managed expenses for the Consumer Products segment included a $1,021.9 million non-cash loss associated with the impairment of the reporting units within the Consumer Products segment. Managed expenses for the Entertainment segment included a $25.0 million non-cash loss associated with the sale of the eOne Film and TV business.</w:t>
      </w:r>
    </w:p>
    <w:p>
      <w:pPr>
        <w:pStyle w:val="TextBody"/>
        <w:bidi w:val="0"/>
        <w:spacing w:lineRule="auto" w:line="288" w:before="120" w:after="283"/>
        <w:ind w:left="0" w:right="0" w:hanging="180"/>
        <w:jc w:val="left"/>
        <w:rPr>
          <w:rFonts w:ascii="Arial;sans-serif" w:hAnsi="Arial;sans-serif"/>
          <w:b w:val="false"/>
          <w:color w:val="000000"/>
          <w:sz w:val="20"/>
        </w:rPr>
      </w:pPr>
      <w:r>
        <w:rPr>
          <w:rFonts w:ascii="Arial;sans-serif" w:hAnsi="Arial;sans-serif"/>
          <w:b w:val="false"/>
          <w:color w:val="000000"/>
          <w:sz w:val="20"/>
        </w:rPr>
        <w:t>Other supplemental information by segments is as follows:</w:t>
      </w:r>
    </w:p>
    <w:tbl>
      <w:tblPr>
        <w:tblW w:w="9747" w:type="dxa"/>
        <w:jc w:val="left"/>
        <w:tblInd w:w="0" w:type="dxa"/>
        <w:tblLayout w:type="fixed"/>
        <w:tblCellMar>
          <w:top w:w="28" w:type="dxa"/>
          <w:left w:w="28" w:type="dxa"/>
          <w:bottom w:w="28" w:type="dxa"/>
          <w:right w:w="28" w:type="dxa"/>
        </w:tblCellMar>
      </w:tblPr>
      <w:tblGrid>
        <w:gridCol w:w="1504"/>
        <w:gridCol w:w="1323"/>
        <w:gridCol w:w="1327"/>
        <w:gridCol w:w="109"/>
        <w:gridCol w:w="109"/>
        <w:gridCol w:w="109"/>
        <w:gridCol w:w="327"/>
        <w:gridCol w:w="793"/>
        <w:gridCol w:w="169"/>
        <w:gridCol w:w="109"/>
        <w:gridCol w:w="109"/>
        <w:gridCol w:w="109"/>
        <w:gridCol w:w="327"/>
        <w:gridCol w:w="793"/>
        <w:gridCol w:w="169"/>
        <w:gridCol w:w="109"/>
        <w:gridCol w:w="109"/>
        <w:gridCol w:w="109"/>
        <w:gridCol w:w="211"/>
        <w:gridCol w:w="511"/>
        <w:gridCol w:w="109"/>
        <w:gridCol w:w="109"/>
        <w:gridCol w:w="109"/>
        <w:gridCol w:w="109"/>
        <w:gridCol w:w="211"/>
        <w:gridCol w:w="511"/>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Depreciation and intangible asset amortization: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The amounts of depreciation disclosed by reportable segments are included within Cost of sales and Selling, distribution and administration in the Consolidated Statement of Operations. Intangible asset amortization is included within Amortization of intangible assets in the Consolidated Statement of Operations.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0" w:after="0"/>
        <w:ind w:left="0" w:right="0" w:firstLine="720"/>
        <w:jc w:val="left"/>
        <w:rPr>
          <w:rFonts w:ascii="Arial;sans-serif" w:hAnsi="Arial;sans-serif"/>
          <w:b/>
          <w:color w:val="000000"/>
          <w:sz w:val="20"/>
          <w:shd w:fill="FFFFFF" w:val="clear"/>
        </w:rPr>
      </w:pPr>
      <w:r>
        <w:rPr>
          <w:rFonts w:ascii="Arial;sans-serif" w:hAnsi="Arial;sans-serif"/>
          <w:b/>
          <w:color w:val="000000"/>
          <w:sz w:val="20"/>
          <w:shd w:fill="FFFFFF" w:val="clear"/>
        </w:rPr>
        <w:t>(Dollar and share amounts in tables presented in millions, unless otherwise noted)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discussion and analysis should be read together with the accompanying unaudited consolidated financial statements and the notes thereto included in this Quarterly Report and the audited consolidated financial statements and the notes thereto in the Company's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Hasbro, Inc. (“Hasbro”) is a leading game, intellectual property ("IP"), and toy company whose mission is to create joy and community through the magic of play. With over 100 years of expertise, we deliver play experiences to kids, families, and fans around the world, through physical and digital games, toys, licensed consumer products, location-based entertainment, film, TV and more. </w:t>
      </w:r>
    </w:p>
    <w:p>
      <w:pPr>
        <w:pStyle w:val="TextBody"/>
        <w:bidi w:val="0"/>
        <w:spacing w:lineRule="auto" w:line="288" w:before="120" w:after="283"/>
        <w:jc w:val="left"/>
        <w:rPr/>
      </w:pPr>
      <w:r>
        <w:rPr>
          <w:rFonts w:ascii="Arial;sans-serif" w:hAnsi="Arial;sans-serif"/>
          <w:b w:val="false"/>
          <w:color w:val="000000"/>
          <w:sz w:val="20"/>
        </w:rPr>
        <w:t xml:space="preserve">Through our franchise-first approach, we unlock value from both new and legacy IP, including </w:t>
      </w:r>
      <w:r>
        <w:rPr>
          <w:rFonts w:ascii="Arial;sans-serif" w:hAnsi="Arial;sans-serif"/>
          <w:b w:val="false"/>
          <w:i/>
          <w:color w:val="000000"/>
          <w:sz w:val="20"/>
        </w:rPr>
        <w:t>Magic</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The Gathering</w:t>
      </w:r>
      <w:r>
        <w:rPr>
          <w:rFonts w:ascii="Arial;sans-serif" w:hAnsi="Arial;sans-serif"/>
          <w:b w:val="false"/>
          <w:color w:val="000000"/>
          <w:sz w:val="20"/>
        </w:rPr>
        <w:t xml:space="preserve">, </w:t>
      </w:r>
      <w:r>
        <w:rPr>
          <w:rFonts w:ascii="Arial;sans-serif" w:hAnsi="Arial;sans-serif"/>
          <w:b w:val="false"/>
          <w:i/>
          <w:color w:val="000000"/>
          <w:sz w:val="20"/>
        </w:rPr>
        <w:t>Monopoly</w:t>
      </w:r>
      <w:r>
        <w:rPr>
          <w:rFonts w:ascii="Arial;sans-serif" w:hAnsi="Arial;sans-serif"/>
          <w:b w:val="false"/>
          <w:color w:val="000000"/>
          <w:sz w:val="20"/>
        </w:rPr>
        <w:t xml:space="preserve">, </w:t>
      </w:r>
      <w:r>
        <w:rPr>
          <w:rFonts w:ascii="Arial;sans-serif" w:hAnsi="Arial;sans-serif"/>
          <w:b w:val="false"/>
          <w:i/>
          <w:color w:val="000000"/>
          <w:sz w:val="20"/>
        </w:rPr>
        <w:t>Hasbro Games</w:t>
      </w:r>
      <w:r>
        <w:rPr>
          <w:rFonts w:ascii="Arial;sans-serif" w:hAnsi="Arial;sans-serif"/>
          <w:b w:val="false"/>
          <w:color w:val="000000"/>
          <w:sz w:val="20"/>
        </w:rPr>
        <w:t xml:space="preserve">, </w:t>
      </w:r>
      <w:r>
        <w:rPr>
          <w:rFonts w:ascii="Arial;sans-serif" w:hAnsi="Arial;sans-serif"/>
          <w:b w:val="false"/>
          <w:i/>
          <w:color w:val="000000"/>
          <w:sz w:val="20"/>
        </w:rPr>
        <w:t>Play-Doh</w:t>
      </w:r>
      <w:r>
        <w:rPr>
          <w:rFonts w:ascii="Arial;sans-serif" w:hAnsi="Arial;sans-serif"/>
          <w:b w:val="false"/>
          <w:color w:val="000000"/>
          <w:sz w:val="20"/>
        </w:rPr>
        <w:t xml:space="preserve">, </w:t>
      </w:r>
      <w:r>
        <w:rPr>
          <w:rFonts w:ascii="Arial;sans-serif" w:hAnsi="Arial;sans-serif"/>
          <w:b w:val="false"/>
          <w:i/>
          <w:color w:val="000000"/>
          <w:sz w:val="20"/>
        </w:rPr>
        <w:t>Transformers</w:t>
      </w:r>
      <w:r>
        <w:rPr>
          <w:rFonts w:ascii="Arial;sans-serif" w:hAnsi="Arial;sans-serif"/>
          <w:b w:val="false"/>
          <w:color w:val="000000"/>
          <w:sz w:val="20"/>
        </w:rPr>
        <w:t xml:space="preserve">, </w:t>
      </w:r>
      <w:r>
        <w:rPr>
          <w:rFonts w:ascii="Arial;sans-serif" w:hAnsi="Arial;sans-serif"/>
          <w:b w:val="false"/>
          <w:i/>
          <w:color w:val="000000"/>
          <w:sz w:val="20"/>
        </w:rPr>
        <w:t>Dungeons &amp; Dragons</w:t>
      </w:r>
      <w:r>
        <w:rPr>
          <w:rFonts w:ascii="Arial;sans-serif" w:hAnsi="Arial;sans-serif"/>
          <w:b w:val="false"/>
          <w:color w:val="000000"/>
          <w:sz w:val="20"/>
        </w:rPr>
        <w:t xml:space="preserve">, </w:t>
      </w:r>
      <w:r>
        <w:rPr>
          <w:rFonts w:ascii="Arial;sans-serif" w:hAnsi="Arial;sans-serif"/>
          <w:b w:val="false"/>
          <w:i/>
          <w:color w:val="000000"/>
          <w:sz w:val="20"/>
        </w:rPr>
        <w:t>Nerf</w:t>
      </w:r>
      <w:r>
        <w:rPr>
          <w:rFonts w:ascii="Arial;sans-serif" w:hAnsi="Arial;sans-serif"/>
          <w:b w:val="false"/>
          <w:color w:val="000000"/>
          <w:sz w:val="20"/>
        </w:rPr>
        <w:t xml:space="preserve">, and </w:t>
      </w:r>
      <w:r>
        <w:rPr>
          <w:rFonts w:ascii="Arial;sans-serif" w:hAnsi="Arial;sans-serif"/>
          <w:b w:val="false"/>
          <w:i/>
          <w:color w:val="000000"/>
          <w:sz w:val="20"/>
        </w:rPr>
        <w:t>Peppa Pig</w:t>
      </w:r>
      <w:r>
        <w:rPr>
          <w:rFonts w:ascii="Arial;sans-serif" w:hAnsi="Arial;sans-serif"/>
          <w:b w:val="false"/>
          <w:color w:val="000000"/>
          <w:sz w:val="20"/>
        </w:rPr>
        <w:t>, as well as premier partner brands. Powered by our portfolio of iconic brands and a diversified network of partners and subsidiary studios, we bring fans together wherever they are, from tabletop to screen.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more than a decade, Hasbro has been consistently recognized for its corporate citizenship, including being named one of the 100 Best Corporate Citizens by 3BL Media, a 2025 JUST Capital Industry Leader, one of the 50 Most Community-Minded Companies in the U.S. by the Civic 50, and a Brand that Matters by Fast Company.</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fiscal year 2025, we launched our refreshed strategy "Playing to Win" to refocus the Company on inspiring a lifetime of play across more categories, more partners, and more ways to engage. Through play fueled brand engagement and partner scaled co-investment, we plan to expand our consumer reach as a games, IP, and toy company.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first half of 2026, we've made exciting new steps on executing the Playing to Win strategy, including:</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release of </w:t>
      </w:r>
      <w:r>
        <w:rPr>
          <w:rFonts w:ascii="Arial;sans-serif" w:hAnsi="Arial;sans-serif"/>
          <w:b w:val="false"/>
          <w:i/>
          <w:color w:val="000000"/>
          <w:sz w:val="20"/>
        </w:rPr>
        <w:t>Marvel Super Heroes</w:t>
      </w:r>
      <w:r>
        <w:rPr>
          <w:rFonts w:ascii="Arial;sans-serif" w:hAnsi="Arial;sans-serif"/>
          <w:b w:val="false"/>
          <w:color w:val="000000"/>
          <w:sz w:val="20"/>
        </w:rPr>
        <w:t xml:space="preserve">, along with all past and future Marvel sets, within </w:t>
      </w:r>
      <w:r>
        <w:rPr>
          <w:rFonts w:ascii="Arial;sans-serif" w:hAnsi="Arial;sans-serif"/>
          <w:b w:val="false"/>
          <w:i/>
          <w:color w:val="000000"/>
          <w:sz w:val="20"/>
        </w:rPr>
        <w:t>Magic: The Gathering Arena</w:t>
      </w:r>
      <w:r>
        <w:rPr>
          <w:rFonts w:ascii="Arial;sans-serif" w:hAnsi="Arial;sans-serif"/>
          <w:b w:val="false"/>
          <w:color w:val="000000"/>
          <w:sz w:val="20"/>
        </w:rPr>
        <w:t xml:space="preserve">, allowing players to jump into the Marvel Universe through Hasbro's online adaption of the iconic </w:t>
      </w:r>
      <w:r>
        <w:rPr>
          <w:rFonts w:ascii="Arial;sans-serif" w:hAnsi="Arial;sans-serif"/>
          <w:b w:val="false"/>
          <w:i/>
          <w:color w:val="000000"/>
          <w:sz w:val="20"/>
        </w:rPr>
        <w:t>Magic: The Gathering</w:t>
      </w:r>
      <w:r>
        <w:rPr>
          <w:color w:val="000000"/>
        </w:rPr>
        <w:t xml:space="preserve"> </w:t>
      </w:r>
      <w:r>
        <w:rPr>
          <w:rFonts w:ascii="Arial;sans-serif" w:hAnsi="Arial;sans-serif"/>
          <w:b w:val="false"/>
          <w:color w:val="000000"/>
          <w:sz w:val="20"/>
        </w:rPr>
        <w:t>card game.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announcement of a multi-year licensing partnership starting in 2027 with Warner Bros. Discovery Global Consumer Products, making Hasbro the global primary toy licensee for the world of Harry Potter and the upcoming HBO Original Harry Potter series.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announcement of a licensing collaboration with Amazon MGM Studios to produce action figures, toys and roleplay for the studio’s upcoming live-action Voltron movie and with Legendary Entertainment tied to the live-action Street Fighter movie.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launch of Sixth Wall Studio, a new AI studio dedicated to bringing iconic characters into the AI era through new channels, such as behavioral licensing.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these strategic moves position us to accelerate innovation and drive long-term growth in line with our Playing to Win strategy which emphasizes play-driven engagement and collaboration with partners.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Tariffs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Significant changes in trade policy announced by the U.S. government could adversely impact our forward-looking financial results. The Company monitors the impact of tariffs to its business operations on an ongoing basis and may need to implement actions such as price adjustments or making changes in our supply chain sourcing strategies in order to mitigate the impact of tariffs in future periods. The impacts of tariffs may lead to reduced economic activity, increased costs, reduced demand and changes in purchasing behaviors for some or all of our products, actual or potential impairments, write-downs or unrealizability of some of our existing assets, or other economic outcomes that could have a material adverse impact on our sales volumes, prices, and our financial results. During the first three and six months of 2026, the Company recognized approximately $9.4 million and $17.7 million of tariff costs within Cost of sales,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February 20, 2026, the U.S. Supreme Court issued a ruling against the International Emergency Economic Powers Act ("IEEPA") tariffs that we and other companies paid to the U.S. government since the enactment on April 2, 2025. In the third quarter of 2026, we made our first application to the U.S. Customs and Border Protection ("CBP") agency seeking a refund for a majority of the IEEPA tariffs we paid, and we plan to submit additional applications later this year when we are permitted. The ultimate timing and amounts received is uncertain and subject to processing by the CBP. These amounts could impact our results in 2026.</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Unauthorized Network Access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late March 2026, the Company identified unauthorized access to our network. Upon discovery, the Company promptly activated its security incident response protocols, implemented containment measures, including proactively taking certain systems offline, and launched an investigation with the assistance of third-party cybersecurity professionals. Simultaneously, the Company implemented its business continuity plans, including manual ordering and processing procedures at a reduced rate of operations in order to continue servicing its customers.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impacts of these system disruptions included order processing, shipping, and invoicing delays, resulting in a negative impact on net sales and operating profit during the second quarter, particularly within the Consumer Products segment. As of June 28, 2026, the Company has since returned to pre-incident order processing, shipping, and invoicing practices.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also incurred incremental expenses of approximately $10.8 million during the three and six months ended June 28, 2026 as a result of the unauthorized network access, including for third-party IT recovery and forensic experts, professional services and other costs incurred to investigate and remediate the attack. The Company expects to incur a less significant amount of additional costs related to the incident in future periods. The Company has not recognized any insurance proceeds during the three months ended June 28, 2026 related to the unauthorized network access. The timing of recognizing insurance recoveries, if any, may differ from the timing of recognizing the associated expenses.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Summary of Results</w:t>
      </w:r>
    </w:p>
    <w:p>
      <w:pPr>
        <w:pStyle w:val="TextBody"/>
        <w:bidi w:val="0"/>
        <w:spacing w:lineRule="auto" w:line="288" w:before="120" w:after="283"/>
        <w:jc w:val="left"/>
        <w:rPr/>
      </w:pPr>
      <w:r>
        <w:rPr>
          <w:rFonts w:ascii="Arial;sans-serif" w:hAnsi="Arial;sans-serif"/>
          <w:b w:val="false"/>
          <w:color w:val="000000"/>
          <w:sz w:val="20"/>
        </w:rPr>
        <w:t xml:space="preserve">The Company's revenue increased from $980.8 million for the three months ended June 29, 2025 to $1,139.6 million for the three months ended June 28, 2026. The increase in revenue is driven primarily by growth in our Wizards of the Coast and Digital Gaming segment, specifically within tabletop gaming driven by </w:t>
      </w:r>
      <w:r>
        <w:rPr>
          <w:rFonts w:ascii="Arial;sans-serif" w:hAnsi="Arial;sans-serif"/>
          <w:b w:val="false"/>
          <w:i/>
          <w:color w:val="000000"/>
          <w:sz w:val="20"/>
        </w:rPr>
        <w:t>Magic: The Gathering</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revenue increased from $1,867.9 million for the six months ended June 29, 2025 to $2,139.8 million for the six months ended June 28, 2026. The increase in revenue is driven primarily by growth in our Wizards of the Coast and Digital Gaming segment, specifically within tabletop gaming.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recorded an operating profit of $252.5 million and $522.8 million for the three and six months ended June 28, 2026, respectively, as compared to an operating loss of $798.2 million and $627.5 million for the three and six months ended June 29, 2025, respectively. The change in operating profit was driven by the improved revenue growth discussed above, as well as a one-time $1,021.9 million non-cash goodwill impairment recorded in the Consumer Products segment in the second quarter of 2025. No such impairment occurred during the three and six months ended June 28,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below for further discussion on the consolidated and segment results of operations for the three and six months ended June 28, 2026 and June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consolidated results of operations for the three months ended June 28, 2026 and June 29, 2025:</w:t>
      </w:r>
    </w:p>
    <w:tbl>
      <w:tblPr>
        <w:tblW w:w="10205" w:type="dxa"/>
        <w:jc w:val="left"/>
        <w:tblInd w:w="0" w:type="dxa"/>
        <w:tblLayout w:type="fixed"/>
        <w:tblCellMar>
          <w:top w:w="28" w:type="dxa"/>
          <w:left w:w="28" w:type="dxa"/>
          <w:bottom w:w="28" w:type="dxa"/>
          <w:right w:w="28" w:type="dxa"/>
        </w:tblCellMar>
      </w:tblPr>
      <w:tblGrid>
        <w:gridCol w:w="1335"/>
        <w:gridCol w:w="1075"/>
        <w:gridCol w:w="1078"/>
        <w:gridCol w:w="211"/>
        <w:gridCol w:w="766"/>
        <w:gridCol w:w="109"/>
        <w:gridCol w:w="109"/>
        <w:gridCol w:w="109"/>
        <w:gridCol w:w="109"/>
        <w:gridCol w:w="387"/>
        <w:gridCol w:w="345"/>
        <w:gridCol w:w="853"/>
        <w:gridCol w:w="109"/>
        <w:gridCol w:w="109"/>
        <w:gridCol w:w="109"/>
        <w:gridCol w:w="211"/>
        <w:gridCol w:w="675"/>
        <w:gridCol w:w="109"/>
        <w:gridCol w:w="109"/>
        <w:gridCol w:w="109"/>
        <w:gridCol w:w="109"/>
        <w:gridCol w:w="387"/>
        <w:gridCol w:w="345"/>
        <w:gridCol w:w="853"/>
        <w:gridCol w:w="109"/>
        <w:gridCol w:w="109"/>
        <w:gridCol w:w="109"/>
        <w:gridCol w:w="158"/>
      </w:tblGrid>
      <w:tr>
        <w:trPr/>
        <w:tc>
          <w:tcPr>
            <w:tcW w:w="1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distribution and administration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181.4 </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non-operating expense, net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 before income taxes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 Inc.</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per common share: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color w:val="000000"/>
          <w:sz w:val="20"/>
        </w:rPr>
        <w:t xml:space="preserve">Net revenues </w:t>
      </w:r>
      <w:r>
        <w:rPr>
          <w:color w:val="000000"/>
        </w:rPr>
        <w:t xml:space="preserve">– </w:t>
      </w:r>
      <w:r>
        <w:rPr>
          <w:rFonts w:ascii="Arial;sans-serif" w:hAnsi="Arial;sans-serif"/>
          <w:b w:val="false"/>
          <w:color w:val="000000"/>
          <w:sz w:val="20"/>
        </w:rPr>
        <w:t>Net revenues for the second quarter of 2026 increased 16.2% to $1,139.6 million from $980.8 million for the second quarter of 2025 primarily driven by growth of $141.4 million, or 27.1%, in the Wizards of the Coast and Digital Gaming segment and $20.6 million, or 4.7%, in the Consumer Products segment. This growth was partially offset by a $3.2 million, or 20%, decrease in the Entertainment segment. See the Segment Results discussion below for further details.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part of our Playing to Win strategy, we have aligned our brand portfolios as follows: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Grow Brands</w:t>
      </w:r>
      <w:r>
        <w:rPr>
          <w:rFonts w:ascii="Arial;sans-serif" w:hAnsi="Arial;sans-serif"/>
          <w:b w:val="false"/>
          <w:color w:val="000000"/>
          <w:sz w:val="20"/>
        </w:rPr>
        <w:t>: Brands representing the highest margin, highest growth opportunities in categories where we see significant share and/or underlying market growth.</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Optimize Brands</w:t>
      </w:r>
      <w:r>
        <w:rPr>
          <w:rFonts w:ascii="Arial;sans-serif" w:hAnsi="Arial;sans-serif"/>
          <w:b w:val="false"/>
          <w:color w:val="000000"/>
          <w:sz w:val="20"/>
        </w:rPr>
        <w:t>: Brands representing opportunities to maintain or grow share while improving operating profit returns.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Reinvent Brands</w:t>
      </w:r>
      <w:r>
        <w:rPr>
          <w:rFonts w:ascii="Arial;sans-serif" w:hAnsi="Arial;sans-serif"/>
          <w:b w:val="false"/>
          <w:color w:val="000000"/>
          <w:sz w:val="20"/>
        </w:rPr>
        <w:t>: Brands representing opportunities to reinvent or restructure to drive innovation and improved operating profit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revenues by brand portfolio category:</w:t>
      </w:r>
    </w:p>
    <w:tbl>
      <w:tblPr>
        <w:tblW w:w="5656" w:type="dxa"/>
        <w:jc w:val="left"/>
        <w:tblInd w:w="0" w:type="dxa"/>
        <w:tblLayout w:type="fixed"/>
        <w:tblCellMar>
          <w:top w:w="28" w:type="dxa"/>
          <w:left w:w="28" w:type="dxa"/>
          <w:bottom w:w="28" w:type="dxa"/>
          <w:right w:w="28" w:type="dxa"/>
        </w:tblCellMar>
      </w:tblPr>
      <w:tblGrid>
        <w:gridCol w:w="537"/>
        <w:gridCol w:w="473"/>
        <w:gridCol w:w="475"/>
        <w:gridCol w:w="211"/>
        <w:gridCol w:w="766"/>
        <w:gridCol w:w="109"/>
        <w:gridCol w:w="109"/>
        <w:gridCol w:w="109"/>
        <w:gridCol w:w="109"/>
        <w:gridCol w:w="324"/>
        <w:gridCol w:w="948"/>
        <w:gridCol w:w="167"/>
        <w:gridCol w:w="109"/>
        <w:gridCol w:w="109"/>
        <w:gridCol w:w="109"/>
        <w:gridCol w:w="255"/>
        <w:gridCol w:w="256"/>
        <w:gridCol w:w="48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June 29, 2025</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Grow Brands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740.6 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Optimize Brands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Reinvent Brands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980.8 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jc w:val="left"/>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During the first quarter of 2026, the classification of brands within these categories was reviewed and certain brands were reclassified based on changes in growth, profitability or other characteristics. As such, the respective historical revenues associated within these brands has been reclassified into the brands' new brand category.</w:t>
      </w:r>
    </w:p>
    <w:p>
      <w:pPr>
        <w:pStyle w:val="TextBody"/>
        <w:bidi w:val="0"/>
        <w:spacing w:lineRule="auto" w:line="288" w:before="120" w:after="283"/>
        <w:jc w:val="left"/>
        <w:rPr/>
      </w:pPr>
      <w:r>
        <w:rPr>
          <w:rFonts w:ascii="Arial;sans-serif" w:hAnsi="Arial;sans-serif"/>
          <w:b w:val="false"/>
          <w:i/>
          <w:color w:val="000000"/>
          <w:sz w:val="20"/>
        </w:rPr>
        <w:t>GROW BRANDS:</w:t>
      </w:r>
      <w:r>
        <w:rPr>
          <w:color w:val="000000"/>
        </w:rPr>
        <w:t xml:space="preserve"> </w:t>
      </w:r>
      <w:r>
        <w:rPr>
          <w:rFonts w:ascii="Arial;sans-serif" w:hAnsi="Arial;sans-serif"/>
          <w:b w:val="false"/>
          <w:color w:val="000000"/>
          <w:sz w:val="20"/>
        </w:rPr>
        <w:t xml:space="preserve">Net revenues in the Grow Brands portfolio increased $164.3 million, or 22.2%, in the second quarter of 2026, compared to the second quarter of 2025. The net revenue increase primarily reflects higher net revenues from </w:t>
      </w:r>
      <w:r>
        <w:rPr>
          <w:rFonts w:ascii="Arial;sans-serif" w:hAnsi="Arial;sans-serif"/>
          <w:b w:val="false"/>
          <w:i/>
          <w:color w:val="000000"/>
          <w:sz w:val="20"/>
        </w:rPr>
        <w:t>Magic: The Gathering</w:t>
      </w:r>
      <w:r>
        <w:rPr>
          <w:rFonts w:ascii="Arial;sans-serif" w:hAnsi="Arial;sans-serif"/>
          <w:b w:val="false"/>
          <w:color w:val="000000"/>
          <w:sz w:val="20"/>
        </w:rPr>
        <w:t xml:space="preserve">, which grew by $133.3 million, or 32.3%, driven by strong performance of </w:t>
      </w:r>
      <w:r>
        <w:rPr>
          <w:rFonts w:ascii="Arial;sans-serif" w:hAnsi="Arial;sans-serif"/>
          <w:b w:val="false"/>
          <w:i/>
          <w:color w:val="000000"/>
          <w:sz w:val="20"/>
        </w:rPr>
        <w:t>Secrets of Strixhaven</w:t>
      </w:r>
      <w:r>
        <w:rPr>
          <w:rFonts w:ascii="Arial;sans-serif" w:hAnsi="Arial;sans-serif"/>
          <w:b w:val="false"/>
          <w:color w:val="000000"/>
          <w:sz w:val="20"/>
        </w:rPr>
        <w:t xml:space="preserve">, as well as the Universes Beyond </w:t>
      </w:r>
      <w:r>
        <w:rPr>
          <w:rFonts w:ascii="Arial;sans-serif" w:hAnsi="Arial;sans-serif"/>
          <w:b w:val="false"/>
          <w:i/>
          <w:color w:val="000000"/>
          <w:sz w:val="20"/>
        </w:rPr>
        <w:t xml:space="preserve">Marvel Super Heroes </w:t>
      </w:r>
      <w:r>
        <w:rPr>
          <w:rFonts w:ascii="Arial;sans-serif" w:hAnsi="Arial;sans-serif"/>
          <w:b w:val="false"/>
          <w:color w:val="000000"/>
          <w:sz w:val="20"/>
        </w:rPr>
        <w:t>set</w:t>
      </w:r>
      <w:r>
        <w:rPr>
          <w:color w:val="000000"/>
        </w:rPr>
        <w:t xml:space="preserve"> </w:t>
      </w:r>
      <w:r>
        <w:rPr>
          <w:rFonts w:ascii="Arial;sans-serif" w:hAnsi="Arial;sans-serif"/>
          <w:b w:val="false"/>
          <w:color w:val="000000"/>
          <w:sz w:val="20"/>
        </w:rPr>
        <w:t xml:space="preserve">released during the quarter. Growth in this category was also impacted by increased demand in toys and games associated with the licensed </w:t>
      </w:r>
      <w:r>
        <w:rPr>
          <w:rFonts w:ascii="Arial;sans-serif" w:hAnsi="Arial;sans-serif"/>
          <w:b w:val="false"/>
          <w:i/>
          <w:color w:val="000000"/>
          <w:sz w:val="20"/>
        </w:rPr>
        <w:t xml:space="preserve">Marvel </w:t>
      </w:r>
      <w:r>
        <w:rPr>
          <w:rFonts w:ascii="Arial;sans-serif" w:hAnsi="Arial;sans-serif"/>
          <w:b w:val="false"/>
          <w:color w:val="000000"/>
          <w:sz w:val="20"/>
        </w:rPr>
        <w:t xml:space="preserve">and </w:t>
      </w:r>
      <w:r>
        <w:rPr>
          <w:rFonts w:ascii="Arial;sans-serif" w:hAnsi="Arial;sans-serif"/>
          <w:b w:val="false"/>
          <w:i/>
          <w:color w:val="000000"/>
          <w:sz w:val="20"/>
        </w:rPr>
        <w:t xml:space="preserve">Star Wars </w:t>
      </w:r>
      <w:r>
        <w:rPr>
          <w:rFonts w:ascii="Arial;sans-serif" w:hAnsi="Arial;sans-serif"/>
          <w:b w:val="false"/>
          <w:color w:val="000000"/>
          <w:sz w:val="20"/>
        </w:rPr>
        <w:t>brands, driven by a strong content slate in 2026 with no comparable releases in the prior year.</w:t>
      </w:r>
      <w:r>
        <w:rPr>
          <w:color w:val="000000"/>
        </w:rPr>
        <w:t xml:space="preserve"> </w:t>
      </w:r>
    </w:p>
    <w:p>
      <w:pPr>
        <w:pStyle w:val="TextBody"/>
        <w:bidi w:val="0"/>
        <w:spacing w:lineRule="auto" w:line="288" w:before="120" w:after="283"/>
        <w:jc w:val="left"/>
        <w:rPr/>
      </w:pPr>
      <w:r>
        <w:rPr>
          <w:rFonts w:ascii="Arial;sans-serif" w:hAnsi="Arial;sans-serif"/>
          <w:b w:val="false"/>
          <w:i/>
          <w:color w:val="000000"/>
          <w:sz w:val="20"/>
        </w:rPr>
        <w:t>OPTIMIZE BRANDS:</w:t>
      </w:r>
      <w:r>
        <w:rPr>
          <w:color w:val="000000"/>
        </w:rPr>
        <w:t xml:space="preserve"> </w:t>
      </w:r>
      <w:r>
        <w:rPr>
          <w:rFonts w:ascii="Arial;sans-serif" w:hAnsi="Arial;sans-serif"/>
          <w:b w:val="false"/>
          <w:color w:val="000000"/>
          <w:sz w:val="20"/>
        </w:rPr>
        <w:t xml:space="preserve">Net revenues in the Optimize Brands portfolio decreased $8.2 million, or 5.1%, in the second quarter of 2026, compared to the second quarter of 2025, driven by lower net revenues from </w:t>
      </w:r>
      <w:r>
        <w:rPr>
          <w:rFonts w:ascii="Arial;sans-serif" w:hAnsi="Arial;sans-serif"/>
          <w:b w:val="false"/>
          <w:i/>
          <w:color w:val="000000"/>
          <w:sz w:val="20"/>
        </w:rPr>
        <w:t>Play-Doh</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Duel Masters</w:t>
      </w:r>
      <w:r>
        <w:rPr>
          <w:rFonts w:ascii="Arial;sans-serif" w:hAnsi="Arial;sans-serif"/>
          <w:b w:val="false"/>
          <w:color w:val="000000"/>
          <w:sz w:val="20"/>
        </w:rPr>
        <w:t xml:space="preserve">. The declines were partially offset with an increase in net revenue from </w:t>
      </w:r>
      <w:r>
        <w:rPr>
          <w:rFonts w:ascii="Arial;sans-serif" w:hAnsi="Arial;sans-serif"/>
          <w:b w:val="false"/>
          <w:i/>
          <w:color w:val="000000"/>
          <w:sz w:val="20"/>
        </w:rPr>
        <w:t>GI Joe</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i/>
          <w:color w:val="000000"/>
          <w:sz w:val="20"/>
        </w:rPr>
        <w:t>REINVENT BRANDS:</w:t>
      </w:r>
      <w:r>
        <w:rPr>
          <w:color w:val="000000"/>
        </w:rPr>
        <w:t xml:space="preserve"> </w:t>
      </w:r>
      <w:r>
        <w:rPr>
          <w:rFonts w:ascii="Arial;sans-serif" w:hAnsi="Arial;sans-serif"/>
          <w:b w:val="false"/>
          <w:color w:val="000000"/>
          <w:sz w:val="20"/>
        </w:rPr>
        <w:t xml:space="preserve">Net revenues in the Reinvent Brands portfolio increased $2.7 million, or 3.4%, in the second quarter of 2026 compared to the second quarter of 2025. The net revenue increase is primarily driven by higher product sales for </w:t>
      </w:r>
      <w:r>
        <w:rPr>
          <w:rFonts w:ascii="Arial;sans-serif" w:hAnsi="Arial;sans-serif"/>
          <w:b w:val="false"/>
          <w:i/>
          <w:color w:val="000000"/>
          <w:sz w:val="20"/>
        </w:rPr>
        <w:t xml:space="preserve">Beyblade </w:t>
      </w:r>
      <w:r>
        <w:rPr>
          <w:rFonts w:ascii="Arial;sans-serif" w:hAnsi="Arial;sans-serif"/>
          <w:b w:val="false"/>
          <w:color w:val="000000"/>
          <w:sz w:val="20"/>
        </w:rPr>
        <w:t xml:space="preserve">and other vault brands, partially offset by lower sales in </w:t>
      </w:r>
      <w:r>
        <w:rPr>
          <w:rFonts w:ascii="Arial;sans-serif" w:hAnsi="Arial;sans-serif"/>
          <w:b w:val="false"/>
          <w:i/>
          <w:color w:val="000000"/>
          <w:sz w:val="20"/>
        </w:rPr>
        <w:t>Nerf</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Furby</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OPERATING COSTS AND EXPENSES</w:t>
      </w:r>
    </w:p>
    <w:p>
      <w:pPr>
        <w:pStyle w:val="TextBody"/>
        <w:bidi w:val="0"/>
        <w:spacing w:lineRule="auto" w:line="288" w:before="120" w:after="283"/>
        <w:jc w:val="left"/>
        <w:rPr/>
      </w:pPr>
      <w:r>
        <w:rPr>
          <w:rFonts w:ascii="Arial;sans-serif" w:hAnsi="Arial;sans-serif"/>
          <w:b/>
          <w:color w:val="000000"/>
          <w:sz w:val="20"/>
        </w:rPr>
        <w:t xml:space="preserve">Cost of sales </w:t>
      </w:r>
      <w:r>
        <w:rPr>
          <w:color w:val="000000"/>
        </w:rPr>
        <w:t xml:space="preserve">– </w:t>
      </w:r>
      <w:r>
        <w:rPr>
          <w:rFonts w:ascii="Arial;sans-serif" w:hAnsi="Arial;sans-serif"/>
          <w:b w:val="false"/>
          <w:color w:val="000000"/>
          <w:sz w:val="20"/>
        </w:rPr>
        <w:t>Cost of sales for the second quarter of 2026 was $272.4 million, or 23.9% of net revenues, compared to $225.3 million, or 23.0% of net revenues, for the second quarter of 2025. The increase in cost of sales was primarily the result of an increase in net revenues period over period, shift in product mix, as well as approximately $9.4 million of cost related to the impacts of tariffs, primarily as it relates to products imported into the United States to be sold domestically.</w:t>
      </w:r>
    </w:p>
    <w:p>
      <w:pPr>
        <w:pStyle w:val="TextBody"/>
        <w:bidi w:val="0"/>
        <w:spacing w:lineRule="auto" w:line="288" w:before="120" w:after="283"/>
        <w:jc w:val="left"/>
        <w:rPr/>
      </w:pPr>
      <w:r>
        <w:rPr>
          <w:rFonts w:ascii="Arial;sans-serif" w:hAnsi="Arial;sans-serif"/>
          <w:b/>
          <w:color w:val="000000"/>
          <w:sz w:val="20"/>
        </w:rPr>
        <w:t xml:space="preserve">Program cost amortization </w:t>
      </w:r>
      <w:r>
        <w:rPr>
          <w:color w:val="000000"/>
        </w:rPr>
        <w:t xml:space="preserve">– </w:t>
      </w:r>
      <w:r>
        <w:rPr>
          <w:rFonts w:ascii="Arial;sans-serif" w:hAnsi="Arial;sans-serif"/>
          <w:b w:val="false"/>
          <w:color w:val="000000"/>
          <w:sz w:val="20"/>
        </w:rPr>
        <w:t>Program cost amortization decreased to $3.1 million, or 0.3% of net revenues, for the second quarter of 2026 from $6.2 million, or 0.6% of net revenues, for the second quarter of 2025. Program costs are capitalized as incurred and amortized primarily using the individual-film-forecast method which matches costs to the related recognized revenue and is based upon the current slate of entertainment projects.</w:t>
      </w:r>
    </w:p>
    <w:p>
      <w:pPr>
        <w:pStyle w:val="TextBody"/>
        <w:bidi w:val="0"/>
        <w:spacing w:lineRule="auto" w:line="288" w:before="120" w:after="283"/>
        <w:jc w:val="left"/>
        <w:rPr/>
      </w:pPr>
      <w:r>
        <w:rPr>
          <w:rFonts w:ascii="Arial;sans-serif" w:hAnsi="Arial;sans-serif"/>
          <w:b/>
          <w:color w:val="000000"/>
          <w:sz w:val="20"/>
        </w:rPr>
        <w:t xml:space="preserve">Royalties </w:t>
      </w:r>
      <w:r>
        <w:rPr>
          <w:color w:val="000000"/>
        </w:rPr>
        <w:t xml:space="preserve">– </w:t>
      </w:r>
      <w:r>
        <w:rPr>
          <w:rFonts w:ascii="Arial;sans-serif" w:hAnsi="Arial;sans-serif"/>
          <w:b w:val="false"/>
          <w:color w:val="000000"/>
          <w:sz w:val="20"/>
        </w:rPr>
        <w:t xml:space="preserve">Royalties for the second quarter of 2026 increased to $89.9 million, or 7.9% of net revenues, compared to $84.5 million, or 8.6% of net revenues, for the second quarter of 2025. The increase in Royalties during the second quarter of 2026 was directly driven by an increase in sales relating to </w:t>
      </w:r>
      <w:r>
        <w:rPr>
          <w:rFonts w:ascii="Arial;sans-serif" w:hAnsi="Arial;sans-serif"/>
          <w:b w:val="false"/>
          <w:i/>
          <w:color w:val="000000"/>
          <w:sz w:val="20"/>
        </w:rPr>
        <w:t>Magic: The Gathering</w:t>
      </w:r>
      <w:r>
        <w:rPr>
          <w:color w:val="000000"/>
        </w:rPr>
        <w:t xml:space="preserve"> </w:t>
      </w:r>
      <w:r>
        <w:rPr>
          <w:rFonts w:ascii="Arial;sans-serif" w:hAnsi="Arial;sans-serif"/>
          <w:b w:val="false"/>
          <w:color w:val="000000"/>
          <w:sz w:val="20"/>
        </w:rPr>
        <w:t xml:space="preserve">Universes Beyond sets, such as </w:t>
      </w:r>
      <w:r>
        <w:rPr>
          <w:rFonts w:ascii="Arial;sans-serif" w:hAnsi="Arial;sans-serif"/>
          <w:b w:val="false"/>
          <w:i/>
          <w:color w:val="000000"/>
          <w:sz w:val="20"/>
        </w:rPr>
        <w:t>Marvel Super Heroes</w:t>
      </w:r>
      <w:r>
        <w:rPr>
          <w:rFonts w:ascii="Arial;sans-serif" w:hAnsi="Arial;sans-serif"/>
          <w:b w:val="false"/>
          <w:color w:val="000000"/>
          <w:sz w:val="20"/>
        </w:rPr>
        <w:t xml:space="preserve">, as well as increased toy and game sales on licensed brands such as </w:t>
      </w:r>
      <w:r>
        <w:rPr>
          <w:rFonts w:ascii="Arial;sans-serif" w:hAnsi="Arial;sans-serif"/>
          <w:b w:val="false"/>
          <w:i/>
          <w:color w:val="000000"/>
          <w:sz w:val="20"/>
        </w:rPr>
        <w:t>Marvel</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Star Wars</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color w:val="000000"/>
          <w:sz w:val="20"/>
        </w:rPr>
        <w:t xml:space="preserve">Product development </w:t>
      </w:r>
      <w:r>
        <w:rPr>
          <w:color w:val="000000"/>
        </w:rPr>
        <w:t xml:space="preserve">– </w:t>
      </w:r>
      <w:r>
        <w:rPr>
          <w:rFonts w:ascii="Arial;sans-serif" w:hAnsi="Arial;sans-serif"/>
          <w:b w:val="false"/>
          <w:color w:val="000000"/>
          <w:sz w:val="20"/>
        </w:rPr>
        <w:t xml:space="preserve">Product development expense for the second quarter of 2026 was $93.6 million, or 8.2% of net revenues, compared to $77.5 million, or 7.9% of net revenues, for the second quarter of 2025. The increase in Product development expense during the second quarter of 2026 was primarily due to the higher incremental investment in the development of Grow Brands under the Company's </w:t>
      </w:r>
      <w:r>
        <w:rPr>
          <w:rFonts w:ascii="Arial;sans-serif" w:hAnsi="Arial;sans-serif"/>
          <w:b w:val="false"/>
          <w:i/>
          <w:color w:val="000000"/>
          <w:sz w:val="20"/>
        </w:rPr>
        <w:t>Playing to Win</w:t>
      </w:r>
      <w:r>
        <w:rPr>
          <w:color w:val="000000"/>
        </w:rPr>
        <w:t xml:space="preserve"> </w:t>
      </w:r>
      <w:r>
        <w:rPr>
          <w:rFonts w:ascii="Arial;sans-serif" w:hAnsi="Arial;sans-serif"/>
          <w:b w:val="false"/>
          <w:color w:val="000000"/>
          <w:sz w:val="20"/>
        </w:rPr>
        <w:t>strategy.</w:t>
      </w:r>
    </w:p>
    <w:p>
      <w:pPr>
        <w:pStyle w:val="TextBody"/>
        <w:bidi w:val="0"/>
        <w:spacing w:lineRule="auto" w:line="288" w:before="120" w:after="283"/>
        <w:jc w:val="left"/>
        <w:rPr/>
      </w:pPr>
      <w:r>
        <w:rPr>
          <w:rFonts w:ascii="Arial;sans-serif" w:hAnsi="Arial;sans-serif"/>
          <w:b/>
          <w:color w:val="000000"/>
          <w:sz w:val="20"/>
        </w:rPr>
        <w:t xml:space="preserve">Advertising </w:t>
      </w:r>
      <w:r>
        <w:rPr>
          <w:color w:val="000000"/>
        </w:rPr>
        <w:t xml:space="preserve">– </w:t>
      </w:r>
      <w:r>
        <w:rPr>
          <w:rFonts w:ascii="Arial;sans-serif" w:hAnsi="Arial;sans-serif"/>
          <w:b w:val="false"/>
          <w:color w:val="000000"/>
          <w:sz w:val="20"/>
        </w:rPr>
        <w:t>Advertising expense for the second quarter of 2026 was $74.8 million, or 6.6% of net revenues, compared to $63.6 million, or 6.5% of net revenues, for the second quarter of 2025. The Advertising expense increase during the second quarter of 2026 was primarily driven by additional spend necessary to support top line growth opportunities within the Grow Brands category, specifically within the Wizards of the Coast and Digital Gaming segment.</w:t>
      </w:r>
    </w:p>
    <w:p>
      <w:pPr>
        <w:pStyle w:val="TextBody"/>
        <w:bidi w:val="0"/>
        <w:spacing w:lineRule="auto" w:line="288" w:before="120" w:after="283"/>
        <w:jc w:val="left"/>
        <w:rPr/>
      </w:pPr>
      <w:r>
        <w:rPr>
          <w:rFonts w:ascii="Arial;sans-serif" w:hAnsi="Arial;sans-serif"/>
          <w:b/>
          <w:color w:val="000000"/>
          <w:sz w:val="20"/>
        </w:rPr>
        <w:t xml:space="preserve">Amortization of intangible assets </w:t>
      </w:r>
      <w:r>
        <w:rPr>
          <w:color w:val="000000"/>
        </w:rPr>
        <w:t xml:space="preserve">– </w:t>
      </w:r>
      <w:r>
        <w:rPr>
          <w:rFonts w:ascii="Arial;sans-serif" w:hAnsi="Arial;sans-serif"/>
          <w:b w:val="false"/>
          <w:color w:val="000000"/>
          <w:sz w:val="20"/>
        </w:rPr>
        <w:t>Amortization of intangible assets decreased to $14.6 million, or 1.3% of net revenues, for the second quarter of 2026, compared to $17.2 million, or 1.8% of net revenues, for the second quarter of 2025. The amortization expense was driven by the straight-line amortization of the Company's definite-lived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color w:val="000000"/>
          <w:sz w:val="20"/>
        </w:rPr>
        <w:t xml:space="preserve">Impairment of Goodwill </w:t>
      </w:r>
      <w:r>
        <w:rPr>
          <w:color w:val="000000"/>
        </w:rPr>
        <w:t xml:space="preserve">– </w:t>
      </w:r>
      <w:r>
        <w:rPr>
          <w:rFonts w:ascii="Arial;sans-serif" w:hAnsi="Arial;sans-serif"/>
          <w:b w:val="false"/>
          <w:color w:val="000000"/>
          <w:sz w:val="20"/>
        </w:rPr>
        <w:t>During the second quarter of 2025, the Company recorded a $1,021.9 million non-cash goodwill impairment charge associated with goodwill assigned to reporting units within the Company's Consumer Products segment. There was no such impairment charge recorded during the second quarter of 2026.</w:t>
      </w:r>
    </w:p>
    <w:p>
      <w:pPr>
        <w:pStyle w:val="TextBody"/>
        <w:bidi w:val="0"/>
        <w:spacing w:lineRule="auto" w:line="288" w:before="120" w:after="283"/>
        <w:jc w:val="left"/>
        <w:rPr/>
      </w:pPr>
      <w:r>
        <w:rPr>
          <w:rFonts w:ascii="Arial;sans-serif" w:hAnsi="Arial;sans-serif"/>
          <w:b/>
          <w:color w:val="000000"/>
          <w:sz w:val="20"/>
        </w:rPr>
        <w:t xml:space="preserve">Selling, distribution and administration </w:t>
      </w:r>
      <w:r>
        <w:rPr>
          <w:color w:val="000000"/>
        </w:rPr>
        <w:t xml:space="preserve">– </w:t>
      </w:r>
      <w:r>
        <w:rPr>
          <w:rFonts w:ascii="Arial;sans-serif" w:hAnsi="Arial;sans-serif"/>
          <w:b w:val="false"/>
          <w:color w:val="000000"/>
          <w:sz w:val="20"/>
        </w:rPr>
        <w:t>Selling, distribution and administration expenses increased to $338.7 million, or 29.7% of net revenues for the second quarter of 2026, from $282.8 million, or 28.8% of net revenues, for the second quarter of 2025. The increase in Selling, distribution and administration expenses during the second quarter of 2026 is primarily the result of a one-time $56.4 million non-cash impairment charge related to the Company's decision to refocus the Digital Games portfolio, which included the cancellation of certain titles scheduled for release in 2028 and beyond, as well as $10.8 million of incremental costs incurred as a result of the unauthorized network access, partially offset by benefits from cost savings initiatives that have occurred over the last 12 months.</w:t>
      </w:r>
    </w:p>
    <w:p>
      <w:pPr>
        <w:pStyle w:val="TextBody"/>
        <w:bidi w:val="0"/>
        <w:spacing w:lineRule="auto" w:line="288" w:before="120" w:after="283"/>
        <w:jc w:val="left"/>
        <w:rPr/>
      </w:pPr>
      <w:r>
        <w:rPr>
          <w:rFonts w:ascii="Arial;sans-serif" w:hAnsi="Arial;sans-serif"/>
          <w:b/>
          <w:color w:val="000000"/>
          <w:sz w:val="20"/>
        </w:rPr>
        <w:t xml:space="preserve">Operating profit (loss) </w:t>
      </w:r>
      <w:r>
        <w:rPr>
          <w:color w:val="000000"/>
        </w:rPr>
        <w:t xml:space="preserve">– </w:t>
      </w:r>
      <w:r>
        <w:rPr>
          <w:rFonts w:ascii="Arial;sans-serif" w:hAnsi="Arial;sans-serif"/>
          <w:b w:val="false"/>
          <w:color w:val="000000"/>
          <w:sz w:val="20"/>
        </w:rPr>
        <w:t>Operating profit for the second quarter of 2026 was $252.5 million, or 22.2% of net revenues, compared to operating loss of $798.2 million, or 81.4% of net revenues, for the second quarter of 2025 driven by the factors discussed above.</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NON-OPERATING EXPENSE</w:t>
      </w:r>
    </w:p>
    <w:p>
      <w:pPr>
        <w:pStyle w:val="TextBody"/>
        <w:bidi w:val="0"/>
        <w:spacing w:lineRule="auto" w:line="288" w:before="120" w:after="283"/>
        <w:jc w:val="left"/>
        <w:rPr/>
      </w:pPr>
      <w:r>
        <w:rPr>
          <w:rFonts w:ascii="Arial;sans-serif" w:hAnsi="Arial;sans-serif"/>
          <w:b/>
          <w:color w:val="000000"/>
          <w:sz w:val="20"/>
        </w:rPr>
        <w:t xml:space="preserve">Interest expense </w:t>
      </w:r>
      <w:r>
        <w:rPr>
          <w:color w:val="000000"/>
        </w:rPr>
        <w:t xml:space="preserve">– </w:t>
      </w:r>
      <w:r>
        <w:rPr>
          <w:rFonts w:ascii="Arial;sans-serif" w:hAnsi="Arial;sans-serif"/>
          <w:b w:val="false"/>
          <w:color w:val="000000"/>
          <w:sz w:val="20"/>
        </w:rPr>
        <w:t>Interest expense was $46.5 million for the second quarter of 2026, compared to $40.6 million in the second quarter of 2025. Higher interest expense in 2026 is primarily the result of an increase in outstanding debt driven by issuance of the 2031 Notes, partially offset by debt repurchases of the Company's outstanding 2027, 2040, and 2044 Notes.</w:t>
      </w:r>
    </w:p>
    <w:p>
      <w:pPr>
        <w:pStyle w:val="TextBody"/>
        <w:bidi w:val="0"/>
        <w:spacing w:lineRule="auto" w:line="288" w:before="120" w:after="283"/>
        <w:jc w:val="left"/>
        <w:rPr/>
      </w:pPr>
      <w:r>
        <w:rPr>
          <w:rFonts w:ascii="Arial;sans-serif" w:hAnsi="Arial;sans-serif"/>
          <w:b/>
          <w:color w:val="000000"/>
          <w:sz w:val="20"/>
        </w:rPr>
        <w:t xml:space="preserve">Interest income </w:t>
      </w:r>
      <w:r>
        <w:rPr>
          <w:color w:val="000000"/>
        </w:rPr>
        <w:t xml:space="preserve">– </w:t>
      </w:r>
      <w:r>
        <w:rPr>
          <w:rFonts w:ascii="Arial;sans-serif" w:hAnsi="Arial;sans-serif"/>
          <w:b w:val="false"/>
          <w:color w:val="000000"/>
          <w:sz w:val="20"/>
        </w:rPr>
        <w:t>Interest income was $12.9 million for the second quarter of 2026, compared to $5.4 million in the second quarter of 2025. Higher Interest income in 2026 primarily reflects the Company's cash balance and investments in treasury securities, which were substantially higher in 2026 as compared to 2025.</w:t>
      </w:r>
    </w:p>
    <w:p>
      <w:pPr>
        <w:pStyle w:val="TextBody"/>
        <w:bidi w:val="0"/>
        <w:spacing w:lineRule="auto" w:line="288" w:before="120" w:after="283"/>
        <w:jc w:val="left"/>
        <w:rPr/>
      </w:pPr>
      <w:r>
        <w:rPr>
          <w:rFonts w:ascii="Arial;sans-serif" w:hAnsi="Arial;sans-serif"/>
          <w:b/>
          <w:color w:val="000000"/>
          <w:sz w:val="20"/>
        </w:rPr>
        <w:t xml:space="preserve">Other expense (income), net </w:t>
      </w:r>
      <w:r>
        <w:rPr>
          <w:color w:val="000000"/>
        </w:rPr>
        <w:t xml:space="preserve">– </w:t>
      </w:r>
      <w:r>
        <w:rPr>
          <w:rFonts w:ascii="Arial;sans-serif" w:hAnsi="Arial;sans-serif"/>
          <w:b w:val="false"/>
          <w:color w:val="000000"/>
          <w:sz w:val="20"/>
        </w:rPr>
        <w:t>Other expense (income), net resulted in expense of $10.2 million for the second quarter of 2026, compared to income of $18.7 million in the second quarter of 2025. The change in Other expense (income), net during 2026 was driven primarily by variations in the movement of foreign currencies in the second quarter of 2026 when compared to the second quarter of 2025.</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Income tax expense totaled $47.4 million on a pre-tax income of $208.7 million in the second quarter of 2026 compared to an income tax expense of $40.0 million on pre-tax loss of $814.7 million in the second quarter of 2025. Both periods were impacted by discrete tax events.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second quarter of 2026, the Company recorded a net discrete tax benefit of $1.0 million primarily associated with the release of uncertain tax positions resulting from the expiration of certain international statutes of limitations. During the second quarter of 2025, the Company recorded a non-cash goodwill impairment within the Consumer Products segment of $1,021.9 million with no corresponding tax benefit. Exclusive of the impairment of goodwill, the Company recorded a net discrete tax benefit of $5.9 million, primarily associated with the release of a valuation allowance.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Absent discrete items, the tax rates for the second quarter of 2026 and 2025 were 23.2% and 22.1%, respectively. The increase in the base rate for the second quarter of 2026 relative to the second quarter of 2025 is primarily due to the mix of jurisdictions where the Company earned its profits.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SEGMENT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external revenues and operating profit for the Company's reportable segments for the three months ended June 28, 2026 and June 29, 2025:</w:t>
      </w:r>
    </w:p>
    <w:tbl>
      <w:tblPr>
        <w:tblW w:w="7237" w:type="dxa"/>
        <w:jc w:val="left"/>
        <w:tblInd w:w="0" w:type="dxa"/>
        <w:tblLayout w:type="fixed"/>
        <w:tblCellMar>
          <w:top w:w="28" w:type="dxa"/>
          <w:left w:w="28" w:type="dxa"/>
          <w:bottom w:w="28" w:type="dxa"/>
          <w:right w:w="28" w:type="dxa"/>
        </w:tblCellMar>
      </w:tblPr>
      <w:tblGrid>
        <w:gridCol w:w="1239"/>
        <w:gridCol w:w="1089"/>
        <w:gridCol w:w="1092"/>
        <w:gridCol w:w="211"/>
        <w:gridCol w:w="766"/>
        <w:gridCol w:w="109"/>
        <w:gridCol w:w="109"/>
        <w:gridCol w:w="109"/>
        <w:gridCol w:w="109"/>
        <w:gridCol w:w="211"/>
        <w:gridCol w:w="691"/>
        <w:gridCol w:w="109"/>
        <w:gridCol w:w="109"/>
        <w:gridCol w:w="109"/>
        <w:gridCol w:w="109"/>
        <w:gridCol w:w="291"/>
        <w:gridCol w:w="294"/>
        <w:gridCol w:w="48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Consumer Products</w:t>
            </w:r>
            <w:r>
              <w:rPr>
                <w:rFonts w:ascii="Arial;sans-serif" w:hAnsi="Arial;sans-serif"/>
                <w:b w:val="false"/>
                <w:color w:val="000000"/>
                <w:sz w:val="12"/>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and Other</w:t>
            </w:r>
            <w:r>
              <w:rPr>
                <w:rFonts w:ascii="Arial;sans-serif" w:hAnsi="Arial;sans-serif"/>
                <w:b w:val="false"/>
                <w:color w:val="000000"/>
                <w:sz w:val="12"/>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profit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bidi w:val="0"/>
        <w:spacing w:lineRule="auto" w:line="288" w:before="60" w:after="283"/>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 Change is not meaningful ("NM") for these segments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Wizards of the Coast and Digital Gaming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Wizards of the Coast and Digital Gaming segment net revenues by category:</w:t>
      </w:r>
    </w:p>
    <w:tbl>
      <w:tblPr>
        <w:tblW w:w="6007" w:type="dxa"/>
        <w:jc w:val="left"/>
        <w:tblInd w:w="0" w:type="dxa"/>
        <w:tblLayout w:type="fixed"/>
        <w:tblCellMar>
          <w:top w:w="28" w:type="dxa"/>
          <w:left w:w="28" w:type="dxa"/>
          <w:bottom w:w="28" w:type="dxa"/>
          <w:right w:w="28" w:type="dxa"/>
        </w:tblCellMar>
      </w:tblPr>
      <w:tblGrid>
        <w:gridCol w:w="900"/>
        <w:gridCol w:w="793"/>
        <w:gridCol w:w="796"/>
        <w:gridCol w:w="211"/>
        <w:gridCol w:w="616"/>
        <w:gridCol w:w="109"/>
        <w:gridCol w:w="109"/>
        <w:gridCol w:w="109"/>
        <w:gridCol w:w="109"/>
        <w:gridCol w:w="211"/>
        <w:gridCol w:w="616"/>
        <w:gridCol w:w="109"/>
        <w:gridCol w:w="109"/>
        <w:gridCol w:w="109"/>
        <w:gridCol w:w="109"/>
        <w:gridCol w:w="255"/>
        <w:gridCol w:w="256"/>
        <w:gridCol w:w="481"/>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Tabletop Gaming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and Licensed Gaming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pPr>
      <w:r>
        <w:rPr>
          <w:rFonts w:ascii="Arial;sans-serif" w:hAnsi="Arial;sans-serif"/>
          <w:b w:val="false"/>
          <w:color w:val="000000"/>
          <w:sz w:val="20"/>
        </w:rPr>
        <w:t xml:space="preserve">Wizards of the Coast and Digital Gaming segment net revenues increased 27.1% in the second quarter of 2026 to $663.8 million from $522.4 million in the second quarter of 2025. The net revenue increase in the Wizards of the Coast and Digital Gaming segment during the second quarter of 2026 was primarily attributable to an increase in Tabletop Gaming revenue which grew 30.0% behind demand in </w:t>
      </w:r>
      <w:r>
        <w:rPr>
          <w:rFonts w:ascii="Arial;sans-serif" w:hAnsi="Arial;sans-serif"/>
          <w:b w:val="false"/>
          <w:i/>
          <w:color w:val="000000"/>
          <w:sz w:val="20"/>
        </w:rPr>
        <w:t>Magic: The Gathering</w:t>
      </w:r>
      <w:r>
        <w:rPr>
          <w:rFonts w:ascii="Arial;sans-serif" w:hAnsi="Arial;sans-serif"/>
          <w:b w:val="false"/>
          <w:color w:val="000000"/>
          <w:sz w:val="20"/>
        </w:rPr>
        <w:t xml:space="preserve">, driven by the release of the </w:t>
      </w:r>
      <w:r>
        <w:rPr>
          <w:rFonts w:ascii="Arial;sans-serif" w:hAnsi="Arial;sans-serif"/>
          <w:b w:val="false"/>
          <w:i/>
          <w:color w:val="000000"/>
          <w:sz w:val="20"/>
        </w:rPr>
        <w:t xml:space="preserve">Secrets of Strixhaven </w:t>
      </w:r>
      <w:r>
        <w:rPr>
          <w:rFonts w:ascii="Arial;sans-serif" w:hAnsi="Arial;sans-serif"/>
          <w:b w:val="false"/>
          <w:color w:val="000000"/>
          <w:sz w:val="20"/>
        </w:rPr>
        <w:t xml:space="preserve">and Universes Beyond </w:t>
      </w:r>
      <w:r>
        <w:rPr>
          <w:rFonts w:ascii="Arial;sans-serif" w:hAnsi="Arial;sans-serif"/>
          <w:b w:val="false"/>
          <w:i/>
          <w:color w:val="000000"/>
          <w:sz w:val="20"/>
        </w:rPr>
        <w:t xml:space="preserve">Marvel Super Heroes </w:t>
      </w:r>
      <w:r>
        <w:rPr>
          <w:rFonts w:ascii="Arial;sans-serif" w:hAnsi="Arial;sans-serif"/>
          <w:b w:val="false"/>
          <w:color w:val="000000"/>
          <w:sz w:val="20"/>
        </w:rPr>
        <w:t xml:space="preserve">sets. This growth was accompanied by an increase in digital licensing revenue related to </w:t>
      </w:r>
      <w:r>
        <w:rPr>
          <w:rFonts w:ascii="Arial;sans-serif" w:hAnsi="Arial;sans-serif"/>
          <w:b w:val="false"/>
          <w:i/>
          <w:color w:val="000000"/>
          <w:sz w:val="20"/>
        </w:rPr>
        <w:t xml:space="preserve">Monopoly Go!, </w:t>
      </w:r>
      <w:r>
        <w:rPr>
          <w:rFonts w:ascii="Arial;sans-serif" w:hAnsi="Arial;sans-serif"/>
          <w:b w:val="false"/>
          <w:color w:val="000000"/>
          <w:sz w:val="20"/>
        </w:rPr>
        <w:t>which contributed $44.2 million of revenue during the quarter</w:t>
      </w:r>
      <w:r>
        <w:rPr>
          <w:rFonts w:ascii="Arial;sans-serif" w:hAnsi="Arial;sans-serif"/>
          <w:b w:val="false"/>
          <w:i/>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Wizards of the Coast and Digital Gaming segment operating profit was $270.0 million, or 40.7% of segment net revenues for the second quarter of 2026, compared to operating profit of $241.9 million, or 46.3% of segment net revenues, for the second quarter of 2025. Operating profit increased during the second quarter of 2026 due to increased net revenues, as discussed above. Operating margin decreased during the second quarter of 2026, primarily driven by a one-time $56.4 million non-cash impairment charge related to the Company's decision to refocus the Digital Games portfolio, which included the cancellation of certain titles scheduled for release in 2028 and beyond. </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Consumer Products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Consumer Products segment net revenues by major geographic region:</w:t>
      </w:r>
    </w:p>
    <w:tbl>
      <w:tblPr>
        <w:tblW w:w="4882" w:type="dxa"/>
        <w:jc w:val="left"/>
        <w:tblInd w:w="0" w:type="dxa"/>
        <w:tblLayout w:type="fixed"/>
        <w:tblCellMar>
          <w:top w:w="28" w:type="dxa"/>
          <w:left w:w="28" w:type="dxa"/>
          <w:bottom w:w="28" w:type="dxa"/>
          <w:right w:w="28" w:type="dxa"/>
        </w:tblCellMar>
      </w:tblPr>
      <w:tblGrid>
        <w:gridCol w:w="467"/>
        <w:gridCol w:w="410"/>
        <w:gridCol w:w="413"/>
        <w:gridCol w:w="211"/>
        <w:gridCol w:w="616"/>
        <w:gridCol w:w="109"/>
        <w:gridCol w:w="109"/>
        <w:gridCol w:w="109"/>
        <w:gridCol w:w="109"/>
        <w:gridCol w:w="211"/>
        <w:gridCol w:w="616"/>
        <w:gridCol w:w="109"/>
        <w:gridCol w:w="109"/>
        <w:gridCol w:w="109"/>
        <w:gridCol w:w="109"/>
        <w:gridCol w:w="291"/>
        <w:gridCol w:w="294"/>
        <w:gridCol w:w="48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pPr>
      <w:r>
        <w:rPr>
          <w:rFonts w:ascii="Arial;sans-serif" w:hAnsi="Arial;sans-serif"/>
          <w:b w:val="false"/>
          <w:color w:val="000000"/>
          <w:sz w:val="20"/>
        </w:rPr>
        <w:t xml:space="preserve">Consumer Products segment net revenues increased to $463.0 million for the second quarter of 2026 compared to $442.4 million for the second quarter of 2025, primarily driven by the timing of retail orders in North America and an enhanced slate of entertainment content releases. The net revenue increase primarily reflects higher net revenues for toys and games, particularly for certain Grow Brands such as </w:t>
      </w:r>
      <w:r>
        <w:rPr>
          <w:rFonts w:ascii="Arial;sans-serif" w:hAnsi="Arial;sans-serif"/>
          <w:b w:val="false"/>
          <w:i/>
          <w:color w:val="000000"/>
          <w:sz w:val="20"/>
        </w:rPr>
        <w:t>Marvel</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Star Wars</w:t>
      </w:r>
      <w:r>
        <w:rPr>
          <w:rFonts w:ascii="Arial;sans-serif" w:hAnsi="Arial;sans-serif"/>
          <w:b w:val="false"/>
          <w:color w:val="000000"/>
          <w:sz w:val="20"/>
        </w:rPr>
        <w:t xml:space="preserve">, which were positively impacted by an uptick in demand in advance of major theatrical releases throughout 2026 with no comparable releases in the prior year. The increase in toy and game revenues was partially offset by a decrease in licensing revenues, primarily attributable to the lapping of licensing revenue related to </w:t>
      </w:r>
      <w:r>
        <w:rPr>
          <w:rFonts w:ascii="Arial;sans-serif" w:hAnsi="Arial;sans-serif"/>
          <w:b w:val="false"/>
          <w:i/>
          <w:color w:val="000000"/>
          <w:sz w:val="20"/>
        </w:rPr>
        <w:t>My Little Pony</w:t>
      </w:r>
      <w:r>
        <w:rPr>
          <w:rFonts w:ascii="Arial;sans-serif" w:hAnsi="Arial;sans-serif"/>
          <w:b w:val="false"/>
          <w:color w:val="000000"/>
          <w:sz w:val="20"/>
        </w:rPr>
        <w:t>, which decreased $9.7 million.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Products segment operating loss for the second quarter of 2026 was $14.5 million, or 3.1% of segment net revenues, compared to a segment operating loss of $1,029.5 million, or 232.7% of segment net revenues, for the second quarter of 2025. The change in operating loss in the second quarter of 2026 was driven primarily by the non-cash goodwill impairment charge of $1,021.9 million recorded during the second quarter of 2025, offset by tariff costs of approximately $6.2 million.</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Entertainment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Entertainment segment net revenues by category:</w:t>
      </w:r>
    </w:p>
    <w:tbl>
      <w:tblPr>
        <w:tblW w:w="4673" w:type="dxa"/>
        <w:jc w:val="left"/>
        <w:tblInd w:w="0" w:type="dxa"/>
        <w:tblLayout w:type="fixed"/>
        <w:tblCellMar>
          <w:top w:w="28" w:type="dxa"/>
          <w:left w:w="28" w:type="dxa"/>
          <w:bottom w:w="28" w:type="dxa"/>
          <w:right w:w="28" w:type="dxa"/>
        </w:tblCellMar>
      </w:tblPr>
      <w:tblGrid>
        <w:gridCol w:w="466"/>
        <w:gridCol w:w="411"/>
        <w:gridCol w:w="413"/>
        <w:gridCol w:w="211"/>
        <w:gridCol w:w="511"/>
        <w:gridCol w:w="109"/>
        <w:gridCol w:w="109"/>
        <w:gridCol w:w="109"/>
        <w:gridCol w:w="109"/>
        <w:gridCol w:w="211"/>
        <w:gridCol w:w="511"/>
        <w:gridCol w:w="109"/>
        <w:gridCol w:w="109"/>
        <w:gridCol w:w="109"/>
        <w:gridCol w:w="109"/>
        <w:gridCol w:w="293"/>
        <w:gridCol w:w="293"/>
        <w:gridCol w:w="481"/>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Family Brands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 and TV</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Entertainment segment net revenues decreased 20.0% to $12.8 million for the second quarter of 2026, compared to $16.0 million for the second quarter of 2025. The net revenue decrease in the Entertainment segment during the second quarter of 2026 was driven primarily by the timing of entertainment streaming renewals and other content deals.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Entertainment segment operating profit was $5.6 million, or 43.8% of segment net revenues for the second quarter of 2026, compared to an operating profit of $6.1 million, or 38.1% of segment net revenues for the second quarter of 2025. The decrease in operating profit in the Entertainment segment operating results during the second quarter of 2026 was primarily driven by the decrease in revenue discussed above.</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Corporate and Other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Corporate and Other operating loss was $8.6 million for the second quarter of 2026 compared to an operating loss of $16.7 million for the second quarter of 2025. The change in operating loss in the second quarter of 2026 as compared to the second quarter of 2025 primarily reflects the impacts of cost saving initiatives at the Company over the last 12 months, partially offset by incremental costs incurred related to the unauthorized network access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consolidated results of operations for the six months ended June 28, 2026 and June 29, 2025:</w:t>
      </w:r>
    </w:p>
    <w:tbl>
      <w:tblPr>
        <w:tblW w:w="10205" w:type="dxa"/>
        <w:jc w:val="left"/>
        <w:tblInd w:w="0" w:type="dxa"/>
        <w:tblLayout w:type="fixed"/>
        <w:tblCellMar>
          <w:top w:w="28" w:type="dxa"/>
          <w:left w:w="28" w:type="dxa"/>
          <w:bottom w:w="28" w:type="dxa"/>
          <w:right w:w="28" w:type="dxa"/>
        </w:tblCellMar>
      </w:tblPr>
      <w:tblGrid>
        <w:gridCol w:w="1317"/>
        <w:gridCol w:w="1052"/>
        <w:gridCol w:w="1054"/>
        <w:gridCol w:w="211"/>
        <w:gridCol w:w="766"/>
        <w:gridCol w:w="109"/>
        <w:gridCol w:w="109"/>
        <w:gridCol w:w="109"/>
        <w:gridCol w:w="109"/>
        <w:gridCol w:w="387"/>
        <w:gridCol w:w="341"/>
        <w:gridCol w:w="844"/>
        <w:gridCol w:w="109"/>
        <w:gridCol w:w="109"/>
        <w:gridCol w:w="109"/>
        <w:gridCol w:w="211"/>
        <w:gridCol w:w="766"/>
        <w:gridCol w:w="109"/>
        <w:gridCol w:w="109"/>
        <w:gridCol w:w="109"/>
        <w:gridCol w:w="109"/>
        <w:gridCol w:w="387"/>
        <w:gridCol w:w="341"/>
        <w:gridCol w:w="844"/>
        <w:gridCol w:w="109"/>
        <w:gridCol w:w="109"/>
        <w:gridCol w:w="109"/>
        <w:gridCol w:w="158"/>
      </w:tblGrid>
      <w:tr>
        <w:trPr/>
        <w:tc>
          <w:tcPr>
            <w:tcW w:w="131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distribution and administration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75.6 </w:t>
            </w:r>
          </w:p>
        </w:tc>
        <w:tc>
          <w:tcPr>
            <w:tcW w:w="8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133.6 </w:t>
            </w:r>
          </w:p>
        </w:tc>
        <w:tc>
          <w:tcPr>
            <w:tcW w:w="8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non-operating expense, net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8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8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 before income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noncontrolling interests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per common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color w:val="000000"/>
          <w:sz w:val="20"/>
        </w:rPr>
        <w:t xml:space="preserve">Net revenues </w:t>
      </w:r>
      <w:r>
        <w:rPr>
          <w:color w:val="000000"/>
        </w:rPr>
        <w:t xml:space="preserve">– </w:t>
      </w:r>
      <w:r>
        <w:rPr>
          <w:rFonts w:ascii="Arial;sans-serif" w:hAnsi="Arial;sans-serif"/>
          <w:b w:val="false"/>
          <w:color w:val="000000"/>
          <w:sz w:val="20"/>
        </w:rPr>
        <w:t>Net revenues for the first six months of 2026 increased 14.6% to $2,139.8 million from $1,867.9 million for the first six months of 2025, primarily driven by a $261.3 million, or 26.5%, increase in the Wizards of the Coast and Digital Gaming segment as well as a $20.2 million, or 2.4%, increase in the Consumer Products segment, offset by a $9.6 million, or 22.5%, decrease in the Entertainment segment. See the Segment Results discussion below for further details.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revenues by brand portfolio category:</w:t>
      </w:r>
    </w:p>
    <w:tbl>
      <w:tblPr>
        <w:tblW w:w="5656" w:type="dxa"/>
        <w:jc w:val="left"/>
        <w:tblInd w:w="0" w:type="dxa"/>
        <w:tblLayout w:type="fixed"/>
        <w:tblCellMar>
          <w:top w:w="28" w:type="dxa"/>
          <w:left w:w="28" w:type="dxa"/>
          <w:bottom w:w="28" w:type="dxa"/>
          <w:right w:w="28" w:type="dxa"/>
        </w:tblCellMar>
      </w:tblPr>
      <w:tblGrid>
        <w:gridCol w:w="537"/>
        <w:gridCol w:w="473"/>
        <w:gridCol w:w="475"/>
        <w:gridCol w:w="211"/>
        <w:gridCol w:w="766"/>
        <w:gridCol w:w="109"/>
        <w:gridCol w:w="109"/>
        <w:gridCol w:w="109"/>
        <w:gridCol w:w="109"/>
        <w:gridCol w:w="279"/>
        <w:gridCol w:w="1016"/>
        <w:gridCol w:w="144"/>
        <w:gridCol w:w="109"/>
        <w:gridCol w:w="109"/>
        <w:gridCol w:w="109"/>
        <w:gridCol w:w="255"/>
        <w:gridCol w:w="256"/>
        <w:gridCol w:w="48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June 29, 2025</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Grow Brands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Optimize Brands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Reinvent Brands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1,867.9 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r>
        <w:rPr>
          <w:rFonts w:ascii="Arial;sans-serif" w:hAnsi="Arial;sans-serif"/>
          <w:b w:val="false"/>
          <w:i/>
          <w:color w:val="000000"/>
          <w:sz w:val="10"/>
        </w:rPr>
        <w:t xml:space="preserve">(1) </w:t>
      </w:r>
      <w:r>
        <w:rPr>
          <w:rFonts w:ascii="Arial;sans-serif" w:hAnsi="Arial;sans-serif"/>
          <w:b w:val="false"/>
          <w:i/>
          <w:color w:val="000000"/>
          <w:sz w:val="16"/>
        </w:rPr>
        <w:t>During the first quarter of 2026, the classification of brands within these categories was reviewed and certain brands were reclassified based on changes in growth, profitability or other characteristics. As such, the respective historical revenues associated within these brands has been reclassified into the brands' new brand category.</w:t>
      </w:r>
    </w:p>
    <w:p>
      <w:pPr>
        <w:pStyle w:val="TextBody"/>
        <w:bidi w:val="0"/>
        <w:spacing w:lineRule="auto" w:line="288" w:before="120" w:after="283"/>
        <w:jc w:val="left"/>
        <w:rPr/>
      </w:pPr>
      <w:r>
        <w:rPr>
          <w:rFonts w:ascii="Arial;sans-serif" w:hAnsi="Arial;sans-serif"/>
          <w:b w:val="false"/>
          <w:i/>
          <w:color w:val="000000"/>
          <w:sz w:val="20"/>
        </w:rPr>
        <w:t>GROW BRANDS:</w:t>
      </w:r>
      <w:r>
        <w:rPr>
          <w:color w:val="000000"/>
        </w:rPr>
        <w:t xml:space="preserve"> </w:t>
      </w:r>
      <w:r>
        <w:rPr>
          <w:rFonts w:ascii="Arial;sans-serif" w:hAnsi="Arial;sans-serif"/>
          <w:b w:val="false"/>
          <w:color w:val="000000"/>
          <w:sz w:val="20"/>
        </w:rPr>
        <w:t xml:space="preserve">Net revenues in the Grow Brands portfolio increased $291.0 million, or 20.8%, in the first six months of 2026, compared to the first six months of 2025. The net revenue increase primarily reflects higher net revenues from </w:t>
      </w:r>
      <w:r>
        <w:rPr>
          <w:rFonts w:ascii="Arial;sans-serif" w:hAnsi="Arial;sans-serif"/>
          <w:b w:val="false"/>
          <w:i/>
          <w:color w:val="000000"/>
          <w:sz w:val="20"/>
        </w:rPr>
        <w:t>Magic: The Gathering</w:t>
      </w:r>
      <w:r>
        <w:rPr>
          <w:rFonts w:ascii="Arial;sans-serif" w:hAnsi="Arial;sans-serif"/>
          <w:b w:val="false"/>
          <w:color w:val="000000"/>
          <w:sz w:val="20"/>
        </w:rPr>
        <w:t xml:space="preserve">, which grew by $256.6 million, or 33.8%, driven by strong performance of </w:t>
      </w:r>
      <w:r>
        <w:rPr>
          <w:rFonts w:ascii="Arial;sans-serif" w:hAnsi="Arial;sans-serif"/>
          <w:b w:val="false"/>
          <w:i/>
          <w:color w:val="000000"/>
          <w:sz w:val="20"/>
        </w:rPr>
        <w:t xml:space="preserve">Lorwyn Eclipsed </w:t>
      </w:r>
      <w:r>
        <w:rPr>
          <w:rFonts w:ascii="Arial;sans-serif" w:hAnsi="Arial;sans-serif"/>
          <w:b w:val="false"/>
          <w:color w:val="000000"/>
          <w:sz w:val="20"/>
        </w:rPr>
        <w:t xml:space="preserve">and </w:t>
      </w:r>
      <w:r>
        <w:rPr>
          <w:rFonts w:ascii="Arial;sans-serif" w:hAnsi="Arial;sans-serif"/>
          <w:b w:val="false"/>
          <w:i/>
          <w:color w:val="000000"/>
          <w:sz w:val="20"/>
        </w:rPr>
        <w:t>Secrets of Strixhaven</w:t>
      </w:r>
      <w:r>
        <w:rPr>
          <w:rFonts w:ascii="Arial;sans-serif" w:hAnsi="Arial;sans-serif"/>
          <w:b w:val="false"/>
          <w:color w:val="000000"/>
          <w:sz w:val="20"/>
        </w:rPr>
        <w:t xml:space="preserve">, as well as Universes Beyond sets such as </w:t>
      </w:r>
      <w:r>
        <w:rPr>
          <w:rFonts w:ascii="Arial;sans-serif" w:hAnsi="Arial;sans-serif"/>
          <w:b w:val="false"/>
          <w:i/>
          <w:color w:val="000000"/>
          <w:sz w:val="20"/>
        </w:rPr>
        <w:t xml:space="preserve">Teenage Mutant Ninja Turtles </w:t>
      </w:r>
      <w:r>
        <w:rPr>
          <w:rFonts w:ascii="Arial;sans-serif" w:hAnsi="Arial;sans-serif"/>
          <w:b w:val="false"/>
          <w:color w:val="000000"/>
          <w:sz w:val="20"/>
        </w:rPr>
        <w:t xml:space="preserve">and </w:t>
      </w:r>
      <w:r>
        <w:rPr>
          <w:rFonts w:ascii="Arial;sans-serif" w:hAnsi="Arial;sans-serif"/>
          <w:b w:val="false"/>
          <w:i/>
          <w:color w:val="000000"/>
          <w:sz w:val="20"/>
        </w:rPr>
        <w:t>Marvel Super Heroes</w:t>
      </w:r>
      <w:r>
        <w:rPr>
          <w:rFonts w:ascii="Arial;sans-serif" w:hAnsi="Arial;sans-serif"/>
          <w:b w:val="false"/>
          <w:color w:val="000000"/>
          <w:sz w:val="20"/>
        </w:rPr>
        <w:t xml:space="preserve">, which released within the first six months of 2026. Growth in this category was also impacted by increased demand in toys and games associated with the licensed </w:t>
      </w:r>
      <w:r>
        <w:rPr>
          <w:rFonts w:ascii="Arial;sans-serif" w:hAnsi="Arial;sans-serif"/>
          <w:b w:val="false"/>
          <w:i/>
          <w:color w:val="000000"/>
          <w:sz w:val="20"/>
        </w:rPr>
        <w:t xml:space="preserve">Marvel </w:t>
      </w:r>
      <w:r>
        <w:rPr>
          <w:rFonts w:ascii="Arial;sans-serif" w:hAnsi="Arial;sans-serif"/>
          <w:b w:val="false"/>
          <w:color w:val="000000"/>
          <w:sz w:val="20"/>
        </w:rPr>
        <w:t xml:space="preserve">and </w:t>
      </w:r>
      <w:r>
        <w:rPr>
          <w:rFonts w:ascii="Arial;sans-serif" w:hAnsi="Arial;sans-serif"/>
          <w:b w:val="false"/>
          <w:i/>
          <w:color w:val="000000"/>
          <w:sz w:val="20"/>
        </w:rPr>
        <w:t xml:space="preserve">Star Wars </w:t>
      </w:r>
      <w:r>
        <w:rPr>
          <w:rFonts w:ascii="Arial;sans-serif" w:hAnsi="Arial;sans-serif"/>
          <w:b w:val="false"/>
          <w:color w:val="000000"/>
          <w:sz w:val="20"/>
        </w:rPr>
        <w:t>brands, driven by a strong content slate in 2026 with no comparable releases in the prior year.</w:t>
      </w:r>
    </w:p>
    <w:p>
      <w:pPr>
        <w:pStyle w:val="TextBody"/>
        <w:bidi w:val="0"/>
        <w:spacing w:lineRule="auto" w:line="288" w:before="120" w:after="283"/>
        <w:jc w:val="left"/>
        <w:rPr/>
      </w:pPr>
      <w:r>
        <w:rPr>
          <w:rFonts w:ascii="Arial;sans-serif" w:hAnsi="Arial;sans-serif"/>
          <w:b w:val="false"/>
          <w:i/>
          <w:color w:val="000000"/>
          <w:sz w:val="20"/>
        </w:rPr>
        <w:t>OPTIMIZE BRANDS:</w:t>
      </w:r>
      <w:r>
        <w:rPr>
          <w:color w:val="000000"/>
        </w:rPr>
        <w:t xml:space="preserve"> </w:t>
      </w:r>
      <w:r>
        <w:rPr>
          <w:rFonts w:ascii="Arial;sans-serif" w:hAnsi="Arial;sans-serif"/>
          <w:b w:val="false"/>
          <w:color w:val="000000"/>
          <w:sz w:val="20"/>
        </w:rPr>
        <w:t xml:space="preserve">Net revenues in the Optimize Brands portfolio decreased $12.1 million, or 4.2%, in the first six months of 2026, compared to the first six months of 2025. The net revenue decrease is primarily driven by lower net revenues from </w:t>
      </w:r>
      <w:r>
        <w:rPr>
          <w:rFonts w:ascii="Arial;sans-serif" w:hAnsi="Arial;sans-serif"/>
          <w:b w:val="false"/>
          <w:i/>
          <w:color w:val="000000"/>
          <w:sz w:val="20"/>
        </w:rPr>
        <w:t>Transformers</w:t>
      </w:r>
      <w:r>
        <w:rPr>
          <w:rFonts w:ascii="Arial;sans-serif" w:hAnsi="Arial;sans-serif"/>
          <w:b w:val="false"/>
          <w:color w:val="000000"/>
          <w:sz w:val="20"/>
        </w:rPr>
        <w:t xml:space="preserve">, </w:t>
      </w:r>
      <w:r>
        <w:rPr>
          <w:rFonts w:ascii="Arial;sans-serif" w:hAnsi="Arial;sans-serif"/>
          <w:b w:val="false"/>
          <w:i/>
          <w:color w:val="000000"/>
          <w:sz w:val="20"/>
        </w:rPr>
        <w:t>Play-Doh</w:t>
      </w:r>
      <w:r>
        <w:rPr>
          <w:rFonts w:ascii="Arial;sans-serif" w:hAnsi="Arial;sans-serif"/>
          <w:b w:val="false"/>
          <w:color w:val="000000"/>
          <w:sz w:val="20"/>
        </w:rPr>
        <w:t xml:space="preserve">, and </w:t>
      </w:r>
      <w:r>
        <w:rPr>
          <w:rFonts w:ascii="Arial;sans-serif" w:hAnsi="Arial;sans-serif"/>
          <w:b w:val="false"/>
          <w:i/>
          <w:color w:val="000000"/>
          <w:sz w:val="20"/>
        </w:rPr>
        <w:t>Duel Masters</w:t>
      </w:r>
      <w:r>
        <w:rPr>
          <w:rFonts w:ascii="Arial;sans-serif" w:hAnsi="Arial;sans-serif"/>
          <w:b w:val="false"/>
          <w:color w:val="000000"/>
          <w:sz w:val="20"/>
        </w:rPr>
        <w:t xml:space="preserve">. The declines were partially offset with an increase in net revenue from </w:t>
      </w:r>
      <w:r>
        <w:rPr>
          <w:rFonts w:ascii="Arial;sans-serif" w:hAnsi="Arial;sans-serif"/>
          <w:b w:val="false"/>
          <w:i/>
          <w:color w:val="000000"/>
          <w:sz w:val="20"/>
        </w:rPr>
        <w:t>GI Joe</w:t>
      </w:r>
      <w:r>
        <w:rPr>
          <w:rFonts w:ascii="Arial;sans-serif" w:hAnsi="Arial;sans-serif"/>
          <w:b w:val="false"/>
          <w:color w:val="000000"/>
          <w:sz w:val="20"/>
        </w:rPr>
        <w:t xml:space="preserve">. </w:t>
      </w:r>
    </w:p>
    <w:p>
      <w:pPr>
        <w:pStyle w:val="TextBody"/>
        <w:bidi w:val="0"/>
        <w:spacing w:lineRule="auto" w:line="288" w:before="120" w:after="283"/>
        <w:jc w:val="left"/>
        <w:rPr/>
      </w:pPr>
      <w:r>
        <w:rPr>
          <w:rFonts w:ascii="Arial;sans-serif" w:hAnsi="Arial;sans-serif"/>
          <w:b w:val="false"/>
          <w:i/>
          <w:color w:val="000000"/>
          <w:sz w:val="20"/>
        </w:rPr>
        <w:t>REINVENT BRANDS:</w:t>
      </w:r>
      <w:r>
        <w:rPr>
          <w:color w:val="000000"/>
        </w:rPr>
        <w:t xml:space="preserve"> </w:t>
      </w:r>
      <w:r>
        <w:rPr>
          <w:rFonts w:ascii="Arial;sans-serif" w:hAnsi="Arial;sans-serif"/>
          <w:b w:val="false"/>
          <w:color w:val="000000"/>
          <w:sz w:val="20"/>
        </w:rPr>
        <w:t xml:space="preserve">Net revenues in the Reinvent Brands portfolio decreased $7.0 million, or 4.0%, in the first six months of 2026 compared to the first six months of 2025. The net revenue decrease is primarily driven by lower product sales for </w:t>
      </w:r>
      <w:r>
        <w:rPr>
          <w:rFonts w:ascii="Arial;sans-serif" w:hAnsi="Arial;sans-serif"/>
          <w:b w:val="false"/>
          <w:i/>
          <w:color w:val="000000"/>
          <w:sz w:val="20"/>
        </w:rPr>
        <w:t>Baby Alive</w:t>
      </w:r>
      <w:r>
        <w:rPr>
          <w:rFonts w:ascii="Arial;sans-serif" w:hAnsi="Arial;sans-serif"/>
          <w:b w:val="false"/>
          <w:color w:val="000000"/>
          <w:sz w:val="20"/>
        </w:rPr>
        <w:t xml:space="preserve">, </w:t>
      </w:r>
      <w:r>
        <w:rPr>
          <w:rFonts w:ascii="Arial;sans-serif" w:hAnsi="Arial;sans-serif"/>
          <w:b w:val="false"/>
          <w:i/>
          <w:color w:val="000000"/>
          <w:sz w:val="20"/>
        </w:rPr>
        <w:t>Furby</w:t>
      </w:r>
      <w:r>
        <w:rPr>
          <w:rFonts w:ascii="Arial;sans-serif" w:hAnsi="Arial;sans-serif"/>
          <w:b w:val="false"/>
          <w:color w:val="000000"/>
          <w:sz w:val="20"/>
        </w:rPr>
        <w:t xml:space="preserve">, and other vault brands, partially offset by higher sales in </w:t>
      </w:r>
      <w:r>
        <w:rPr>
          <w:rFonts w:ascii="Arial;sans-serif" w:hAnsi="Arial;sans-serif"/>
          <w:b w:val="false"/>
          <w:i/>
          <w:color w:val="000000"/>
          <w:sz w:val="20"/>
        </w:rPr>
        <w:t>Beyblade</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Nanomals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OPERATING COSTS AND EXPENSES</w:t>
      </w:r>
    </w:p>
    <w:p>
      <w:pPr>
        <w:pStyle w:val="TextBody"/>
        <w:bidi w:val="0"/>
        <w:spacing w:lineRule="auto" w:line="288" w:before="120" w:after="283"/>
        <w:jc w:val="left"/>
        <w:rPr/>
      </w:pPr>
      <w:r>
        <w:rPr>
          <w:rFonts w:ascii="Arial;sans-serif" w:hAnsi="Arial;sans-serif"/>
          <w:b/>
          <w:color w:val="000000"/>
          <w:sz w:val="20"/>
        </w:rPr>
        <w:t xml:space="preserve">Cost of sales </w:t>
      </w:r>
      <w:r>
        <w:rPr>
          <w:color w:val="000000"/>
        </w:rPr>
        <w:t xml:space="preserve">– </w:t>
      </w:r>
      <w:r>
        <w:rPr>
          <w:rFonts w:ascii="Arial;sans-serif" w:hAnsi="Arial;sans-serif"/>
          <w:b w:val="false"/>
          <w:color w:val="000000"/>
          <w:sz w:val="20"/>
        </w:rPr>
        <w:t>Cost of sales for the first six months of 2026 was $508.5 million, or 23.8% of net revenues, compared to $429.8 million, or 23.0% of net revenues, for the first six months of 2025. The increase in Cost of sales was primarily the result of an increase in net revenues period over period, shift in product mix, as well as approximately $17.7 million of cost related to the impacts of tariffs, primarily as it relates to products imported into the United States to be sold domestically.</w:t>
      </w:r>
    </w:p>
    <w:p>
      <w:pPr>
        <w:pStyle w:val="TextBody"/>
        <w:bidi w:val="0"/>
        <w:spacing w:lineRule="auto" w:line="268" w:before="120" w:after="283"/>
        <w:jc w:val="left"/>
        <w:rPr/>
      </w:pPr>
      <w:r>
        <w:rPr>
          <w:rFonts w:ascii="Arial;sans-serif" w:hAnsi="Arial;sans-serif"/>
          <w:b/>
          <w:color w:val="000000"/>
          <w:sz w:val="20"/>
        </w:rPr>
        <w:t xml:space="preserve">Program cost amortization </w:t>
      </w:r>
      <w:r>
        <w:rPr>
          <w:color w:val="000000"/>
        </w:rPr>
        <w:t xml:space="preserve">– </w:t>
      </w:r>
      <w:r>
        <w:rPr>
          <w:rFonts w:ascii="Arial;sans-serif" w:hAnsi="Arial;sans-serif"/>
          <w:b w:val="false"/>
          <w:color w:val="000000"/>
          <w:sz w:val="20"/>
        </w:rPr>
        <w:t>Program cost amortization decreased to $7.1 million, or 0.3% of net revenues, for the first six months of 2026 from $13.6 million, or 0.7% of net revenues, for the first six months of 2025. Program costs are capitalized as incurred and amortized primarily using the individual-film-forecast method which matches costs to the related recognized revenue and is based upon the current slate of entertainment projects.</w:t>
      </w:r>
    </w:p>
    <w:p>
      <w:pPr>
        <w:pStyle w:val="TextBody"/>
        <w:bidi w:val="0"/>
        <w:spacing w:lineRule="auto" w:line="288" w:before="120" w:after="283"/>
        <w:jc w:val="left"/>
        <w:rPr/>
      </w:pPr>
      <w:r>
        <w:rPr>
          <w:rFonts w:ascii="Arial;sans-serif" w:hAnsi="Arial;sans-serif"/>
          <w:b/>
          <w:color w:val="000000"/>
          <w:sz w:val="20"/>
        </w:rPr>
        <w:t xml:space="preserve">Royalties </w:t>
      </w:r>
      <w:r>
        <w:rPr>
          <w:color w:val="000000"/>
        </w:rPr>
        <w:t xml:space="preserve">– </w:t>
      </w:r>
      <w:r>
        <w:rPr>
          <w:rFonts w:ascii="Arial;sans-serif" w:hAnsi="Arial;sans-serif"/>
          <w:b w:val="false"/>
          <w:color w:val="000000"/>
          <w:sz w:val="20"/>
        </w:rPr>
        <w:t xml:space="preserve">Royalties for the first six months of 2026 increased to $167.6 million, or 7.8% of net revenues, compared to $141.5 million, or 7.6% of net revenues, for the first six months of 2025. The increase in Royalties for the first six months of 2026 was directly driven by an increase in sales relating to </w:t>
      </w:r>
      <w:r>
        <w:rPr>
          <w:rFonts w:ascii="Arial;sans-serif" w:hAnsi="Arial;sans-serif"/>
          <w:b w:val="false"/>
          <w:i/>
          <w:color w:val="000000"/>
          <w:sz w:val="20"/>
        </w:rPr>
        <w:t>Magic: The Gathering</w:t>
      </w:r>
      <w:r>
        <w:rPr>
          <w:color w:val="000000"/>
        </w:rPr>
        <w:t xml:space="preserve"> </w:t>
      </w:r>
      <w:r>
        <w:rPr>
          <w:rFonts w:ascii="Arial;sans-serif" w:hAnsi="Arial;sans-serif"/>
          <w:b w:val="false"/>
          <w:color w:val="000000"/>
          <w:sz w:val="20"/>
        </w:rPr>
        <w:t xml:space="preserve">Universes Beyond sets, such as </w:t>
      </w:r>
      <w:r>
        <w:rPr>
          <w:rFonts w:ascii="Arial;sans-serif" w:hAnsi="Arial;sans-serif"/>
          <w:b w:val="false"/>
          <w:i/>
          <w:color w:val="000000"/>
          <w:sz w:val="20"/>
        </w:rPr>
        <w:t xml:space="preserve">Teenage Mutant Ninja Turtles </w:t>
      </w:r>
      <w:r>
        <w:rPr>
          <w:rFonts w:ascii="Arial;sans-serif" w:hAnsi="Arial;sans-serif"/>
          <w:b w:val="false"/>
          <w:color w:val="000000"/>
          <w:sz w:val="20"/>
        </w:rPr>
        <w:t xml:space="preserve">and </w:t>
      </w:r>
      <w:r>
        <w:rPr>
          <w:rFonts w:ascii="Arial;sans-serif" w:hAnsi="Arial;sans-serif"/>
          <w:b w:val="false"/>
          <w:i/>
          <w:color w:val="000000"/>
          <w:sz w:val="20"/>
        </w:rPr>
        <w:t>Marvel Super Heroes</w:t>
      </w:r>
      <w:r>
        <w:rPr>
          <w:rFonts w:ascii="Arial;sans-serif" w:hAnsi="Arial;sans-serif"/>
          <w:b w:val="false"/>
          <w:color w:val="000000"/>
          <w:sz w:val="20"/>
        </w:rPr>
        <w:t xml:space="preserve">, as well as increased toy and game sales on licensed brands such as </w:t>
      </w:r>
      <w:r>
        <w:rPr>
          <w:rFonts w:ascii="Arial;sans-serif" w:hAnsi="Arial;sans-serif"/>
          <w:b w:val="false"/>
          <w:i/>
          <w:color w:val="000000"/>
          <w:sz w:val="20"/>
        </w:rPr>
        <w:t>Marvel</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Star Wars</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color w:val="000000"/>
          <w:sz w:val="20"/>
        </w:rPr>
        <w:t xml:space="preserve">Product development </w:t>
      </w:r>
      <w:r>
        <w:rPr>
          <w:color w:val="000000"/>
        </w:rPr>
        <w:t xml:space="preserve">– </w:t>
      </w:r>
      <w:r>
        <w:rPr>
          <w:rFonts w:ascii="Arial;sans-serif" w:hAnsi="Arial;sans-serif"/>
          <w:b w:val="false"/>
          <w:color w:val="000000"/>
          <w:sz w:val="20"/>
        </w:rPr>
        <w:t xml:space="preserve">Product development expense for the first six months of 2026 was $171.6 million, or 8.0% of net revenues, compared to $158.0 million, or 8.5% of net revenues, for the first six months of 2025. The increase in Product development expense during the first six months of 2026 was primarily due to the Company's higher incremental investment in the developments of Grow Brands under the Company's </w:t>
      </w:r>
      <w:r>
        <w:rPr>
          <w:rFonts w:ascii="Arial;sans-serif" w:hAnsi="Arial;sans-serif"/>
          <w:b w:val="false"/>
          <w:i/>
          <w:color w:val="000000"/>
          <w:sz w:val="20"/>
        </w:rPr>
        <w:t>Playing to Win</w:t>
      </w:r>
      <w:r>
        <w:rPr>
          <w:color w:val="000000"/>
        </w:rPr>
        <w:t xml:space="preserve"> </w:t>
      </w:r>
      <w:r>
        <w:rPr>
          <w:rFonts w:ascii="Arial;sans-serif" w:hAnsi="Arial;sans-serif"/>
          <w:b w:val="false"/>
          <w:color w:val="000000"/>
          <w:sz w:val="20"/>
        </w:rPr>
        <w:t>strategy.</w:t>
      </w:r>
    </w:p>
    <w:p>
      <w:pPr>
        <w:pStyle w:val="TextBody"/>
        <w:bidi w:val="0"/>
        <w:spacing w:lineRule="auto" w:line="288" w:before="120" w:after="283"/>
        <w:jc w:val="left"/>
        <w:rPr/>
      </w:pPr>
      <w:r>
        <w:rPr>
          <w:rFonts w:ascii="Arial;sans-serif" w:hAnsi="Arial;sans-serif"/>
          <w:b/>
          <w:color w:val="000000"/>
          <w:sz w:val="20"/>
        </w:rPr>
        <w:t xml:space="preserve">Advertising </w:t>
      </w:r>
      <w:r>
        <w:rPr>
          <w:color w:val="000000"/>
        </w:rPr>
        <w:t xml:space="preserve">– </w:t>
      </w:r>
      <w:r>
        <w:rPr>
          <w:rFonts w:ascii="Arial;sans-serif" w:hAnsi="Arial;sans-serif"/>
          <w:b w:val="false"/>
          <w:color w:val="000000"/>
          <w:sz w:val="20"/>
        </w:rPr>
        <w:t>Advertising expense for the first six months of 2026 was $135.2 million, or 6.3% of net revenues, compared to $119.0 million, or 6.4% of net revenues, for the first six months of 2025. The Advertising expense increase during the first six months of 2026 was primarily driven by additional spend necessary to support top line growth opportunities within the Grow Brands category, specifically within the Wizards of the Coast and Digital Gaming segment.</w:t>
      </w:r>
    </w:p>
    <w:p>
      <w:pPr>
        <w:pStyle w:val="TextBody"/>
        <w:bidi w:val="0"/>
        <w:spacing w:lineRule="auto" w:line="288" w:before="120" w:after="283"/>
        <w:jc w:val="left"/>
        <w:rPr/>
      </w:pPr>
      <w:r>
        <w:rPr>
          <w:rFonts w:ascii="Arial;sans-serif" w:hAnsi="Arial;sans-serif"/>
          <w:b/>
          <w:color w:val="000000"/>
          <w:sz w:val="20"/>
        </w:rPr>
        <w:t xml:space="preserve">Amortization of intangibles </w:t>
      </w:r>
      <w:r>
        <w:rPr>
          <w:color w:val="000000"/>
        </w:rPr>
        <w:t xml:space="preserve">– </w:t>
      </w:r>
      <w:r>
        <w:rPr>
          <w:rFonts w:ascii="Arial;sans-serif" w:hAnsi="Arial;sans-serif"/>
          <w:b w:val="false"/>
          <w:color w:val="000000"/>
          <w:sz w:val="20"/>
        </w:rPr>
        <w:t xml:space="preserve">Amortization of intangible assets decreased to $29.2 million, or 1.4% of net revenues, for the first six months of 2026, as compared to $34.2 million, or 1.8% of net revenues, for the first six months of 2025. The amortization expense was driven by the straight-line amortization of the Company's definite-lived intangible assets. </w:t>
      </w:r>
    </w:p>
    <w:p>
      <w:pPr>
        <w:pStyle w:val="TextBody"/>
        <w:bidi w:val="0"/>
        <w:spacing w:lineRule="auto" w:line="288" w:before="120" w:after="283"/>
        <w:jc w:val="left"/>
        <w:rPr/>
      </w:pPr>
      <w:r>
        <w:rPr>
          <w:rFonts w:ascii="Arial;sans-serif" w:hAnsi="Arial;sans-serif"/>
          <w:b/>
          <w:color w:val="000000"/>
          <w:sz w:val="20"/>
        </w:rPr>
        <w:t xml:space="preserve">Impairment of goodwill </w:t>
      </w:r>
      <w:r>
        <w:rPr>
          <w:color w:val="000000"/>
        </w:rPr>
        <w:t xml:space="preserve">– </w:t>
      </w:r>
      <w:r>
        <w:rPr>
          <w:rFonts w:ascii="Arial;sans-serif" w:hAnsi="Arial;sans-serif"/>
          <w:b w:val="false"/>
          <w:color w:val="000000"/>
          <w:sz w:val="20"/>
        </w:rPr>
        <w:t>During the first six months of 2025, the Company recorded a $1,021.9 million non-cash goodwill impairment charge associated with goodwill assigned to reporting units within the Company's Consumer Products segment. There was no such impairment charge recorded during the first six months of 2026.</w:t>
      </w:r>
    </w:p>
    <w:p>
      <w:pPr>
        <w:pStyle w:val="TextBody"/>
        <w:bidi w:val="0"/>
        <w:spacing w:lineRule="auto" w:line="288" w:before="120" w:after="283"/>
        <w:jc w:val="left"/>
        <w:rPr/>
      </w:pPr>
      <w:r>
        <w:rPr>
          <w:rFonts w:ascii="Arial;sans-serif" w:hAnsi="Arial;sans-serif"/>
          <w:b/>
          <w:color w:val="000000"/>
          <w:sz w:val="20"/>
        </w:rPr>
        <w:t>Loss on disposal of business</w:t>
      </w:r>
      <w:r>
        <w:rPr>
          <w:color w:val="000000"/>
        </w:rPr>
        <w:t xml:space="preserve"> – </w:t>
      </w:r>
      <w:r>
        <w:rPr>
          <w:rFonts w:ascii="Arial;sans-serif" w:hAnsi="Arial;sans-serif"/>
          <w:b w:val="false"/>
          <w:color w:val="000000"/>
          <w:sz w:val="20"/>
        </w:rPr>
        <w:t>During the first six months of 2025, the Company recorded a $25.0 million loss on disposal of business associated with the divestiture of the Company's non-core film and TV business (the "eOne Film and TV business") within the Entertainment segment. No such charges were recorded during the first six months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color w:val="000000"/>
          <w:sz w:val="20"/>
        </w:rPr>
        <w:t xml:space="preserve">Selling, distribution and administration </w:t>
      </w:r>
      <w:r>
        <w:rPr>
          <w:color w:val="000000"/>
        </w:rPr>
        <w:t xml:space="preserve">– </w:t>
      </w:r>
      <w:r>
        <w:rPr>
          <w:rFonts w:ascii="Arial;sans-serif" w:hAnsi="Arial;sans-serif"/>
          <w:b w:val="false"/>
          <w:color w:val="000000"/>
          <w:sz w:val="20"/>
        </w:rPr>
        <w:t>Selling, distribution and administration expenses increased to $597.8 million, or 27.9% of net revenues for the first six months of 2026, from $552.4 million, or 29.6% of net revenues, for the first six months of 2025. The increase in Selling, distribution and administration expenses during the first six months of 2026 was primarily the result of a one-time $56.4 million non-cash impairment charge related to the Company's decision to refocus the Digital Games portfolio, which included the cancellation of certain titles scheduled for release in 2028 and beyond, as well as $10.8 million of incremental operating costs incurred as a result of the unauthorized network access, partially offset by benefits from cost savings initiatives that have occurred over the last 12 months.</w:t>
      </w:r>
    </w:p>
    <w:p>
      <w:pPr>
        <w:pStyle w:val="TextBody"/>
        <w:bidi w:val="0"/>
        <w:spacing w:lineRule="auto" w:line="288" w:before="120" w:after="283"/>
        <w:jc w:val="left"/>
        <w:rPr/>
      </w:pPr>
      <w:r>
        <w:rPr>
          <w:rFonts w:ascii="Arial;sans-serif" w:hAnsi="Arial;sans-serif"/>
          <w:b/>
          <w:color w:val="000000"/>
          <w:sz w:val="20"/>
        </w:rPr>
        <w:t xml:space="preserve">Operating profit (loss) </w:t>
      </w:r>
      <w:r>
        <w:rPr>
          <w:color w:val="000000"/>
        </w:rPr>
        <w:t xml:space="preserve">– </w:t>
      </w:r>
      <w:r>
        <w:rPr>
          <w:rFonts w:ascii="Arial;sans-serif" w:hAnsi="Arial;sans-serif"/>
          <w:b w:val="false"/>
          <w:color w:val="000000"/>
          <w:sz w:val="20"/>
        </w:rPr>
        <w:t>Operating profit for the first six months of 2026 was $522.8 million, or 24.4% of net revenues, compared to an operating loss of $627.5 million, or 33.6% of net revenues, for the first six months of 2025 driven by the factors discussed above.</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NON-OPERATING EXPENSE</w:t>
      </w:r>
    </w:p>
    <w:p>
      <w:pPr>
        <w:pStyle w:val="TextBody"/>
        <w:bidi w:val="0"/>
        <w:spacing w:lineRule="auto" w:line="288" w:before="120" w:after="283"/>
        <w:jc w:val="left"/>
        <w:rPr/>
      </w:pPr>
      <w:r>
        <w:rPr>
          <w:rFonts w:ascii="Arial;sans-serif" w:hAnsi="Arial;sans-serif"/>
          <w:b/>
          <w:color w:val="000000"/>
          <w:sz w:val="20"/>
        </w:rPr>
        <w:t xml:space="preserve">Interest expense </w:t>
      </w:r>
      <w:r>
        <w:rPr>
          <w:color w:val="000000"/>
        </w:rPr>
        <w:t xml:space="preserve">– </w:t>
      </w:r>
      <w:r>
        <w:rPr>
          <w:rFonts w:ascii="Arial;sans-serif" w:hAnsi="Arial;sans-serif"/>
          <w:b w:val="false"/>
          <w:color w:val="000000"/>
          <w:sz w:val="20"/>
        </w:rPr>
        <w:t>Interest expense for the first six months of 2026 totaled $88.3 million compared to $82.2 million in the first six months of 2025. Higher interest expense in 2026 is primarily the result of an increase in outstanding debt driven by issuance of the 2031 Notes, partially offset by debt repurchases of the Company's outstanding 2027, 2040, and 2044 Notes.</w:t>
      </w:r>
    </w:p>
    <w:p>
      <w:pPr>
        <w:pStyle w:val="TextBody"/>
        <w:bidi w:val="0"/>
        <w:spacing w:lineRule="auto" w:line="288" w:before="120" w:after="283"/>
        <w:jc w:val="left"/>
        <w:rPr/>
      </w:pPr>
      <w:r>
        <w:rPr>
          <w:rFonts w:ascii="Arial;sans-serif" w:hAnsi="Arial;sans-serif"/>
          <w:b/>
          <w:color w:val="000000"/>
          <w:sz w:val="20"/>
        </w:rPr>
        <w:t xml:space="preserve">Interest income </w:t>
      </w:r>
      <w:r>
        <w:rPr>
          <w:color w:val="000000"/>
        </w:rPr>
        <w:t xml:space="preserve">– </w:t>
      </w:r>
      <w:r>
        <w:rPr>
          <w:rFonts w:ascii="Arial;sans-serif" w:hAnsi="Arial;sans-serif"/>
          <w:b w:val="false"/>
          <w:color w:val="000000"/>
          <w:sz w:val="20"/>
        </w:rPr>
        <w:t>Interest income was $23.0 million for the first six months of 2026, compared to $14.3 million in the first six months of 2025. Higher Interest income in 2026 primarily reflects the Company's cash balance and investments in treasury securities, which were substantially higher in 2026 as compared to 2025.</w:t>
      </w:r>
    </w:p>
    <w:p>
      <w:pPr>
        <w:pStyle w:val="TextBody"/>
        <w:bidi w:val="0"/>
        <w:spacing w:lineRule="auto" w:line="288" w:before="120" w:after="283"/>
        <w:jc w:val="left"/>
        <w:rPr/>
      </w:pPr>
      <w:r>
        <w:rPr>
          <w:rFonts w:ascii="Arial;sans-serif" w:hAnsi="Arial;sans-serif"/>
          <w:b/>
          <w:color w:val="000000"/>
          <w:sz w:val="20"/>
        </w:rPr>
        <w:t xml:space="preserve">Other expense (income), net </w:t>
      </w:r>
      <w:r>
        <w:rPr>
          <w:color w:val="000000"/>
        </w:rPr>
        <w:t xml:space="preserve">– </w:t>
      </w:r>
      <w:r>
        <w:rPr>
          <w:rFonts w:ascii="Arial;sans-serif" w:hAnsi="Arial;sans-serif"/>
          <w:b w:val="false"/>
          <w:color w:val="000000"/>
          <w:sz w:val="20"/>
        </w:rPr>
        <w:t>Other expense (income), net resulted in expense of $4.7 million for the first six months of 2026, compared to income of $17.3 million in the first six months of 2025. The change in Other expense (income), net during 2026 was driven primarily by variations in the movement of foreign currencies in the first six months of 2026 when compared to the first six months of 2025.</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Income tax expense totaled $92.0 million on a pre-tax income of $452.8 million in the first six months of 2026 compared to an income tax expense of $77.1 million on pre-tax loss of $678.1 million in the first six months of 2025. Both periods were impacted by discrete tax events. </w:t>
      </w:r>
    </w:p>
    <w:p>
      <w:pPr>
        <w:pStyle w:val="TextBody"/>
        <w:bidi w:val="0"/>
        <w:spacing w:lineRule="auto" w:line="288" w:before="120" w:after="283"/>
        <w:jc w:val="left"/>
        <w:rPr/>
      </w:pPr>
      <w:r>
        <w:rPr>
          <w:rFonts w:ascii="Arial;sans-serif" w:hAnsi="Arial;sans-serif"/>
          <w:b w:val="false"/>
          <w:color w:val="000000"/>
          <w:sz w:val="20"/>
        </w:rPr>
        <w:t>During the first six months of 2026, the Company recorded a net discrete tax benefit of $9.8 million</w:t>
      </w:r>
      <w:r>
        <w:rPr>
          <w:color w:val="000000"/>
        </w:rPr>
        <w:t xml:space="preserve"> </w:t>
      </w:r>
      <w:r>
        <w:rPr>
          <w:rFonts w:ascii="Arial;sans-serif" w:hAnsi="Arial;sans-serif"/>
          <w:b w:val="false"/>
          <w:color w:val="000000"/>
          <w:sz w:val="20"/>
        </w:rPr>
        <w:t xml:space="preserve">primarily associated with share-based compensation. During the first six months of 2025, the Company recorded a non-cash goodwill impairment within the Consumer Products segment of $1,021.9 million and an unfavorable adjustment to the Loss on disposal of the eOne Film and TV business of $25.0 million. Neither adjustment had a corresponding tax benefit. The Company also recorded a net discrete tax benefit of $6.2 million, primarily associated with the release of a valuation allowance.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Absent discrete items, the tax rates for the first six months of 2026 and 2025 were 22.5% and 22.6%, respectively. The decrease in the base rate for the first six months of 2026 relative to the first six months of 2025 is primarily due to the mix of jurisdictions where the Company earned its profits.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SEGMENT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external revenues and operating profit (loss) for the Company's reportable segments for the six months ended June 28, 2026 and June 29, 2025:</w:t>
      </w:r>
    </w:p>
    <w:tbl>
      <w:tblPr>
        <w:tblW w:w="7312" w:type="dxa"/>
        <w:jc w:val="left"/>
        <w:tblInd w:w="0" w:type="dxa"/>
        <w:tblLayout w:type="fixed"/>
        <w:tblCellMar>
          <w:top w:w="28" w:type="dxa"/>
          <w:left w:w="28" w:type="dxa"/>
          <w:bottom w:w="28" w:type="dxa"/>
          <w:right w:w="28" w:type="dxa"/>
        </w:tblCellMar>
      </w:tblPr>
      <w:tblGrid>
        <w:gridCol w:w="1239"/>
        <w:gridCol w:w="1089"/>
        <w:gridCol w:w="1092"/>
        <w:gridCol w:w="211"/>
        <w:gridCol w:w="766"/>
        <w:gridCol w:w="109"/>
        <w:gridCol w:w="109"/>
        <w:gridCol w:w="109"/>
        <w:gridCol w:w="109"/>
        <w:gridCol w:w="211"/>
        <w:gridCol w:w="766"/>
        <w:gridCol w:w="109"/>
        <w:gridCol w:w="109"/>
        <w:gridCol w:w="109"/>
        <w:gridCol w:w="109"/>
        <w:gridCol w:w="291"/>
        <w:gridCol w:w="294"/>
        <w:gridCol w:w="48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Net 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Operating profit (loss):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Entertainment</w:t>
            </w:r>
            <w:r>
              <w:rPr>
                <w:rFonts w:ascii="Arial;sans-serif" w:hAnsi="Arial;sans-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Operating profit (loss)</w:t>
            </w:r>
            <w:r>
              <w:rPr>
                <w:rFonts w:ascii="Arial;sans-serif" w:hAnsi="Arial;sans-serif"/>
                <w:b w:val="false"/>
                <w:color w:val="000000"/>
                <w:sz w:val="12"/>
              </w:rPr>
              <w:t>(1)</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bidi w:val="0"/>
        <w:spacing w:lineRule="auto" w:line="288" w:before="120" w:after="283"/>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 Change is not meaningful ("NM") for these segments</w:t>
      </w:r>
    </w:p>
    <w:p>
      <w:pPr>
        <w:pStyle w:val="TextBody"/>
        <w:bidi w:val="0"/>
        <w:spacing w:lineRule="auto" w:line="288" w:before="120" w:after="283"/>
        <w:ind w:left="0" w:right="0" w:hanging="180"/>
        <w:jc w:val="left"/>
        <w:rPr>
          <w:rFonts w:ascii="Arial;sans-serif" w:hAnsi="Arial;sans-serif"/>
          <w:b w:val="false"/>
          <w:i/>
          <w:color w:val="000000"/>
          <w:sz w:val="20"/>
          <w:u w:val="single"/>
        </w:rPr>
      </w:pPr>
      <w:r>
        <w:rPr>
          <w:rFonts w:ascii="Arial;sans-serif" w:hAnsi="Arial;sans-serif"/>
          <w:b w:val="false"/>
          <w:i/>
          <w:color w:val="000000"/>
          <w:sz w:val="20"/>
          <w:u w:val="single"/>
        </w:rPr>
        <w:t>Wizards of the Coast and Digital Gaming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Wizards of the Coast and Digital Gaming segment net revenues by category:</w:t>
      </w:r>
    </w:p>
    <w:tbl>
      <w:tblPr>
        <w:tblW w:w="6157" w:type="dxa"/>
        <w:jc w:val="left"/>
        <w:tblInd w:w="0" w:type="dxa"/>
        <w:tblLayout w:type="fixed"/>
        <w:tblCellMar>
          <w:top w:w="28" w:type="dxa"/>
          <w:left w:w="28" w:type="dxa"/>
          <w:bottom w:w="28" w:type="dxa"/>
          <w:right w:w="28" w:type="dxa"/>
        </w:tblCellMar>
      </w:tblPr>
      <w:tblGrid>
        <w:gridCol w:w="900"/>
        <w:gridCol w:w="793"/>
        <w:gridCol w:w="796"/>
        <w:gridCol w:w="211"/>
        <w:gridCol w:w="766"/>
        <w:gridCol w:w="109"/>
        <w:gridCol w:w="109"/>
        <w:gridCol w:w="109"/>
        <w:gridCol w:w="109"/>
        <w:gridCol w:w="211"/>
        <w:gridCol w:w="616"/>
        <w:gridCol w:w="109"/>
        <w:gridCol w:w="109"/>
        <w:gridCol w:w="109"/>
        <w:gridCol w:w="109"/>
        <w:gridCol w:w="255"/>
        <w:gridCol w:w="256"/>
        <w:gridCol w:w="481"/>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Tabletop Gaming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and Licensed Gaming</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pPr>
      <w:r>
        <w:rPr>
          <w:rFonts w:ascii="Arial;sans-serif" w:hAnsi="Arial;sans-serif"/>
          <w:b w:val="false"/>
          <w:color w:val="000000"/>
          <w:sz w:val="20"/>
        </w:rPr>
        <w:t xml:space="preserve">Wizards of the Coast and Digital Gaming segment net revenues increased 26.5% in the first six months of 2026 to $1,245.8 million from $984.5 million in the first six months of 2025. Tabletop Gaming revenue increased 31.8% behind growth in </w:t>
      </w:r>
      <w:r>
        <w:rPr>
          <w:rFonts w:ascii="Arial;sans-serif" w:hAnsi="Arial;sans-serif"/>
          <w:b w:val="false"/>
          <w:i/>
          <w:color w:val="000000"/>
          <w:sz w:val="20"/>
        </w:rPr>
        <w:t>Magic: The Gathering</w:t>
      </w:r>
      <w:r>
        <w:rPr>
          <w:rFonts w:ascii="Arial;sans-serif" w:hAnsi="Arial;sans-serif"/>
          <w:b w:val="false"/>
          <w:color w:val="000000"/>
          <w:sz w:val="20"/>
        </w:rPr>
        <w:t>, primarily due to strong demand for</w:t>
      </w:r>
      <w:r>
        <w:rPr>
          <w:color w:val="000000"/>
        </w:rPr>
        <w:t xml:space="preserve"> </w:t>
      </w:r>
      <w:r>
        <w:rPr>
          <w:rFonts w:ascii="Arial;sans-serif" w:hAnsi="Arial;sans-serif"/>
          <w:b w:val="false"/>
          <w:i/>
          <w:color w:val="000000"/>
          <w:sz w:val="20"/>
        </w:rPr>
        <w:t xml:space="preserve">Lorwyn Eclipsed </w:t>
      </w:r>
      <w:r>
        <w:rPr>
          <w:rFonts w:ascii="Arial;sans-serif" w:hAnsi="Arial;sans-serif"/>
          <w:b w:val="false"/>
          <w:color w:val="000000"/>
          <w:sz w:val="20"/>
        </w:rPr>
        <w:t xml:space="preserve">and </w:t>
      </w:r>
      <w:r>
        <w:rPr>
          <w:rFonts w:ascii="Arial;sans-serif" w:hAnsi="Arial;sans-serif"/>
          <w:b w:val="false"/>
          <w:i/>
          <w:color w:val="000000"/>
          <w:sz w:val="20"/>
        </w:rPr>
        <w:t>Secrets of Strixhaven</w:t>
      </w:r>
      <w:r>
        <w:rPr>
          <w:rFonts w:ascii="Arial;sans-serif" w:hAnsi="Arial;sans-serif"/>
          <w:b w:val="false"/>
          <w:color w:val="000000"/>
          <w:sz w:val="20"/>
        </w:rPr>
        <w:t xml:space="preserve">, as well as Universes Beyond sets such as </w:t>
      </w:r>
      <w:r>
        <w:rPr>
          <w:rFonts w:ascii="Arial;sans-serif" w:hAnsi="Arial;sans-serif"/>
          <w:b w:val="false"/>
          <w:i/>
          <w:color w:val="000000"/>
          <w:sz w:val="20"/>
        </w:rPr>
        <w:t xml:space="preserve">Teenage Mutant Ninja Turtles </w:t>
      </w:r>
      <w:r>
        <w:rPr>
          <w:rFonts w:ascii="Arial;sans-serif" w:hAnsi="Arial;sans-serif"/>
          <w:b w:val="false"/>
          <w:color w:val="000000"/>
          <w:sz w:val="20"/>
        </w:rPr>
        <w:t xml:space="preserve">and </w:t>
      </w:r>
      <w:r>
        <w:rPr>
          <w:rFonts w:ascii="Arial;sans-serif" w:hAnsi="Arial;sans-serif"/>
          <w:b w:val="false"/>
          <w:i/>
          <w:color w:val="000000"/>
          <w:sz w:val="20"/>
        </w:rPr>
        <w:t>Marvel Super Heroes</w:t>
      </w:r>
      <w:r>
        <w:rPr>
          <w:rFonts w:ascii="Arial;sans-serif" w:hAnsi="Arial;sans-serif"/>
          <w:b w:val="false"/>
          <w:color w:val="000000"/>
          <w:sz w:val="20"/>
        </w:rPr>
        <w:t xml:space="preserve">. This growth was accompanied by an increase in digital licensing revenue related to </w:t>
      </w:r>
      <w:r>
        <w:rPr>
          <w:rFonts w:ascii="Arial;sans-serif" w:hAnsi="Arial;sans-serif"/>
          <w:b w:val="false"/>
          <w:i/>
          <w:color w:val="000000"/>
          <w:sz w:val="20"/>
        </w:rPr>
        <w:t xml:space="preserve">Monopoly Go!, </w:t>
      </w:r>
      <w:r>
        <w:rPr>
          <w:rFonts w:ascii="Arial;sans-serif" w:hAnsi="Arial;sans-serif"/>
          <w:b w:val="false"/>
          <w:color w:val="000000"/>
          <w:sz w:val="20"/>
        </w:rPr>
        <w:t>which contributed $85.7 million of revenue during the year.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Wizards of the Coast and Digital Gaming segment operating profit was $567.7 million, or 45.6% of segment net revenues for the first six months of 2026, compared to operating profit of $471.8 million, or 47.9% of segment net revenues, for the first six months of 2025. The operating profit increase during the first six months of 2026 was primarily driven by increased net revenues, as discussed above. Operating margin decreased during the first six months of 2026, primarily driven by a one-time $56.4 million non-cash impairment charge related to the Company's decision to refocus the Digital Games portfolio, which included the cancellation of certain titles scheduled for release in 2028 and beyond.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Consumer Products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Consumer Products segment net revenues by major geographic region:</w:t>
      </w:r>
    </w:p>
    <w:tbl>
      <w:tblPr>
        <w:tblW w:w="4777" w:type="dxa"/>
        <w:jc w:val="left"/>
        <w:tblInd w:w="0" w:type="dxa"/>
        <w:tblLayout w:type="fixed"/>
        <w:tblCellMar>
          <w:top w:w="28" w:type="dxa"/>
          <w:left w:w="28" w:type="dxa"/>
          <w:bottom w:w="28" w:type="dxa"/>
          <w:right w:w="28" w:type="dxa"/>
        </w:tblCellMar>
      </w:tblPr>
      <w:tblGrid>
        <w:gridCol w:w="467"/>
        <w:gridCol w:w="410"/>
        <w:gridCol w:w="413"/>
        <w:gridCol w:w="211"/>
        <w:gridCol w:w="616"/>
        <w:gridCol w:w="109"/>
        <w:gridCol w:w="109"/>
        <w:gridCol w:w="109"/>
        <w:gridCol w:w="109"/>
        <w:gridCol w:w="211"/>
        <w:gridCol w:w="616"/>
        <w:gridCol w:w="109"/>
        <w:gridCol w:w="109"/>
        <w:gridCol w:w="109"/>
        <w:gridCol w:w="109"/>
        <w:gridCol w:w="239"/>
        <w:gridCol w:w="241"/>
        <w:gridCol w:w="48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68" w:before="120" w:after="283"/>
        <w:jc w:val="left"/>
        <w:rPr/>
      </w:pPr>
      <w:r>
        <w:rPr>
          <w:rFonts w:ascii="Arial;sans-serif" w:hAnsi="Arial;sans-serif"/>
          <w:b w:val="false"/>
          <w:color w:val="000000"/>
          <w:sz w:val="20"/>
        </w:rPr>
        <w:t xml:space="preserve">The Consumer Products segment net revenues increased 2.4% to $860.9 million for the first six months of 2026 compared to $840.7 million for the first six months of 2025 primarily driven by broader industry trends and timing of retail orders. The net revenue increase primarily reflects higher toy and game revenues, particularly for certain Grow Brands such as </w:t>
      </w:r>
      <w:r>
        <w:rPr>
          <w:rFonts w:ascii="Arial;sans-serif" w:hAnsi="Arial;sans-serif"/>
          <w:b w:val="false"/>
          <w:i/>
          <w:color w:val="000000"/>
          <w:sz w:val="20"/>
        </w:rPr>
        <w:t>Marvel</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Star Wars</w:t>
      </w:r>
      <w:r>
        <w:rPr>
          <w:rFonts w:ascii="Arial;sans-serif" w:hAnsi="Arial;sans-serif"/>
          <w:b w:val="false"/>
          <w:color w:val="000000"/>
          <w:sz w:val="20"/>
        </w:rPr>
        <w:t xml:space="preserve">, which were positively impacted by a rise in demand in advance of major theatrical releases throughout 2026 with no comparable releases in the prior year. The increase in toy and game revenues was partially offset by a decrease in licensing revenues, primarily attributable to the lapping of licensing revenue related to </w:t>
      </w:r>
      <w:r>
        <w:rPr>
          <w:rFonts w:ascii="Arial;sans-serif" w:hAnsi="Arial;sans-serif"/>
          <w:b w:val="false"/>
          <w:i/>
          <w:color w:val="000000"/>
          <w:sz w:val="20"/>
        </w:rPr>
        <w:t>My Little Pony</w:t>
      </w:r>
      <w:r>
        <w:rPr>
          <w:rFonts w:ascii="Arial;sans-serif" w:hAnsi="Arial;sans-serif"/>
          <w:b w:val="false"/>
          <w:color w:val="000000"/>
          <w:sz w:val="20"/>
        </w:rPr>
        <w:t>, which decreased $10.8 million.</w:t>
      </w:r>
    </w:p>
    <w:p>
      <w:pPr>
        <w:pStyle w:val="TextBody"/>
        <w:bidi w:val="0"/>
        <w:spacing w:lineRule="auto" w:line="288" w:before="120" w:after="283"/>
        <w:jc w:val="left"/>
        <w:rPr/>
      </w:pPr>
      <w:r>
        <w:rPr>
          <w:rFonts w:ascii="Arial;sans-serif" w:hAnsi="Arial;sans-serif"/>
          <w:b w:val="false"/>
          <w:color w:val="000000"/>
          <w:sz w:val="20"/>
        </w:rPr>
        <w:t>Consumer Products segment operating loss for the first six months of 2026 was $62.0 million, or 7.2% of segment net revenues, compared to a segment operating loss of $1,073.5 million, or 127.7% of segment net revenues, for the first six months of 2025. The change in operating loss in the first six months of 2026 was primarily driven by the non-cash goodwill impairment charge of $1,021.9 million</w:t>
      </w:r>
      <w:r>
        <w:rPr>
          <w:color w:val="000000"/>
        </w:rPr>
        <w:t xml:space="preserve"> </w:t>
      </w:r>
      <w:r>
        <w:rPr>
          <w:rFonts w:ascii="Arial;sans-serif" w:hAnsi="Arial;sans-serif"/>
          <w:b w:val="false"/>
          <w:color w:val="000000"/>
          <w:sz w:val="20"/>
        </w:rPr>
        <w:t>recorded during 2025, offset by tariff costs in 2026 of approximately $14.5 million.</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Entertainment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Entertainment segment net revenues by category:</w:t>
      </w:r>
    </w:p>
    <w:tbl>
      <w:tblPr>
        <w:tblW w:w="4703" w:type="dxa"/>
        <w:jc w:val="left"/>
        <w:tblInd w:w="0" w:type="dxa"/>
        <w:tblLayout w:type="fixed"/>
        <w:tblCellMar>
          <w:top w:w="28" w:type="dxa"/>
          <w:left w:w="28" w:type="dxa"/>
          <w:bottom w:w="28" w:type="dxa"/>
          <w:right w:w="28" w:type="dxa"/>
        </w:tblCellMar>
      </w:tblPr>
      <w:tblGrid>
        <w:gridCol w:w="466"/>
        <w:gridCol w:w="411"/>
        <w:gridCol w:w="413"/>
        <w:gridCol w:w="211"/>
        <w:gridCol w:w="511"/>
        <w:gridCol w:w="109"/>
        <w:gridCol w:w="109"/>
        <w:gridCol w:w="109"/>
        <w:gridCol w:w="109"/>
        <w:gridCol w:w="211"/>
        <w:gridCol w:w="541"/>
        <w:gridCol w:w="109"/>
        <w:gridCol w:w="109"/>
        <w:gridCol w:w="109"/>
        <w:gridCol w:w="109"/>
        <w:gridCol w:w="293"/>
        <w:gridCol w:w="293"/>
        <w:gridCol w:w="481"/>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Family Brands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 and TV</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Entertainment segment net revenues decreased 22.5% to $33.1 million for the first six months of 2026, compared to $42.7 million for the first six months of 2025. The net revenue decrease in the Entertainment segment during the first six months of 2025 was driven primarily by timing of entertainment streaming renewals and other content deals.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Entertainment segment operating profit was $22.9 million, or 69.2% of segment net revenues, for the first six months of 2026, compared to an operating loss of $4.9 million, or 11.5% of segment net revenues, for the first six months of 2025. The increase in operating profit in the Entertainment segment during the first six months of 2026 was driven by the non-recurring $25.0 million Loss on disposal of business that was recorded in 2025.</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Corporate and Other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Corporate and Other operating loss was $5.8 million for the first six months of 2026 compared to an operating loss of $20.9 million for the first six months of 2025. The operating loss in the first six months of 2026 was lower when compared to the operating loss in the first six months of 2025 as a result of benefits from cost saving initiatives that have occurred over the last 12 months, partially offset by incremental costs incurred related to the unauthorized network access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OTHER INFORMATION</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Commitments and Contingencies</w:t>
      </w:r>
    </w:p>
    <w:p>
      <w:pPr>
        <w:pStyle w:val="TextBody"/>
        <w:bidi w:val="0"/>
        <w:spacing w:lineRule="auto" w:line="288" w:before="120" w:after="283"/>
        <w:jc w:val="left"/>
        <w:rPr/>
      </w:pPr>
      <w:r>
        <w:rPr>
          <w:rFonts w:ascii="Arial;sans-serif" w:hAnsi="Arial;sans-serif"/>
          <w:b w:val="false"/>
          <w:color w:val="000000"/>
          <w:sz w:val="20"/>
          <w:shd w:fill="FFFFFF" w:val="clear"/>
        </w:rPr>
        <w:t xml:space="preserve">Refer to Item 7 of our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Form 10-K for additional information regarding the Company’s cash obligations and commitments as of the end of fiscal year </w:t>
      </w:r>
      <w:r>
        <w:rPr>
          <w:rFonts w:ascii="Arial;sans-serif" w:hAnsi="Arial;sans-serif"/>
          <w:b w:val="false"/>
          <w:color w:val="000000"/>
          <w:sz w:val="20"/>
        </w:rPr>
        <w:t>2025</w:t>
      </w:r>
      <w:r>
        <w:rPr>
          <w:rFonts w:ascii="Arial;sans-serif" w:hAnsi="Arial;sans-serif"/>
          <w:b w:val="false"/>
          <w:color w:val="000000"/>
          <w:sz w:val="20"/>
          <w:shd w:fill="FFFFFF" w:val="clear"/>
        </w:rPr>
        <w:t xml:space="preserve">. Additionally, refer to Note 16, Commitments and Contingencies, to </w:t>
      </w:r>
      <w:r>
        <w:rPr>
          <w:rFonts w:ascii="Arial;sans-serif" w:hAnsi="Arial;sans-serif"/>
          <w:b w:val="false"/>
          <w:color w:val="000000"/>
          <w:sz w:val="20"/>
        </w:rPr>
        <w:t>the consolidated financial statements</w:t>
      </w:r>
      <w:r>
        <w:rPr>
          <w:color w:val="000000"/>
          <w:shd w:fill="FFFFFF" w:val="clear"/>
        </w:rPr>
        <w:t xml:space="preserve"> </w:t>
      </w:r>
      <w:r>
        <w:rPr>
          <w:rFonts w:ascii="Arial;sans-serif" w:hAnsi="Arial;sans-serif"/>
          <w:b w:val="false"/>
          <w:color w:val="000000"/>
          <w:sz w:val="20"/>
          <w:shd w:fill="FFFFFF" w:val="clear"/>
        </w:rPr>
        <w:t>for a discussion of the Company’s commitments and contingencies. C</w:t>
      </w:r>
      <w:r>
        <w:rPr>
          <w:rFonts w:ascii="Arial;sans-serif" w:hAnsi="Arial;sans-serif"/>
          <w:b w:val="false"/>
          <w:color w:val="000000"/>
          <w:sz w:val="20"/>
        </w:rPr>
        <w:t>ontractual obligations and commercial commitments, as detailed in the Company's 2025 Form 10-K, did not materially change outside of certain payments made in the normal course of business and as otherwise set forth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LIQUIDITY AND CAPITAL RESOURCES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has historically generated a significant amount of cash from operations. The Company primarily funds its operations and liquidity needs through cash on hand and from cash flows from operations, and when needed, borrowings under its commercial paper program and available lines of credit.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believes that the funds available to it, including cash expected to be generated from operations, funds available through its commercial paper program or its available lines of credit, are adequate to meet its working capital needs for the next twelve months. The Company may also issue debt or equity securities from time to time to provide additional sources of liquidity when pursuing opportunities to enhance our long-term competitive position, while maintaining a strong balance sheet. </w:t>
      </w:r>
    </w:p>
    <w:p>
      <w:pPr>
        <w:pStyle w:val="TextBody"/>
        <w:bidi w:val="0"/>
        <w:spacing w:lineRule="auto" w:line="288" w:before="120" w:after="283"/>
        <w:jc w:val="left"/>
        <w:rPr/>
      </w:pPr>
      <w:r>
        <w:rPr>
          <w:rFonts w:ascii="Arial;sans-serif" w:hAnsi="Arial;sans-serif"/>
          <w:b w:val="false"/>
          <w:color w:val="000000"/>
          <w:sz w:val="20"/>
        </w:rPr>
        <w:t>The impact of tariffs recognized by the Company in Cost of sales was approximately $17.7 million</w:t>
      </w:r>
      <w:r>
        <w:rPr>
          <w:color w:val="000000"/>
        </w:rPr>
        <w:t xml:space="preserve"> </w:t>
      </w:r>
      <w:r>
        <w:rPr>
          <w:rFonts w:ascii="Arial;sans-serif" w:hAnsi="Arial;sans-serif"/>
          <w:b w:val="false"/>
          <w:color w:val="000000"/>
          <w:sz w:val="20"/>
        </w:rPr>
        <w:t>during the first six months</w:t>
      </w:r>
      <w:r>
        <w:rPr>
          <w:color w:val="000000"/>
        </w:rPr>
        <w:t xml:space="preserve"> </w:t>
      </w:r>
      <w:r>
        <w:rPr>
          <w:rFonts w:ascii="Arial;sans-serif" w:hAnsi="Arial;sans-serif"/>
          <w:b w:val="false"/>
          <w:color w:val="000000"/>
          <w:sz w:val="20"/>
        </w:rPr>
        <w:t>of 2026. Significant changes in trade policy announced by the U.S. government could adversely impact our forward-looking financial results, including the timing and extent of cash flows based upon timing in customer buying patterns and changes in our supply chain sourcing strategies. As of June 28, 2026, no application related to refunds of amounts paid to date had been submitted to the CBP. In the third quarter of 2026, we made our first application to the CBP seeking a refund for a majority of the IEEPA tariffs we paid, and we plan to submit additional applications later this year when we are permitted. The ultimate timing and amounts received is uncertain and subject to processing by the CBP. These amounts could impact our results in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28, 2026, the Company's cash and cash equivalents totaled $880.5 million and the Company's Short-term investments totaled $497.7 million. The majority of the Company’s cash and cash equivalents held outside of the United States as of June 28, 2026 are denominated in the U.S. dollar.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Under the Company’s commercial paper program, at the request of the Company and subject to market conditions, the Company may issue notes from time to time up to an aggregate principal amount outstanding at any given time of $1.0 billion. The Company intends to use the commercial paper program as its primary short-term borrowing facility. As of June 28, 2026, the Company had no outstanding borrowings related to the commercial paper program.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February 20, 2026, the Company entered into a Fourth Amended and Restated Revolving Credit Agreement which amended and restated the third amended and restated revolving credit agreement to extend the maturity date through February 20, 2031 and reduce the aggregate principal amount to $1.1 billion. The revolving credit facility also provides for a potential additional incremental commitment increase of up to $550.0 million subject to agreement of the lenders. The Company's revolving credit facility contains certain financial covenants setting forth leverage and coverage requirements, and certain other limitations typical of an investment grade facility, including with respect to liens, mergers and incurrence of indebtedness. The Company was in compliance with all covenants as of June 28, 2026. The Company had no borrowings outstanding under its revolving credit facility as of June 28, 2026. However, letters of credit outstanding under this facility as of June 28, 2026 were approximately $3.3 million. Amounts available and unused under the revolving credit facility at June 28, 2026 were approximately $1.1 billion, inclusive of borrowings under the Company’s commercial paper program. The Company also has other uncommitted lines from various banks, of which approximately $7.4 million was utilized as of June 28, 2026. Of the amount utilized under, or supported by, the uncommitted lines, the full $7.4 million represented letters of credit.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28, 2026, the Company had $3.6 billion of long-term debt due at varying times from 2026 through 2044. Of the total principal amount of long-term debt, $497.0 million is current as of June 28, 2026 which represents the Company's 3.55% fixed-rate notes due November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March 2026, the Company issued an aggregate of $400.0 million in senior unsecured debt securities that bear a fixed interest rate of 4.65% due 2031 (the "2031 Notes"). The 2031 Notes were issued with an original issuance discount of $0.6 million and the Company capitalized $3.7 million of debt issuance costs. The original issuance discount and debt issuance costs will be amortized over the term of the 2031 Notes. As of June 28, 2026,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Company has invested the proceeds from the 2031 Notes into Short-term investments that is expected to be utilized to repay the 2026 Notes, while simultaneously using any excess funds to repurchase longer-dated outstanding debt.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time to time, the Company or its affiliates may seek to retire or purchase outstanding debt through cash purchases, in open-market purchases, privately negotiated transactions or otherwise. Such repurchases, if any, will be upon such terms and at such prices as we may determine, and will depend on prevailing market conditions, our liquidity requirements, contractual restrictions and other factors. During 2026, the Company has repurchased $125.0 million of outstanding debt.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w:t>
      </w:r>
    </w:p>
    <w:p>
      <w:pPr>
        <w:pStyle w:val="TextBody"/>
        <w:bidi w:val="0"/>
        <w:spacing w:lineRule="auto" w:line="288" w:before="120" w:after="283"/>
        <w:jc w:val="left"/>
        <w:rPr/>
      </w:pPr>
      <w:r>
        <w:rPr>
          <w:rFonts w:ascii="Arial;sans-serif" w:hAnsi="Arial;sans-serif"/>
          <w:b w:val="false"/>
          <w:color w:val="000000"/>
          <w:sz w:val="20"/>
        </w:rPr>
        <w:t xml:space="preserve">The amount of obligations confirmed under the supplier finance program that remain unpaid by the Company were $56.5 million, $67.8 million, and $45.7 million </w:t>
      </w:r>
      <w:r>
        <w:rPr>
          <w:rFonts w:ascii="Arial;sans-serif" w:hAnsi="Arial;sans-serif"/>
          <w:b w:val="false"/>
          <w:color w:val="000000"/>
          <w:sz w:val="20"/>
          <w:shd w:fill="FFFFFF" w:val="clear"/>
        </w:rPr>
        <w:t xml:space="preserve">as of </w:t>
      </w:r>
      <w:r>
        <w:rPr>
          <w:rFonts w:ascii="Arial;sans-serif" w:hAnsi="Arial;sans-serif"/>
          <w:b w:val="false"/>
          <w:color w:val="000000"/>
          <w:sz w:val="20"/>
        </w:rPr>
        <w:t>June 28, 2026, June 29, 2025 and December 28, 2025, respectively. These obligations are presented within Accounts payable in the Company's Consolidated Balance Sheets. The activity related to this program is reflected within the operating activities section of the Consolidated Statements of Cash Flows.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Cash Flow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changes in the Consolidated Statements of Cash Flows:</w:t>
      </w:r>
    </w:p>
    <w:tbl>
      <w:tblPr>
        <w:tblW w:w="5033" w:type="dxa"/>
        <w:jc w:val="left"/>
        <w:tblInd w:w="0" w:type="dxa"/>
        <w:tblLayout w:type="fixed"/>
        <w:tblCellMar>
          <w:top w:w="28" w:type="dxa"/>
          <w:left w:w="28" w:type="dxa"/>
          <w:bottom w:w="28" w:type="dxa"/>
          <w:right w:w="28" w:type="dxa"/>
        </w:tblCellMar>
      </w:tblPr>
      <w:tblGrid>
        <w:gridCol w:w="954"/>
        <w:gridCol w:w="841"/>
        <w:gridCol w:w="844"/>
        <w:gridCol w:w="211"/>
        <w:gridCol w:w="691"/>
        <w:gridCol w:w="109"/>
        <w:gridCol w:w="109"/>
        <w:gridCol w:w="109"/>
        <w:gridCol w:w="109"/>
        <w:gridCol w:w="211"/>
        <w:gridCol w:w="691"/>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(utilized) by:</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 in the first six months of 2026 was $604.4 million compared to $209.4 million in the first six months of 2025. The $395.0 million increase in net cash provided by Operating activities after adjusting for non-cash items, was primarily attributable to improved operating results, as well as changes in net working capital, specifically the collection of Accounts receivable, which was a direct result of sales growth in 2025, as well as a non-recurring $57.4 million repatriation tax payment that occurred in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utilized by Investing activities was $524.6 million in the first six months of 2026 compared to $89.2 million in the first six months of 2025. Additions to property, plant and equipment and software was $41.2 million and $54.0 million in the first six months of 2026, respectively, compared to $29.9 million and $61.8 million in the first six months of 2025, respectively. Additionally, purchases of Short-term investments of $423.0 million, which represent prefunding of future debt maturities with U.S. Treasury securities, occurred in the first six months of 2026, compared to net purchases of Short-term Investments of $10.0 million in the first six months of 2025. The level of purchases during 2026 was impacted by the intent to utilize the investments, together with available cash, to repay indebtedness of the Company that is due in November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Net cash provided by Financing activities was $23.5 million in the first six months of 2026 compared to net cash utilized by Financing activities of $274.6 million in the first six months of 2025. The primary source of cash inflows during first six months of 2026 was $399.4 million of proceeds from the issuance of the 2031 Notes, offset by dividends paid of $197.6 million, repayments of long-term debt of $123.3 million, and $44.7 million of payments related to tax withholdings for share compensation coinciding with equity award vesting activity. Share repurchases during the first six months of 2026 include $41.5 million or 474,667 shares of Common Stock under a share repurchase authorization approved by the Company's Board of Directors in February 2026. As of June 28, 2026, there is $958 million remaining on the authorization. Financing activities in the first six months of 2025 included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dividends paid of $196.0 million, repayments of long-term debt of $60.5 million, and $19.9 million of payments related to tax withholdings for share compensation coinciding with equity award vesting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CRITICAL ACCOUNTING POLICIES AND SIGNIFICANT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prepared the consolidated financial statements in accordance with accounting principles generally accepted in the United States, which require us to make estimates and assumptions that affect the reported amounts of assets and liabilities at the date of the consolidated financial statements and revenues and expenses during the periods reported. These estimates are based on our best judgment about current and future conditions, but actual results could differ from those estimates. Information with respect to accounting estimates that are the most critical to the understanding of our financial statements as they could have the most significant effect on our reported results and require subjective or complex judgments by management is contained in Item 7, Management’s Discussion and Analysis of Financial Condition and Results of Operations, of our Annual Report on Form 10-K for the fiscal year ended December 28, 2025. We believe that at June 28, 2026, there has been no material change to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FINANCIAL RISK MANAGEMENT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Brazilian real and Mexican peso and, to a lesser extent, other currencies in Latin America and Asia Pacific countries.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 manage this exposure, the Company has hedged a portion of its forecasted foreign currency transactions using foreign exchange forward contracts and foreign exchange option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reflects all derivative financial instruments at their fair value as an asset or liability on the Consolidated Balance Sheets. The Company does not speculate in foreign currency exchange contracts. Refer to Note 14, Derivative Financial Instruments, to the Company’s consolidated financial statements for further details on the Company's derivative financial instruments.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28, 2026, the Company had fixed-rate debt of $3.6 billion.</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Inflation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monitors the impact of inflation to its business operations on an ongoing basis and may need to implement actions such as price adjustments to mitigate the impact of changes to the rate of inflation in future periods. However, future volatility of general price inflation could affect consumer spending. Additionally, the impact of inflation on costs and availability of materials, costs for shipping and warehousing and other operational overhead, could adversely affect the Company's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included in Part I, Item 2. "Management's Discussion and Analysis of Financial Condition and Results of Operations"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Evaluation of 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June 28, 2026. Based on the evaluation of these disclosure controls and procedures, the Chief Executive Officer and Chief Financial Officer concluded that the Company's disclosure controls and procedures were effective.</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Changes in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late March 2026, the Company identified unauthorized access to its network. Upon discovery, the Company promptly activated its security incident response protocols, implemented containment measures, including proactively taking certain systems offline, and launched an investigation with the assistance of third-party cybersecurity professionals. Simultaneously, the Company implemented its business continuity plans, including manual ordering and processing procedures at a reduced rate of operations in order to continue servicing its customers. However, the incident resulted in disruptions to the Company's standard business operations and internal control over financial reporting during the second quarter. During the disruptions caused by the unauthorized access, the Company deployed additional manual controls in response to preventatively taking certain systems offline to maintain our internal control over financial reporting. As of June 28, 2026, the Company's standard business operations and internal control over financial reporting have resumed and are operating consistent with our pre-incident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Other than the additional interim controls and procedures implemented in connection with the execution of the Company's existing business continuity plans as a result of the unauthorized access discussed above, there were no changes in the Company's internal control over financial reporting, as defined in Rule 13a-15(f) promulgated under the Exchange Act, during the quarter ended June 28, 2026 that have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ind w:left="0" w:right="0" w:hanging="1440"/>
        <w:jc w:val="left"/>
        <w:rPr>
          <w:rFonts w:ascii="Arial;sans-serif" w:hAnsi="Arial;sans-serif"/>
          <w:b w:val="false"/>
          <w:color w:val="000000"/>
          <w:sz w:val="20"/>
          <w:u w:val="single"/>
        </w:rPr>
      </w:pPr>
      <w:r>
        <w:rPr>
          <w:rFonts w:ascii="Arial;sans-serif" w:hAnsi="Arial;sans-serif"/>
          <w:b w:val="false"/>
          <w:color w:val="000000"/>
          <w:sz w:val="20"/>
          <w:u w:val="single"/>
        </w:rPr>
        <w:t>West Palm Beach Firefighters' Pension Fund v. Hasbro Inc. et al., 24-cv-8633 (S.D.N.Y)</w:t>
      </w:r>
    </w:p>
    <w:p>
      <w:pPr>
        <w:pStyle w:val="TextBody"/>
        <w:bidi w:val="0"/>
        <w:spacing w:lineRule="auto" w:line="288" w:before="120" w:after="283"/>
        <w:jc w:val="left"/>
        <w:rPr/>
      </w:pPr>
      <w:r>
        <w:rPr>
          <w:rFonts w:ascii="Arial;sans-serif" w:hAnsi="Arial;sans-serif"/>
          <w:b w:val="false"/>
          <w:color w:val="000000"/>
          <w:sz w:val="20"/>
        </w:rPr>
        <w:t xml:space="preserve">On November 13, 2024, West Palm Beach Firefighters’ Pension Fund ("Lead Plaintiff") filed a putative class action lawsuit in the U.S. District Court for the Southern District of New York alleging violations of Sections 10(b) and 20(a) of the Securities and Exchange Act of 1934 (the "Exchange Act") and certain rules promulgated thereunder. On November 26, 2025, Lead Plaintiff filed an amended complaint on behalf of all persons and entities that purchased the Company’s securities between September 16, 2021 and October 26, 2023, inclusive (the “Alleged Class Period”). The amended complaint alleges violations of Sections 10(b) and 20(a) of the Exchange Act. In the amended complaint, Lead Plaintiff alleges that members of the putative class suffered losses as a result of Defendants’ false or misleading statements regarding the growth and success of </w:t>
      </w:r>
      <w:r>
        <w:rPr>
          <w:rFonts w:ascii="Arial;sans-serif" w:hAnsi="Arial;sans-serif"/>
          <w:b w:val="false"/>
          <w:i/>
          <w:color w:val="000000"/>
          <w:sz w:val="20"/>
        </w:rPr>
        <w:t>Magic: The Gathering</w:t>
      </w:r>
      <w:r>
        <w:rPr>
          <w:color w:val="000000"/>
        </w:rPr>
        <w:t xml:space="preserve"> </w:t>
      </w:r>
      <w:r>
        <w:rPr>
          <w:rFonts w:ascii="Arial;sans-serif" w:hAnsi="Arial;sans-serif"/>
          <w:b w:val="false"/>
          <w:color w:val="000000"/>
          <w:sz w:val="20"/>
        </w:rPr>
        <w:t>(“Magic”) card sets, including statements attributing Magic’s growth to a consumer-driven “segmentation” strategy, during the Alleged Class Period. Defendants moved to dismiss the amended complaint on February 6, 2026. The Company intends to vigorously defend against these claims. Due to the early stages of this matter, the Company is unable to estimate a reasonably possible range of loss, if any, that may result from this matter.</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Derivative Action</w:t>
      </w:r>
    </w:p>
    <w:p>
      <w:pPr>
        <w:pStyle w:val="TextBody"/>
        <w:bidi w:val="0"/>
        <w:spacing w:lineRule="auto" w:line="288" w:before="120" w:after="283"/>
        <w:jc w:val="left"/>
        <w:rPr/>
      </w:pPr>
      <w:r>
        <w:rPr>
          <w:rFonts w:ascii="Arial;sans-serif" w:hAnsi="Arial;sans-serif"/>
          <w:b w:val="false"/>
          <w:color w:val="000000"/>
          <w:sz w:val="20"/>
        </w:rPr>
        <w:t xml:space="preserve">On August 19, 2025, Karen Sbriglio, derivatively on behalf of Hasbro, Inc., filed a putative shareholder derivative action against certain of the Company's executive officers and current and former members of the Board of Directors of the Company in Rhode Island Superior Court. </w:t>
      </w:r>
      <w:r>
        <w:rPr>
          <w:rFonts w:ascii="Arial;sans-serif" w:hAnsi="Arial;sans-serif"/>
          <w:b w:val="false"/>
          <w:i/>
          <w:color w:val="000000"/>
          <w:sz w:val="20"/>
        </w:rPr>
        <w:t xml:space="preserve">Sbriglio v. Stoddart et al., </w:t>
      </w:r>
      <w:r>
        <w:rPr>
          <w:rFonts w:ascii="Arial;sans-serif" w:hAnsi="Arial;sans-serif"/>
          <w:b w:val="false"/>
          <w:color w:val="000000"/>
          <w:sz w:val="20"/>
        </w:rPr>
        <w:t>PC-2025-04400 (Prov. City, RI). Plaintiff alleges the Board of Directors wrongfully refused a pre-suit litigation demand made on the Board relating to similar allegations described in the initial complaint in the West Palm Beach Firefighters' Pension Fund action. The parties have stipulated to stay the case pending resolution of the motion to dismiss in the West Palm Beach Firefighters' Pension Fund action.</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Other Matters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currently party to other certain legal proceedings, including a recently filed putative class action suit filed by Sheila Standing in the U.S. District Court for the District of Rhode Island against Hasbro, Inc., Case No. 1:26-cv-00219 (D.R.I.), alleging injuries and damages arising out of Hasbro’s cyber breach. None of these other legal proceedings are believed to be material to our business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0" w:after="0"/>
        <w:jc w:val="left"/>
        <w:rPr/>
      </w:pPr>
      <w:r>
        <w:rPr>
          <w:rFonts w:ascii="Arial;sans-serif" w:hAnsi="Arial;sans-serif"/>
          <w:b w:val="false"/>
          <w:color w:val="212529"/>
          <w:sz w:val="20"/>
        </w:rPr>
        <w:t xml:space="preserve">In connection with information set forth in this Quarterly Report on Form 10-Q, the risk factors discussed under Item 1A. Risk Factors, in Part I of our </w:t>
      </w:r>
      <w:r>
        <w:rPr>
          <w:rFonts w:ascii="Arial;sans-serif" w:hAnsi="Arial;sans-serif"/>
          <w:b w:val="false"/>
          <w:color w:val="000000"/>
          <w:sz w:val="20"/>
        </w:rPr>
        <w:t>2025</w:t>
      </w:r>
      <w:r>
        <w:rPr>
          <w:color w:val="212529"/>
        </w:rPr>
        <w:t xml:space="preserve"> </w:t>
      </w:r>
      <w:r>
        <w:rPr>
          <w:rFonts w:ascii="Arial;sans-serif" w:hAnsi="Arial;sans-serif"/>
          <w:b w:val="false"/>
          <w:color w:val="212529"/>
          <w:sz w:val="20"/>
        </w:rPr>
        <w:t xml:space="preserve">Form 10-K and in our subsequent filings, including in this filing, should be considered. The risks set forth in our </w:t>
      </w:r>
      <w:r>
        <w:rPr>
          <w:rFonts w:ascii="Arial;sans-serif" w:hAnsi="Arial;sans-serif"/>
          <w:b w:val="false"/>
          <w:color w:val="000000"/>
          <w:sz w:val="20"/>
        </w:rPr>
        <w:t>2025</w:t>
      </w:r>
      <w:r>
        <w:rPr>
          <w:color w:val="212529"/>
        </w:rPr>
        <w:t xml:space="preserve"> </w:t>
      </w:r>
      <w:r>
        <w:rPr>
          <w:rFonts w:ascii="Arial;sans-serif" w:hAnsi="Arial;sans-serif"/>
          <w:b w:val="false"/>
          <w:color w:val="212529"/>
          <w:sz w:val="20"/>
        </w:rPr>
        <w:t xml:space="preserve">Form 10-K and in our subsequent filings, including in this filing, could materially and adversely affect our business, financial condition, and results of operations. Except as set forth below, there are no material changes from the risk factors as previously disclosed in our </w:t>
      </w:r>
      <w:r>
        <w:rPr>
          <w:rFonts w:ascii="Arial;sans-serif" w:hAnsi="Arial;sans-serif"/>
          <w:b w:val="false"/>
          <w:color w:val="000000"/>
          <w:sz w:val="20"/>
        </w:rPr>
        <w:t>2025</w:t>
      </w:r>
      <w:r>
        <w:rPr>
          <w:color w:val="212529"/>
        </w:rPr>
        <w:t xml:space="preserve"> </w:t>
      </w:r>
      <w:r>
        <w:rPr>
          <w:rFonts w:ascii="Arial;sans-serif" w:hAnsi="Arial;sans-serif"/>
          <w:b w:val="false"/>
          <w:color w:val="212529"/>
          <w:sz w:val="20"/>
        </w:rPr>
        <w:t>Form 10-K, in any of our subsequently filed reports or as otherwise set forth in this Quarterly Report.</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Our business could be significantly harmed as a result of compromise of our electronic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and our third-party manufacturers and other business partners maintain significant amounts of data electronically in locations around the world and in the cloud. This data relates to all aspects of our business, including current and future products and entertainment under development, and also contains certain customer, consumer, supplier, partner and employee data. We and our partners maintain systems and processes designed to protect this data, but notwithstanding such protective systems and processes, there have been, and in the future may be, intrusions, cyber-attacks, tampering, or other unauthorized access, whether intentional or unintentional, that have compromised, and could in the future, compromise the integrity and privacy of this data. Intrusions, cyber-attacks, tampering, and other unauthorized access continue to increase in frequency, sophistication and intensity, and are becoming increasingly difficult to detect and prevent. They are often carried out by motivated, well-resourced, skilled and persistent actors, including nation states, organized crime groups, “hacktivists” and employees or contractors acting with malicious intent. Intrusions, cyber-attacks, tampering, and other unauthorized access could include the deployment of harmful malware and key loggers, ransomware, a denial-of-service attack, a malicious website, artificial intelligence, the use of social engineering and other means to affect the confidentiality, integrity and availability of our or third-party technology systems and data. Intrusions, cyber-attacks, tampering, and other unauthorized access could also include supply chain attacks, which could cause a delay in the manufacturing of our products. In addition, we provide confidential and proprietary information to our third-party manufacturers and business partners to conduct our business. While we obtain assurances from those parties that they have systems and processes in place to protect such data, and where applicable, that they will take steps to assure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protections of such data by third parties, those manufacturers and partners may also be subject to data intrusion or otherwise compromise the protection of such data. The risk of data loss or breaches is heightened during uncertain economic times, changes in business strategy and reductions in workforce. Any compromise of the confidential data of our customers, consumers, suppliers, partners, employees or ourselves, or failure to prevent or mitigate the loss of or damage to this data through breach of our information technology systems, or those of our third party manufacturers and other business partners, as well as any related security incident response, containment, remediation, or mitigation efforts, could substantially disrupt our operations, result in delays of shipping products, result in delays in making or receiving payments, harm our customers, consumers, employees and other business partners, damage our reputation, violate applicable laws and regulations, subject us to potentially significant costs and liabilities and/or result in a loss of business that could be material.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For example, in late March 2026, we identified unauthorized access to our network. Upon discovery, we promptly activated our security incident response protocols, implemented containment measures, including proactively taking certain systems offline, and launched an investigation with the assistance of third-party cybersecurity professionals. As of June 28, 2026, the unauthorized access has been contained and the Company has fully restored our systems and returned to standard business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Any further incidents of unauthorized access could result in adverse effects on our business, operations, financial results, and financial reporting; and any further impacts related to the unauthorized access or other similar unauthorized activity may result in increased costs, including from any legal proceedings. For more information, refer to Part I, Item 2. “Management’s Discussion and Analysis of Financial Condition and Results of Operation – Unauthorized Network Access” and Note 2 "Unauthorized Network Access."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February 2026, the Company announced that its Board of Directors authorized the repurchase of up to $1.0 billion in Common Stock, which may be repurchased in the open market or through privately negotiated transactions. This authorization replaces and supersedes all prior approved share repurchase authorization and has no expiration date. The Company has no obligation to repurchase shares under this authorization. The timing, actual number and value of the shares that are repurchased, if any, will depend on a number of factors, including the price of the Company’s stock and the Company's generation of, and uses for, cash.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months ended June 28, 2026, the Company's discretionary share repurchases, in millions of dollars except shares and per share data, were as follows:</w:t>
      </w:r>
    </w:p>
    <w:tbl>
      <w:tblPr>
        <w:tblW w:w="10205" w:type="dxa"/>
        <w:jc w:val="left"/>
        <w:tblInd w:w="0" w:type="dxa"/>
        <w:tblLayout w:type="fixed"/>
        <w:tblCellMar>
          <w:top w:w="28" w:type="dxa"/>
          <w:left w:w="28" w:type="dxa"/>
          <w:bottom w:w="28" w:type="dxa"/>
          <w:right w:w="28" w:type="dxa"/>
        </w:tblCellMar>
      </w:tblPr>
      <w:tblGrid>
        <w:gridCol w:w="370"/>
        <w:gridCol w:w="324"/>
        <w:gridCol w:w="327"/>
        <w:gridCol w:w="669"/>
        <w:gridCol w:w="579"/>
        <w:gridCol w:w="581"/>
        <w:gridCol w:w="109"/>
        <w:gridCol w:w="109"/>
        <w:gridCol w:w="109"/>
        <w:gridCol w:w="367"/>
        <w:gridCol w:w="893"/>
        <w:gridCol w:w="191"/>
        <w:gridCol w:w="109"/>
        <w:gridCol w:w="109"/>
        <w:gridCol w:w="109"/>
        <w:gridCol w:w="1046"/>
        <w:gridCol w:w="1046"/>
        <w:gridCol w:w="1048"/>
        <w:gridCol w:w="109"/>
        <w:gridCol w:w="109"/>
        <w:gridCol w:w="109"/>
        <w:gridCol w:w="449"/>
        <w:gridCol w:w="994"/>
        <w:gridCol w:w="340"/>
      </w:tblGrid>
      <w:tr>
        <w:trPr/>
        <w:tc>
          <w:tcPr>
            <w:tcW w:w="37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2026 Fiscal Month</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 Purchased as Part of Share Repurchase Authorization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Remaining Authorization</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30 to April 26</w:t>
            </w:r>
          </w:p>
        </w:tc>
        <w:tc>
          <w:tcPr>
            <w:tcW w:w="12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95,620 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95,620 </w:t>
            </w:r>
          </w:p>
        </w:tc>
        <w:tc>
          <w:tcPr>
            <w:tcW w:w="10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27 to May 31</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 to June 28</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296,488 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296,488 </w:t>
            </w:r>
          </w:p>
        </w:tc>
        <w:tc>
          <w:tcPr>
            <w:tcW w:w="10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392,108 </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392,108 </w:t>
            </w:r>
          </w:p>
        </w:tc>
        <w:tc>
          <w:tcPr>
            <w:tcW w:w="10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months ended June 28, 2026, none of our officers or directors adopted or terminated a “Rule 10b5-1 trading arrangement” or “non-Rule 10b5-1 trading arrangement,” as each term is defined in Item 408(a) and (c)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2"/>
        <w:gridCol w:w="243"/>
        <w:gridCol w:w="244"/>
        <w:gridCol w:w="2968"/>
        <w:gridCol w:w="2659"/>
        <w:gridCol w:w="3799"/>
      </w:tblGrid>
      <w:tr>
        <w:trPr/>
        <w:tc>
          <w:tcPr>
            <w:tcW w:w="29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6"/>
                  <w:u w:val="single"/>
                </w:rPr>
                <w:t>Restated Articles of Incorporation of the Company. (Incorporated by reference to Exhibit 3.1 to the Company's Quarterly Report on Form 10-Q for the period ended July 2, 2000, File No. 1-6682.)</w:t>
              </w:r>
            </w:hyperlink>
          </w:p>
        </w:tc>
      </w:tr>
      <w:tr>
        <w:trPr/>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6"/>
                  <w:u w:val="single"/>
                </w:rPr>
                <w:t>Amendment to Articles of Incorporation, dated June 28, 2000. (Incorporated by reference to Exhibit 3.4 to the Company's Quarterly Report on Form 10-Q for the period ended July 2, 2000, File No. 1-6682.)</w:t>
              </w:r>
            </w:hyperlink>
          </w:p>
        </w:tc>
      </w:tr>
      <w:tr>
        <w:trPr/>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6"/>
                  <w:u w:val="single"/>
                </w:rPr>
                <w:t>Amendment to Articles of Incorporation, dated May 19, 2003. (Incorporated by reference to Exhibit 3.3 to the Company's Quarterly Report on Form 10-Q for the period ended June 29, 2003, File No. 1-6682.)</w:t>
              </w:r>
            </w:hyperlink>
          </w:p>
        </w:tc>
      </w:tr>
      <w:tr>
        <w:trPr/>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6"/>
                  <w:u w:val="single"/>
                </w:rPr>
                <w:t>Second Amended and Restated Bylaws of the Company (Incorporated by reference to Exhibit 3.1 to the Company’s Current Report on Form 8-K dated September 30, 2022, File No. 1-6682.)</w:t>
              </w:r>
            </w:hyperlink>
          </w:p>
        </w:tc>
      </w:tr>
      <w:tr>
        <w:trPr/>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6"/>
                  <w:u w:val="single"/>
                </w:rPr>
                <w:t>Certificate of Designations of Series C Junior Participating Preference Stock of Hasbro, Inc. dated June 29, 1999. (Incorporated by reference to Exhibit 3.2 to the Company's Quarterly Report on Form 10-Q for the period ended July 2, 2000, File No. 1-6682.)</w:t>
              </w:r>
            </w:hyperlink>
          </w:p>
        </w:tc>
      </w:tr>
      <w:tr>
        <w:trPr/>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6"/>
                  <w:u w:val="single"/>
                </w:rPr>
                <w:t>Certificate of Vote(s) authorizing a decrease of class or series of any class of shares. (Incorporated by reference to Exhibit 3.3 to the Company's Quarterly Report on Form 10-Q for the period ended July 2, 2000, File No 1-6682.)</w:t>
              </w:r>
            </w:hyperlink>
          </w:p>
        </w:tc>
      </w:tr>
      <w:tr>
        <w:trPr/>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6"/>
                  <w:u w:val="single"/>
                </w:rPr>
                <w:t>Indenture, dated as of July 17, 1998, by and between the Company and The Bank of New York Mellon Trust Company, N.A. as successor Trustee to Citibank, N.A. as Trustee. (Incorporated by reference to Exhibit 4.1 to the Company's Current Report on Form 8-K dated July 14, 1998, File No. 1-6682.)</w:t>
              </w:r>
            </w:hyperlink>
          </w:p>
        </w:tc>
      </w:tr>
      <w:tr>
        <w:trPr/>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6"/>
                  <w:u w:val="single"/>
                </w:rPr>
                <w:t>Indenture, dated as of March 15, 2000, by and between the Company and The Bank of New York Mellon Trust Company, N.A. as successor Trustee to the Bank of Nova Scotia Trust Company of New York. (Incorporated by reference to Exhibit 4(b)(i) to the Company's Annual Report on Form 10-K for the fiscal year ended December 26, 1999, File No. 1-6682.)</w:t>
              </w:r>
            </w:hyperlink>
          </w:p>
        </w:tc>
      </w:tr>
      <w:tr>
        <w:trPr/>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6"/>
                  <w:u w:val="single"/>
                </w:rPr>
                <w:t>First Supplemental Indenture, dated as of September 17, 2007, between the Company and The Bank of New York Mellon Trust Company, N.A. as successor Trustee to the Bank of Nova Scotia Trust Company of New York. (Incorporated by reference to Exhibit 4.1 to the Company's Current Report on Form 8-K filed September 17, 2007, File No. 1-6682.)</w:t>
              </w:r>
            </w:hyperlink>
          </w:p>
        </w:tc>
      </w:tr>
      <w:tr>
        <w:trPr/>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6"/>
                  <w:u w:val="single"/>
                </w:rPr>
                <w:t>Second Supplemental Indenture, dated as of May 13, 2009, between the Company and The Bank of New York Mellon Trust Company, N.A. as successor Trustee to the Bank of Nova Scotia Trust Company of New York. (Incorporated by reference to Exhibit 4.1 to the Company's Current Report on Form 8-K filed May 13, 2009, File No. 1-6682.)</w:t>
              </w:r>
            </w:hyperlink>
          </w:p>
        </w:tc>
      </w:tr>
      <w:tr>
        <w:trPr/>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6"/>
                  <w:u w:val="single"/>
                </w:rPr>
                <w:t>Third Supplemental Indenture, dated as of March 11, 2010, between the Company and The Bank of New York Mellon Trust Company, N.A. as successor Trustee to the Bank of Nova Scotia Trust Company of New York. (Incorporated by reference to Exhibit 4.1 to the Company's Current Report on Form 8-K filed March 11, 2010, File No. 1-6682.)</w:t>
              </w:r>
            </w:hyperlink>
          </w:p>
        </w:tc>
      </w:tr>
      <w:tr>
        <w:trPr/>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6"/>
                  <w:u w:val="single"/>
                </w:rPr>
                <w:t>Fourth Supplemental Indenture, dated May 13, 2014, between the Company and The Bank of New York Mellon Trust Company, N.A. as successor Trustee to the Bank of Nova Scotia Trust Company of New York.  (Incorporated by reference to Exhibit 4.1 to the Company's Current Report on Form 8-K filed May 13, 2014, file No. 1-6682.)</w:t>
              </w:r>
            </w:hyperlink>
          </w:p>
        </w:tc>
      </w:tr>
      <w:tr>
        <w:trPr/>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6"/>
                  <w:u w:val="single"/>
                </w:rPr>
                <w:t>Fifth Supplemental Indenture, dated September 13, 2017, between the Company and The Bank of New York Mellon Trust Company, N.A. as successor Trustee to the Bank of Nova Scotia Trust Company of New York.  (Incorporated by reference to Exhibit 4.1 to the Company's Current Report on Form 8-K filed September 13, 2017, file No. 1-6682.)</w:t>
              </w:r>
            </w:hyperlink>
          </w:p>
        </w:tc>
      </w:tr>
      <w:tr>
        <w:trPr/>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16"/>
                  <w:u w:val="single"/>
                </w:rPr>
                <w:t>Sixth Supplemental Indenture dated as of November 19, 2019, among the Company and The Bank of New York Mellon Trust Company, N.A. and U.S. Bank, National Association, supplementing the Indenture dated as of March 15, 2000. (Incorporated by reference to Exhibit 1.2 to the Company’s Current Report on Form 8-K filed November 19, 2019, File No. 1-6682.)</w:t>
              </w:r>
            </w:hyperlink>
          </w:p>
        </w:tc>
      </w:tr>
      <w:tr>
        <w:trPr/>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16"/>
                  <w:u w:val="single"/>
                </w:rPr>
                <w:t>Seventh Supplemental Indenture dated as of May 14, 2024, among the Company and The Bank of New York Mellon Trust Company, N.A. and U.S. Bank, National Association, supplementing the Indenture dated as of March 15, 2000. (Incorporated by reference to Exhibit 4.2 to the Company’s Current Report on Form 8-K filed May 14, 2024, File No. 1-6682.)</w:t>
              </w:r>
            </w:hyperlink>
          </w:p>
        </w:tc>
      </w:tr>
      <w:tr>
        <w:trPr/>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16"/>
                  <w:u w:val="single"/>
                </w:rPr>
                <w:t>Eighth Supplemental Indenture dated as of March 12, 2026, among Hasbro, Inc., The Bank of New York Mellon Trust Company, N.A. (as successor trustee to The Bank of Nova Scotia Trust Company of New York) and U.S. Bank Trust Company, National Association (Incorporated by reference to Exhibit 4.2 to the Company’s Current Report on Form 8-K filed March 12, 2026, File No. 1-6682)</w:t>
              </w:r>
            </w:hyperlink>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w:t>
            </w:r>
          </w:p>
        </w:tc>
        <w:tc>
          <w:tcPr>
            <w:tcW w:w="9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as-q22026xex311.htm">
              <w:r>
                <w:rPr>
                  <w:rStyle w:val="InternetLink"/>
                  <w:rFonts w:ascii="Arial;sans-serif" w:hAnsi="Arial;sans-serif"/>
                  <w:b w:val="false"/>
                  <w:color w:val="0000FF"/>
                  <w:sz w:val="16"/>
                  <w:u w:val="single"/>
                </w:rPr>
                <w:t>Certification of the Chief Executive Officer Pursuant to Rule 13a-14(a) under the Securities Exchange Act of 1934.</w:t>
              </w:r>
            </w:hyperlink>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as-q22026xex312.htm">
              <w:r>
                <w:rPr>
                  <w:rStyle w:val="InternetLink"/>
                  <w:rFonts w:ascii="Arial;sans-serif" w:hAnsi="Arial;sans-serif"/>
                  <w:b w:val="false"/>
                  <w:color w:val="0000FF"/>
                  <w:sz w:val="16"/>
                  <w:u w:val="single"/>
                </w:rPr>
                <w:t>Certification of the Chief Financial Officer Pursuant to Rule 13a-14(a) under the Securities Exchange Act of 1934.</w:t>
              </w:r>
            </w:hyperlink>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w:t>
            </w:r>
          </w:p>
        </w:tc>
        <w:tc>
          <w:tcPr>
            <w:tcW w:w="9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as-q22026xex321.htm">
              <w:r>
                <w:rPr>
                  <w:rStyle w:val="InternetLink"/>
                  <w:rFonts w:ascii="Arial;sans-serif" w:hAnsi="Arial;sans-serif"/>
                  <w:b w:val="false"/>
                  <w:color w:val="0000FF"/>
                  <w:sz w:val="16"/>
                  <w:u w:val="single"/>
                </w:rPr>
                <w:t>Certification of the Chief Executive Officer Pursuant to Rule 13a-14(b) under the Securities Exchange Act of 1934.</w:t>
              </w:r>
            </w:hyperlink>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w:t>
            </w:r>
          </w:p>
        </w:tc>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as-q22026xex322.htm">
              <w:r>
                <w:rPr>
                  <w:rStyle w:val="InternetLink"/>
                  <w:rFonts w:ascii="Arial;sans-serif" w:hAnsi="Arial;sans-serif"/>
                  <w:b w:val="false"/>
                  <w:color w:val="0000FF"/>
                  <w:sz w:val="16"/>
                  <w:u w:val="single"/>
                </w:rPr>
                <w:t>Certification of the Chief Financial Officer Pursuant to Rule 13a-14(b) under the Securities Exchange Act of 1934.</w:t>
              </w:r>
            </w:hyperlink>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101.INS</w:t>
            </w:r>
          </w:p>
        </w:tc>
        <w:tc>
          <w:tcPr>
            <w:tcW w:w="9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Instance Document - the instance document does not appear in the Interactive Data File because its XBRL tags are embedded within the Inline XBRL Document.</w:t>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101.SCH</w:t>
            </w:r>
          </w:p>
        </w:tc>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Schema Document</w:t>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101.CAL</w:t>
            </w:r>
          </w:p>
        </w:tc>
        <w:tc>
          <w:tcPr>
            <w:tcW w:w="9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Calculation Linkbase Document</w:t>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101.LAB</w:t>
            </w:r>
          </w:p>
        </w:tc>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Labels Linkbase Document</w:t>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101.PRE </w:t>
            </w:r>
          </w:p>
        </w:tc>
        <w:tc>
          <w:tcPr>
            <w:tcW w:w="9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Presentation Linkbase Document</w:t>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101.DEF </w:t>
            </w:r>
          </w:p>
        </w:tc>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Definition Linkbase Document</w:t>
            </w:r>
          </w:p>
        </w:tc>
      </w:tr>
    </w:tbl>
    <w:p>
      <w:pPr>
        <w:pStyle w:val="TextBody"/>
        <w:bidi w:val="0"/>
        <w:spacing w:lineRule="auto" w:line="288" w:before="120" w:after="283"/>
        <w:jc w:val="left"/>
        <w:rPr>
          <w:rFonts w:ascii="Arial;sans-serif" w:hAnsi="Arial;sans-serif"/>
          <w:b w:val="false"/>
          <w:i/>
          <w:color w:val="000000"/>
          <w:sz w:val="18"/>
        </w:rPr>
      </w:pPr>
      <w:r>
        <w:rPr>
          <w:rFonts w:ascii="Arial;sans-serif" w:hAnsi="Arial;sans-serif"/>
          <w:b w:val="false"/>
          <w:i/>
          <w:color w:val="000000"/>
          <w:sz w:val="18"/>
        </w:rPr>
        <w:t>* Furnished herewith</w:t>
      </w:r>
    </w:p>
    <w:p>
      <w:pPr>
        <w:pStyle w:val="TextBody"/>
        <w:bidi w:val="0"/>
        <w:spacing w:lineRule="auto" w:line="288" w:before="120" w:after="283"/>
        <w:jc w:val="left"/>
        <w:rPr>
          <w:rFonts w:ascii="Arial;sans-serif" w:hAnsi="Arial;sans-serif"/>
          <w:b w:val="false"/>
          <w:i/>
          <w:color w:val="000000"/>
          <w:sz w:val="18"/>
        </w:rPr>
      </w:pPr>
      <w:r>
        <w:rPr>
          <w:rFonts w:ascii="Arial;sans-serif" w:hAnsi="Arial;sans-serif"/>
          <w:b w:val="false"/>
          <w:i/>
          <w:color w:val="000000"/>
          <w:sz w:val="18"/>
        </w:rPr>
        <w:t>** Indicates management contract or compensatory plan, contract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SIGNATURES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479" w:type="dxa"/>
        <w:jc w:val="left"/>
        <w:tblInd w:w="0" w:type="dxa"/>
        <w:tblLayout w:type="fixed"/>
        <w:tblCellMar>
          <w:top w:w="28" w:type="dxa"/>
          <w:left w:w="28" w:type="dxa"/>
          <w:bottom w:w="28" w:type="dxa"/>
          <w:right w:w="28" w:type="dxa"/>
        </w:tblCellMar>
      </w:tblPr>
      <w:tblGrid>
        <w:gridCol w:w="656"/>
        <w:gridCol w:w="576"/>
        <w:gridCol w:w="582"/>
        <w:gridCol w:w="1364"/>
        <w:gridCol w:w="1364"/>
        <w:gridCol w:w="1937"/>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INC.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64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30, 2026</w:t>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 Gina Goetter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Gina Goetter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Chief Operating Officer</w:t>
              <w:br/>
              <w:t>(Duly Authorized Officer and</w:t>
              <w:br/>
              <w:t>Principal Financial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200" w:after="283"/>
        <w:jc w:val="right"/>
        <w:rPr>
          <w:rFonts w:ascii="Arial;sans-serif" w:hAnsi="Arial;sans-serif"/>
          <w:b w:val="false"/>
          <w:color w:val="000000"/>
          <w:sz w:val="20"/>
        </w:rPr>
      </w:pPr>
      <w:r>
        <w:rPr>
          <w:rFonts w:ascii="Arial;sans-serif" w:hAnsi="Arial;sans-serif"/>
          <w:b w:val="false"/>
          <w:color w:val="000000"/>
          <w:sz w:val="20"/>
        </w:rPr>
        <w:t>Exhibit 31.1</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CERTIFICATION</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 Chris Cocks, certify that:</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Hasbro, Inc.;</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27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27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27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27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Date:    July 30, 2026 </w:t>
      </w:r>
    </w:p>
    <w:tbl>
      <w:tblPr>
        <w:tblW w:w="2936" w:type="dxa"/>
        <w:jc w:val="center"/>
        <w:tblInd w:w="0" w:type="dxa"/>
        <w:tblLayout w:type="fixed"/>
        <w:tblCellMar>
          <w:top w:w="28" w:type="dxa"/>
          <w:left w:w="28" w:type="dxa"/>
          <w:bottom w:w="28" w:type="dxa"/>
          <w:right w:w="28" w:type="dxa"/>
        </w:tblCellMar>
      </w:tblPr>
      <w:tblGrid>
        <w:gridCol w:w="124"/>
        <w:gridCol w:w="109"/>
        <w:gridCol w:w="109"/>
        <w:gridCol w:w="756"/>
        <w:gridCol w:w="756"/>
        <w:gridCol w:w="1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Chris Cocks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 Cocks</w:t>
              <w:b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Arial;sans-serif" w:hAnsi="Arial;sans-serif"/>
          <w:b w:val="false"/>
          <w:color w:val="000000"/>
          <w:sz w:val="20"/>
        </w:rPr>
      </w:pPr>
      <w:r>
        <w:rPr>
          <w:rFonts w:ascii="Arial;sans-serif" w:hAnsi="Arial;sans-serif"/>
          <w:b w:val="false"/>
          <w:color w:val="000000"/>
          <w:sz w:val="20"/>
        </w:rPr>
        <w:t>Exhibit 31.2</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CERTIFICATION</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 Gina Goetter, certify that:</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Hasbro, Inc.;</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Date:  July 30, 2026 </w:t>
      </w:r>
    </w:p>
    <w:tbl>
      <w:tblPr>
        <w:tblW w:w="5066" w:type="dxa"/>
        <w:jc w:val="center"/>
        <w:tblInd w:w="0" w:type="dxa"/>
        <w:tblLayout w:type="fixed"/>
        <w:tblCellMar>
          <w:top w:w="28" w:type="dxa"/>
          <w:left w:w="28" w:type="dxa"/>
          <w:bottom w:w="28" w:type="dxa"/>
          <w:right w:w="28" w:type="dxa"/>
        </w:tblCellMar>
      </w:tblPr>
      <w:tblGrid>
        <w:gridCol w:w="124"/>
        <w:gridCol w:w="109"/>
        <w:gridCol w:w="109"/>
        <w:gridCol w:w="1383"/>
        <w:gridCol w:w="1383"/>
        <w:gridCol w:w="1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Gina Goetter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Gina Goetter</w:t>
              <w:br/>
              <w:t>Chief Financial Officer and Chief Operating Officer</w:t>
              <w:br/>
              <w:t>(Principal Financial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1350, CHAPTER 63 OF TITLE 18, UNITED STATES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1)the Company’s Quarterly Report on Form 10-Q for the quarter ended June 28, 2026, as filed with the Securities and Exchange Commission (the “10-Q Report”), fully complies with the requirements of Section 13(a) or 15(d) of the Securities Exchange Act of 1934; and</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2)the information contained in the Company's 10-Q Report fairly presents, in all material respects, the financial condition and results of operations of the Company.</w:t>
      </w:r>
    </w:p>
    <w:tbl>
      <w:tblPr>
        <w:tblW w:w="3866" w:type="dxa"/>
        <w:jc w:val="center"/>
        <w:tblInd w:w="0" w:type="dxa"/>
        <w:tblLayout w:type="fixed"/>
        <w:tblCellMar>
          <w:top w:w="28" w:type="dxa"/>
          <w:left w:w="28" w:type="dxa"/>
          <w:bottom w:w="28" w:type="dxa"/>
          <w:right w:w="28" w:type="dxa"/>
        </w:tblCellMar>
      </w:tblPr>
      <w:tblGrid>
        <w:gridCol w:w="124"/>
        <w:gridCol w:w="109"/>
        <w:gridCol w:w="109"/>
        <w:gridCol w:w="1032"/>
        <w:gridCol w:w="1032"/>
        <w:gridCol w:w="1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 xml:space="preserve">/s/ Chris Cocks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Chris Cocks</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 of Hasbro, Inc.</w:t>
            </w:r>
          </w:p>
          <w:p>
            <w:pPr>
              <w:pStyle w:val="TableContents"/>
              <w:bidi w:val="0"/>
              <w:spacing w:before="0" w:after="0"/>
              <w:jc w:val="left"/>
              <w:rPr/>
            </w:pPr>
            <w:r>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July 30, 2026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Hasbro, Inc. and will be retained by Hasbro,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1350, CHAPTER 63 OF TITLE 18, UNITED STATES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1)the Company’s Quarterly Report on Form 10-Q for the quarter ended June 28, 2026, as filed with the Securities and Exchange Commission (the “10-Q Report”), fully complies with the requirements of Section 13(a) or 15(d) of the Securities Exchange Act of 1934; and</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2)the information contained in the Company's 10-Q Report fairly presents, in all material respects, the financial condition and results of operations of the Company.</w:t>
      </w:r>
    </w:p>
    <w:tbl>
      <w:tblPr>
        <w:tblW w:w="6206" w:type="dxa"/>
        <w:jc w:val="center"/>
        <w:tblInd w:w="0" w:type="dxa"/>
        <w:tblLayout w:type="fixed"/>
        <w:tblCellMar>
          <w:top w:w="28" w:type="dxa"/>
          <w:left w:w="28" w:type="dxa"/>
          <w:bottom w:w="28" w:type="dxa"/>
          <w:right w:w="28" w:type="dxa"/>
        </w:tblCellMar>
      </w:tblPr>
      <w:tblGrid>
        <w:gridCol w:w="124"/>
        <w:gridCol w:w="109"/>
        <w:gridCol w:w="109"/>
        <w:gridCol w:w="1716"/>
        <w:gridCol w:w="1716"/>
        <w:gridCol w:w="24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Gina Goetter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Gina Goetter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 and Chief Operating Officer of Hasbro, Inc.</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July 30, 2026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Hasbro, Inc. and will be retained by Hasbro,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6080/000004608000000013/0000046080-00-000013-0002.txt" TargetMode="External"/><Relationship Id="rId3" Type="http://schemas.openxmlformats.org/officeDocument/2006/relationships/hyperlink" Target="https://www.sec.gov/Archives/edgar/data/46080/000004608000000013/0000046080-00-000013-0005.txt" TargetMode="External"/><Relationship Id="rId4" Type="http://schemas.openxmlformats.org/officeDocument/2006/relationships/hyperlink" Target="https://www.sec.gov/Archives/edgar/data/46080/000004608003000022/ex3-3q203.htm" TargetMode="External"/><Relationship Id="rId5" Type="http://schemas.openxmlformats.org/officeDocument/2006/relationships/hyperlink" Target="https://www.sec.gov/Archives/edgar/data/46080/000004608022000109/hasbro-secondamendedandres.htm" TargetMode="External"/><Relationship Id="rId6" Type="http://schemas.openxmlformats.org/officeDocument/2006/relationships/hyperlink" Target="https://www.sec.gov/Archives/edgar/data/46080/000004608000000013/0000046080-00-000013-0003.txt" TargetMode="External"/><Relationship Id="rId7" Type="http://schemas.openxmlformats.org/officeDocument/2006/relationships/hyperlink" Target="https://www.sec.gov/Archives/edgar/data/46080/000004608000000013/0000046080-00-000013-0004.txt" TargetMode="External"/><Relationship Id="rId8" Type="http://schemas.openxmlformats.org/officeDocument/2006/relationships/hyperlink" Target="https://www.sec.gov/Archives/edgar/data/46080/0000950172-98-000702.txt" TargetMode="External"/><Relationship Id="rId9" Type="http://schemas.openxmlformats.org/officeDocument/2006/relationships/hyperlink" Target="https://www.sec.gov/Archives/edgar/data/46080/000004608000000003/0000046080-00-000003.txt" TargetMode="External"/><Relationship Id="rId10" Type="http://schemas.openxmlformats.org/officeDocument/2006/relationships/hyperlink" Target="https://www.sec.gov/Archives/edgar/data/46080/000095013507005709/b66906hbexv4w1.htm" TargetMode="External"/><Relationship Id="rId11" Type="http://schemas.openxmlformats.org/officeDocument/2006/relationships/hyperlink" Target="https://www.sec.gov/Archives/edgar/data/46080/000095013509003948/b75462hiexv4w1.htm" TargetMode="External"/><Relationship Id="rId12" Type="http://schemas.openxmlformats.org/officeDocument/2006/relationships/hyperlink" Target="https://www.sec.gov/Archives/edgar/data/46080/000095012310023420/b80058exv4w1.htm" TargetMode="External"/><Relationship Id="rId13" Type="http://schemas.openxmlformats.org/officeDocument/2006/relationships/hyperlink" Target="https://www.sec.gov/Archives/edgar/data/46080/000119312514196726/d727293dex41.htm" TargetMode="External"/><Relationship Id="rId14" Type="http://schemas.openxmlformats.org/officeDocument/2006/relationships/hyperlink" Target="https://www.sec.gov/Archives/edgar/data/46080/000119312517283854/d456734dex41.htm" TargetMode="External"/><Relationship Id="rId15" Type="http://schemas.openxmlformats.org/officeDocument/2006/relationships/hyperlink" Target="https://www.sec.gov/Archives/edgar/data/46080/000119312519295544/d822953dex12.htm" TargetMode="External"/><Relationship Id="rId16" Type="http://schemas.openxmlformats.org/officeDocument/2006/relationships/hyperlink" Target="https://www.sec.gov/Archives/edgar/data/46080/000119312524138322/d838682dex42.htm" TargetMode="External"/><Relationship Id="rId17" Type="http://schemas.openxmlformats.org/officeDocument/2006/relationships/hyperlink" Target="https://www.sec.gov/Archives/edgar/data/46080/000119312526104184/d16707dex42.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25438</Words>
  <Characters>139840</Characters>
  <CharactersWithSpaces>163301</CharactersWithSpaces>
  <Paragraphs>3840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