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3"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0"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3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27, 2026</w:t>
      </w:r>
    </w:p>
    <w:p>
      <w:pPr>
        <w:spacing w:after="0" w:line="149" w:lineRule="exact"/>
        <w:rPr>
          <w:sz w:val="24"/>
          <w:szCs w:val="24"/>
          <w:color w:val="auto"/>
        </w:rPr>
      </w:pPr>
    </w:p>
    <w:p>
      <w:pPr>
        <w:ind w:left="620" w:hanging="396"/>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1-6682</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HASBRO,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92" w:lineRule="exact"/>
        <w:rPr>
          <w:sz w:val="24"/>
          <w:szCs w:val="24"/>
          <w:color w:val="auto"/>
        </w:rPr>
      </w:pPr>
    </w:p>
    <w:tbl>
      <w:tblPr>
        <w:tblLayout w:type="fixed"/>
        <w:tblInd w:w="50" w:type="dxa"/>
        <w:tblCellMar>
          <w:top w:w="0" w:type="dxa"/>
          <w:left w:w="0" w:type="dxa"/>
          <w:bottom w:w="0" w:type="dxa"/>
          <w:right w:w="0" w:type="dxa"/>
        </w:tblCellMar>
      </w:tblPr>
      <w:tr>
        <w:trPr>
          <w:trHeight w:val="247"/>
        </w:trPr>
        <w:tc>
          <w:tcPr>
            <w:tcW w:w="4660" w:type="dxa"/>
            <w:vAlign w:val="bottom"/>
          </w:tcPr>
          <w:p>
            <w:pPr>
              <w:jc w:val="center"/>
              <w:ind w:left="974"/>
              <w:spacing w:after="0"/>
              <w:rPr>
                <w:sz w:val="20"/>
                <w:szCs w:val="20"/>
                <w:color w:val="auto"/>
              </w:rPr>
            </w:pPr>
            <w:r>
              <w:rPr>
                <w:rFonts w:ascii="Arial" w:cs="Arial" w:eastAsia="Arial" w:hAnsi="Arial"/>
                <w:sz w:val="18"/>
                <w:szCs w:val="18"/>
                <w:b w:val="1"/>
                <w:bCs w:val="1"/>
                <w:color w:val="auto"/>
                <w:w w:val="99"/>
              </w:rPr>
              <w:t>Rhode Island</w:t>
            </w:r>
          </w:p>
        </w:tc>
        <w:tc>
          <w:tcPr>
            <w:tcW w:w="1860" w:type="dxa"/>
            <w:vAlign w:val="bottom"/>
          </w:tcPr>
          <w:p>
            <w:pPr>
              <w:spacing w:after="0"/>
              <w:rPr>
                <w:sz w:val="21"/>
                <w:szCs w:val="21"/>
                <w:color w:val="auto"/>
              </w:rPr>
            </w:pPr>
          </w:p>
        </w:tc>
        <w:tc>
          <w:tcPr>
            <w:tcW w:w="4680" w:type="dxa"/>
            <w:vAlign w:val="bottom"/>
          </w:tcPr>
          <w:p>
            <w:pPr>
              <w:jc w:val="right"/>
              <w:ind w:right="2296"/>
              <w:spacing w:after="0"/>
              <w:rPr>
                <w:sz w:val="20"/>
                <w:szCs w:val="20"/>
                <w:color w:val="auto"/>
              </w:rPr>
            </w:pPr>
            <w:r>
              <w:rPr>
                <w:rFonts w:ascii="Arial" w:cs="Arial" w:eastAsia="Arial" w:hAnsi="Arial"/>
                <w:sz w:val="18"/>
                <w:szCs w:val="18"/>
                <w:b w:val="1"/>
                <w:bCs w:val="1"/>
                <w:color w:val="auto"/>
              </w:rPr>
              <w:t>05-0155090</w:t>
            </w:r>
          </w:p>
        </w:tc>
      </w:tr>
      <w:tr>
        <w:trPr>
          <w:trHeight w:val="243"/>
        </w:trPr>
        <w:tc>
          <w:tcPr>
            <w:tcW w:w="6520" w:type="dxa"/>
            <w:vAlign w:val="bottom"/>
            <w:gridSpan w:val="2"/>
          </w:tcPr>
          <w:p>
            <w:pPr>
              <w:jc w:val="center"/>
              <w:ind w:right="733"/>
              <w:spacing w:after="0"/>
              <w:rPr>
                <w:sz w:val="20"/>
                <w:szCs w:val="20"/>
                <w:color w:val="auto"/>
              </w:rPr>
            </w:pPr>
            <w:r>
              <w:rPr>
                <w:rFonts w:ascii="Arial" w:cs="Arial" w:eastAsia="Arial" w:hAnsi="Arial"/>
                <w:sz w:val="16"/>
                <w:szCs w:val="16"/>
                <w:color w:val="auto"/>
              </w:rPr>
              <w:t>(State or other jurisdiction of incorporation or organization)</w:t>
            </w:r>
          </w:p>
        </w:tc>
        <w:tc>
          <w:tcPr>
            <w:tcW w:w="4680" w:type="dxa"/>
            <w:vAlign w:val="bottom"/>
          </w:tcPr>
          <w:p>
            <w:pPr>
              <w:jc w:val="center"/>
              <w:ind w:right="976"/>
              <w:spacing w:after="0"/>
              <w:rPr>
                <w:sz w:val="20"/>
                <w:szCs w:val="20"/>
                <w:color w:val="auto"/>
              </w:rPr>
            </w:pPr>
            <w:r>
              <w:rPr>
                <w:rFonts w:ascii="Arial" w:cs="Arial" w:eastAsia="Arial" w:hAnsi="Arial"/>
                <w:sz w:val="16"/>
                <w:szCs w:val="16"/>
                <w:color w:val="auto"/>
              </w:rPr>
              <w:t>(I.R.S. Employer Identification No.)</w:t>
            </w:r>
          </w:p>
        </w:tc>
      </w:tr>
      <w:tr>
        <w:trPr>
          <w:trHeight w:val="365"/>
        </w:trPr>
        <w:tc>
          <w:tcPr>
            <w:tcW w:w="4660" w:type="dxa"/>
            <w:vAlign w:val="bottom"/>
          </w:tcPr>
          <w:p>
            <w:pPr>
              <w:jc w:val="center"/>
              <w:ind w:left="954"/>
              <w:spacing w:after="0"/>
              <w:rPr>
                <w:sz w:val="20"/>
                <w:szCs w:val="20"/>
                <w:color w:val="auto"/>
              </w:rPr>
            </w:pPr>
            <w:r>
              <w:rPr>
                <w:rFonts w:ascii="Arial" w:cs="Arial" w:eastAsia="Arial" w:hAnsi="Arial"/>
                <w:sz w:val="18"/>
                <w:szCs w:val="18"/>
                <w:b w:val="1"/>
                <w:bCs w:val="1"/>
                <w:color w:val="auto"/>
                <w:w w:val="99"/>
              </w:rPr>
              <w:t>1027 Newport Avenue</w:t>
            </w:r>
          </w:p>
        </w:tc>
        <w:tc>
          <w:tcPr>
            <w:tcW w:w="18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70"/>
        </w:trPr>
        <w:tc>
          <w:tcPr>
            <w:tcW w:w="4660" w:type="dxa"/>
            <w:vAlign w:val="bottom"/>
          </w:tcPr>
          <w:p>
            <w:pPr>
              <w:ind w:left="1860"/>
              <w:spacing w:after="0"/>
              <w:rPr>
                <w:sz w:val="20"/>
                <w:szCs w:val="20"/>
                <w:color w:val="auto"/>
              </w:rPr>
            </w:pPr>
            <w:r>
              <w:rPr>
                <w:rFonts w:ascii="Arial" w:cs="Arial" w:eastAsia="Arial" w:hAnsi="Arial"/>
                <w:sz w:val="18"/>
                <w:szCs w:val="18"/>
                <w:b w:val="1"/>
                <w:bCs w:val="1"/>
                <w:color w:val="auto"/>
              </w:rPr>
              <w:t>Pawtucket, Rhode Island</w:t>
            </w:r>
          </w:p>
        </w:tc>
        <w:tc>
          <w:tcPr>
            <w:tcW w:w="1860" w:type="dxa"/>
            <w:vAlign w:val="bottom"/>
          </w:tcPr>
          <w:p>
            <w:pPr>
              <w:spacing w:after="0"/>
              <w:rPr>
                <w:sz w:val="23"/>
                <w:szCs w:val="23"/>
                <w:color w:val="auto"/>
              </w:rPr>
            </w:pPr>
          </w:p>
        </w:tc>
        <w:tc>
          <w:tcPr>
            <w:tcW w:w="4680" w:type="dxa"/>
            <w:vAlign w:val="bottom"/>
          </w:tcPr>
          <w:p>
            <w:pPr>
              <w:jc w:val="right"/>
              <w:ind w:right="2536"/>
              <w:spacing w:after="0"/>
              <w:rPr>
                <w:sz w:val="20"/>
                <w:szCs w:val="20"/>
                <w:color w:val="auto"/>
              </w:rPr>
            </w:pPr>
            <w:r>
              <w:rPr>
                <w:rFonts w:ascii="Arial" w:cs="Arial" w:eastAsia="Arial" w:hAnsi="Arial"/>
                <w:sz w:val="18"/>
                <w:szCs w:val="18"/>
                <w:b w:val="1"/>
                <w:bCs w:val="1"/>
                <w:color w:val="auto"/>
              </w:rPr>
              <w:t>02861</w:t>
            </w:r>
          </w:p>
        </w:tc>
      </w:tr>
      <w:tr>
        <w:trPr>
          <w:trHeight w:val="243"/>
        </w:trPr>
        <w:tc>
          <w:tcPr>
            <w:tcW w:w="4660" w:type="dxa"/>
            <w:vAlign w:val="bottom"/>
          </w:tcPr>
          <w:p>
            <w:pPr>
              <w:jc w:val="center"/>
              <w:ind w:left="974"/>
              <w:spacing w:after="0"/>
              <w:rPr>
                <w:sz w:val="20"/>
                <w:szCs w:val="20"/>
                <w:color w:val="auto"/>
              </w:rPr>
            </w:pPr>
            <w:r>
              <w:rPr>
                <w:rFonts w:ascii="Arial" w:cs="Arial" w:eastAsia="Arial" w:hAnsi="Arial"/>
                <w:sz w:val="16"/>
                <w:szCs w:val="16"/>
                <w:color w:val="auto"/>
              </w:rPr>
              <w:t>(Address of Principal Executive Offices)</w:t>
            </w:r>
          </w:p>
        </w:tc>
        <w:tc>
          <w:tcPr>
            <w:tcW w:w="1860" w:type="dxa"/>
            <w:vAlign w:val="bottom"/>
          </w:tcPr>
          <w:p>
            <w:pPr>
              <w:spacing w:after="0"/>
              <w:rPr>
                <w:sz w:val="21"/>
                <w:szCs w:val="21"/>
                <w:color w:val="auto"/>
              </w:rPr>
            </w:pPr>
          </w:p>
        </w:tc>
        <w:tc>
          <w:tcPr>
            <w:tcW w:w="4680" w:type="dxa"/>
            <w:vAlign w:val="bottom"/>
          </w:tcPr>
          <w:p>
            <w:pPr>
              <w:jc w:val="center"/>
              <w:ind w:right="976"/>
              <w:spacing w:after="0"/>
              <w:rPr>
                <w:sz w:val="20"/>
                <w:szCs w:val="20"/>
                <w:color w:val="auto"/>
              </w:rPr>
            </w:pPr>
            <w:r>
              <w:rPr>
                <w:rFonts w:ascii="Arial" w:cs="Arial" w:eastAsia="Arial" w:hAnsi="Arial"/>
                <w:sz w:val="16"/>
                <w:szCs w:val="16"/>
                <w:color w:val="auto"/>
              </w:rPr>
              <w:t>(Zip Code)</w:t>
            </w:r>
          </w:p>
        </w:tc>
      </w:tr>
      <w:tr>
        <w:trPr>
          <w:trHeight w:val="339"/>
        </w:trPr>
        <w:tc>
          <w:tcPr>
            <w:tcW w:w="46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(401) 431-8697</w:t>
            </w:r>
          </w:p>
        </w:tc>
        <w:tc>
          <w:tcPr>
            <w:tcW w:w="4680" w:type="dxa"/>
            <w:vAlign w:val="bottom"/>
          </w:tcPr>
          <w:p>
            <w:pPr>
              <w:spacing w:after="0"/>
              <w:rPr>
                <w:sz w:val="24"/>
                <w:szCs w:val="24"/>
                <w:color w:val="auto"/>
              </w:rPr>
            </w:pPr>
          </w:p>
        </w:tc>
      </w:tr>
      <w:tr>
        <w:trPr>
          <w:trHeight w:val="215"/>
        </w:trPr>
        <w:tc>
          <w:tcPr>
            <w:tcW w:w="11200" w:type="dxa"/>
            <w:vAlign w:val="bottom"/>
            <w:gridSpan w:val="3"/>
          </w:tcPr>
          <w:p>
            <w:pPr>
              <w:jc w:val="center"/>
              <w:spacing w:after="0"/>
              <w:rPr>
                <w:sz w:val="20"/>
                <w:szCs w:val="20"/>
                <w:color w:val="auto"/>
              </w:rPr>
            </w:pPr>
            <w:r>
              <w:rPr>
                <w:rFonts w:ascii="Arial" w:cs="Arial" w:eastAsia="Arial" w:hAnsi="Arial"/>
                <w:sz w:val="16"/>
                <w:szCs w:val="16"/>
                <w:color w:val="auto"/>
              </w:rPr>
              <w:t>Registrant's telephone number, including area code</w:t>
            </w:r>
          </w:p>
        </w:tc>
      </w:tr>
      <w:tr>
        <w:trPr>
          <w:trHeight w:val="262"/>
        </w:trPr>
        <w:tc>
          <w:tcPr>
            <w:tcW w:w="11200" w:type="dxa"/>
            <w:vAlign w:val="bottom"/>
            <w:gridSpan w:val="3"/>
          </w:tcPr>
          <w:p>
            <w:pPr>
              <w:ind w:left="35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
        </w:trPr>
        <w:tc>
          <w:tcPr>
            <w:tcW w:w="4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8"/>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$0.50 par value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HAS</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157" w:lineRule="exact"/>
        <w:rPr>
          <w:sz w:val="24"/>
          <w:szCs w:val="24"/>
          <w:color w:val="auto"/>
        </w:rPr>
      </w:pPr>
    </w:p>
    <w:p>
      <w:pPr>
        <w:ind w:right="260" w:firstLine="648"/>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9" w:lineRule="exact"/>
        <w:rPr>
          <w:sz w:val="24"/>
          <w:szCs w:val="24"/>
          <w:color w:val="auto"/>
        </w:rPr>
      </w:pPr>
    </w:p>
    <w:p>
      <w:pPr>
        <w:ind w:right="100" w:firstLine="648"/>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49" w:lineRule="exact"/>
        <w:rPr>
          <w:sz w:val="24"/>
          <w:szCs w:val="24"/>
          <w:color w:val="auto"/>
        </w:rPr>
      </w:pPr>
    </w:p>
    <w:p>
      <w:pPr>
        <w:ind w:right="560" w:firstLine="648"/>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460" w:type="dxa"/>
        <w:tblCellMar>
          <w:top w:w="0" w:type="dxa"/>
          <w:left w:w="0" w:type="dxa"/>
          <w:bottom w:w="0" w:type="dxa"/>
          <w:right w:w="0" w:type="dxa"/>
        </w:tblCellMar>
      </w:tblPr>
      <w:tr>
        <w:trPr>
          <w:trHeight w:val="261"/>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4"/>
          <w:szCs w:val="24"/>
          <w:color w:val="auto"/>
        </w:rPr>
      </w:pPr>
    </w:p>
    <w:p>
      <w:pPr>
        <w:ind w:right="420" w:firstLine="648"/>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45" w:lineRule="exact"/>
        <w:rPr>
          <w:sz w:val="24"/>
          <w:szCs w:val="24"/>
          <w:color w:val="auto"/>
        </w:rPr>
      </w:pPr>
    </w:p>
    <w:p>
      <w:pPr>
        <w:ind w:left="660" w:right="480"/>
        <w:spacing w:after="0" w:line="31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number of shares of Common Stock, par value $.50 per share, outstanding as of October 23, 2026 was 139,862,589.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212529"/>
        </w:rPr>
        <w:t>Hasbro,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529"/>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529"/>
        </w:rPr>
        <w:t>For the Quarter Ended September 27,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240" w:type="dxa"/>
            <w:vAlign w:val="bottom"/>
            <w:shd w:val="clear" w:color="auto" w:fill="CCEEFF"/>
          </w:tcPr>
          <w:p>
            <w:pPr>
              <w:spacing w:after="0"/>
              <w:rPr>
                <w:sz w:val="17"/>
                <w:szCs w:val="17"/>
                <w:color w:val="auto"/>
              </w:rPr>
            </w:pPr>
          </w:p>
        </w:tc>
        <w:tc>
          <w:tcPr>
            <w:tcW w:w="81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0000FF"/>
              </w:rPr>
              <w:t>Financial Information</w:t>
            </w:r>
          </w:p>
        </w:tc>
        <w:tc>
          <w:tcPr>
            <w:tcW w:w="11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0000FF"/>
                <w:w w:val="79"/>
              </w:rPr>
              <w:t>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Item 1.</w:t>
            </w:r>
          </w:p>
        </w:tc>
        <w:tc>
          <w:tcPr>
            <w:tcW w:w="240" w:type="dxa"/>
            <w:vAlign w:val="bottom"/>
          </w:tcPr>
          <w:p>
            <w:pPr>
              <w:spacing w:after="0"/>
              <w:rPr>
                <w:sz w:val="17"/>
                <w:szCs w:val="17"/>
                <w:color w:val="auto"/>
              </w:rPr>
            </w:pPr>
          </w:p>
        </w:tc>
        <w:tc>
          <w:tcPr>
            <w:tcW w:w="1820" w:type="dxa"/>
            <w:vAlign w:val="bottom"/>
            <w:gridSpan w:val="8"/>
          </w:tcPr>
          <w:p>
            <w:pPr>
              <w:spacing w:after="0" w:line="202" w:lineRule="exact"/>
              <w:rPr>
                <w:sz w:val="20"/>
                <w:szCs w:val="20"/>
                <w:color w:val="auto"/>
              </w:rPr>
            </w:pPr>
            <w:r>
              <w:rPr>
                <w:rFonts w:ascii="Arial" w:cs="Arial" w:eastAsia="Arial" w:hAnsi="Arial"/>
                <w:sz w:val="18"/>
                <w:szCs w:val="18"/>
                <w:color w:val="0000FF"/>
              </w:rPr>
              <w:t>Financial Statements</w:t>
            </w:r>
          </w:p>
        </w:tc>
        <w:tc>
          <w:tcPr>
            <w:tcW w:w="6300" w:type="dxa"/>
            <w:vAlign w:val="bottom"/>
            <w:gridSpan w:val="13"/>
          </w:tcPr>
          <w:p>
            <w:pPr>
              <w:spacing w:after="0"/>
              <w:rPr>
                <w:sz w:val="17"/>
                <w:szCs w:val="17"/>
                <w:color w:val="auto"/>
              </w:rPr>
            </w:pPr>
          </w:p>
        </w:tc>
        <w:tc>
          <w:tcPr>
            <w:tcW w:w="1140" w:type="dxa"/>
            <w:vAlign w:val="bottom"/>
            <w:gridSpan w:val="2"/>
          </w:tcPr>
          <w:p>
            <w:pPr>
              <w:ind w:left="1040"/>
              <w:spacing w:after="0" w:line="202" w:lineRule="exact"/>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120" w:type="dxa"/>
            <w:vAlign w:val="bottom"/>
            <w:gridSpan w:val="21"/>
            <w:shd w:val="clear" w:color="auto" w:fill="CCEEFF"/>
          </w:tcPr>
          <w:p>
            <w:pPr>
              <w:ind w:left="220"/>
              <w:spacing w:after="0" w:line="202" w:lineRule="exact"/>
              <w:rPr>
                <w:sz w:val="20"/>
                <w:szCs w:val="20"/>
                <w:color w:val="auto"/>
              </w:rPr>
            </w:pPr>
            <w:r>
              <w:rPr>
                <w:rFonts w:ascii="Arial" w:cs="Arial" w:eastAsia="Arial" w:hAnsi="Arial"/>
                <w:sz w:val="18"/>
                <w:szCs w:val="18"/>
                <w:color w:val="0000FF"/>
              </w:rPr>
              <w:t>Consolidated Balance Sheets</w:t>
            </w:r>
          </w:p>
        </w:tc>
        <w:tc>
          <w:tcPr>
            <w:tcW w:w="1140" w:type="dxa"/>
            <w:vAlign w:val="bottom"/>
            <w:gridSpan w:val="2"/>
            <w:shd w:val="clear" w:color="auto" w:fill="CCEEFF"/>
          </w:tcPr>
          <w:p>
            <w:pPr>
              <w:ind w:left="1040"/>
              <w:spacing w:after="0" w:line="202" w:lineRule="exact"/>
              <w:rPr>
                <w:sz w:val="20"/>
                <w:szCs w:val="20"/>
                <w:color w:val="auto"/>
              </w:rPr>
            </w:pPr>
            <w:r>
              <w:rPr>
                <w:rFonts w:ascii="Arial" w:cs="Arial" w:eastAsia="Arial" w:hAnsi="Arial"/>
                <w:sz w:val="18"/>
                <w:szCs w:val="18"/>
                <w:color w:val="0000FF"/>
                <w:w w:val="79"/>
              </w:rPr>
              <w:t>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20" w:type="dxa"/>
            <w:vAlign w:val="bottom"/>
            <w:gridSpan w:val="21"/>
          </w:tcPr>
          <w:p>
            <w:pPr>
              <w:ind w:left="220"/>
              <w:spacing w:after="0" w:line="202" w:lineRule="exact"/>
              <w:rPr>
                <w:sz w:val="20"/>
                <w:szCs w:val="20"/>
                <w:color w:val="auto"/>
              </w:rPr>
            </w:pPr>
            <w:r>
              <w:rPr>
                <w:rFonts w:ascii="Arial" w:cs="Arial" w:eastAsia="Arial" w:hAnsi="Arial"/>
                <w:sz w:val="18"/>
                <w:szCs w:val="18"/>
                <w:color w:val="0000FF"/>
              </w:rPr>
              <w:t>Consolidated Statements of Operations</w:t>
            </w:r>
          </w:p>
        </w:tc>
        <w:tc>
          <w:tcPr>
            <w:tcW w:w="1140" w:type="dxa"/>
            <w:vAlign w:val="bottom"/>
            <w:gridSpan w:val="2"/>
          </w:tcPr>
          <w:p>
            <w:pPr>
              <w:ind w:left="1040"/>
              <w:spacing w:after="0" w:line="202" w:lineRule="exact"/>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120" w:type="dxa"/>
            <w:vAlign w:val="bottom"/>
            <w:gridSpan w:val="21"/>
            <w:shd w:val="clear" w:color="auto" w:fill="CCEEFF"/>
          </w:tcPr>
          <w:p>
            <w:pPr>
              <w:ind w:left="220"/>
              <w:spacing w:after="0" w:line="202" w:lineRule="exact"/>
              <w:rPr>
                <w:sz w:val="20"/>
                <w:szCs w:val="20"/>
                <w:color w:val="auto"/>
              </w:rPr>
            </w:pPr>
            <w:r>
              <w:rPr>
                <w:rFonts w:ascii="Arial" w:cs="Arial" w:eastAsia="Arial" w:hAnsi="Arial"/>
                <w:sz w:val="18"/>
                <w:szCs w:val="18"/>
                <w:color w:val="0000FF"/>
              </w:rPr>
              <w:t>Consolidated Statements of Comprehensive Earnings (Loss)</w:t>
            </w:r>
          </w:p>
        </w:tc>
        <w:tc>
          <w:tcPr>
            <w:tcW w:w="1140" w:type="dxa"/>
            <w:vAlign w:val="bottom"/>
            <w:gridSpan w:val="2"/>
            <w:shd w:val="clear" w:color="auto" w:fill="CCEEFF"/>
          </w:tcPr>
          <w:p>
            <w:pPr>
              <w:ind w:left="1040"/>
              <w:spacing w:after="0" w:line="202" w:lineRule="exact"/>
              <w:rPr>
                <w:sz w:val="20"/>
                <w:szCs w:val="20"/>
                <w:color w:val="auto"/>
              </w:rPr>
            </w:pPr>
            <w:r>
              <w:rPr>
                <w:rFonts w:ascii="Arial" w:cs="Arial" w:eastAsia="Arial" w:hAnsi="Arial"/>
                <w:sz w:val="18"/>
                <w:szCs w:val="18"/>
                <w:color w:val="0000FF"/>
                <w:w w:val="79"/>
              </w:rPr>
              <w:t>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20" w:type="dxa"/>
            <w:vAlign w:val="bottom"/>
            <w:gridSpan w:val="21"/>
          </w:tcPr>
          <w:p>
            <w:pPr>
              <w:ind w:left="220"/>
              <w:spacing w:after="0" w:line="202" w:lineRule="exact"/>
              <w:rPr>
                <w:sz w:val="20"/>
                <w:szCs w:val="20"/>
                <w:color w:val="auto"/>
              </w:rPr>
            </w:pPr>
            <w:r>
              <w:rPr>
                <w:rFonts w:ascii="Arial" w:cs="Arial" w:eastAsia="Arial" w:hAnsi="Arial"/>
                <w:sz w:val="18"/>
                <w:szCs w:val="18"/>
                <w:color w:val="0000FF"/>
              </w:rPr>
              <w:t>Consolidated Statements of Cash Flows</w:t>
            </w:r>
          </w:p>
        </w:tc>
        <w:tc>
          <w:tcPr>
            <w:tcW w:w="1140" w:type="dxa"/>
            <w:vAlign w:val="bottom"/>
            <w:gridSpan w:val="2"/>
          </w:tcPr>
          <w:p>
            <w:pPr>
              <w:ind w:left="1040"/>
              <w:spacing w:after="0" w:line="202" w:lineRule="exact"/>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120" w:type="dxa"/>
            <w:vAlign w:val="bottom"/>
            <w:gridSpan w:val="21"/>
            <w:shd w:val="clear" w:color="auto" w:fill="CCEEFF"/>
          </w:tcPr>
          <w:p>
            <w:pPr>
              <w:ind w:left="220"/>
              <w:spacing w:after="0" w:line="202" w:lineRule="exact"/>
              <w:rPr>
                <w:sz w:val="20"/>
                <w:szCs w:val="20"/>
                <w:color w:val="auto"/>
              </w:rPr>
            </w:pPr>
            <w:r>
              <w:rPr>
                <w:rFonts w:ascii="Arial" w:cs="Arial" w:eastAsia="Arial" w:hAnsi="Arial"/>
                <w:sz w:val="18"/>
                <w:szCs w:val="18"/>
                <w:color w:val="0000FF"/>
              </w:rPr>
              <w:t>Consolidated Statements of Shareholders' Equity</w:t>
            </w:r>
          </w:p>
        </w:tc>
        <w:tc>
          <w:tcPr>
            <w:tcW w:w="1680" w:type="dxa"/>
            <w:vAlign w:val="bottom"/>
            <w:gridSpan w:val="4"/>
            <w:shd w:val="clear" w:color="auto" w:fill="CCEEFF"/>
          </w:tcPr>
          <w:p>
            <w:pPr>
              <w:ind w:left="1040"/>
              <w:spacing w:after="0" w:line="202" w:lineRule="exact"/>
              <w:rPr>
                <w:sz w:val="20"/>
                <w:szCs w:val="20"/>
                <w:color w:val="auto"/>
              </w:rPr>
            </w:pPr>
            <w:r>
              <w:rPr>
                <w:rFonts w:ascii="Arial" w:cs="Arial" w:eastAsia="Arial" w:hAnsi="Arial"/>
                <w:sz w:val="18"/>
                <w:szCs w:val="18"/>
                <w:color w:val="0000FF"/>
              </w:rPr>
              <w:t>10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120" w:type="dxa"/>
            <w:vAlign w:val="bottom"/>
            <w:gridSpan w:val="21"/>
          </w:tcPr>
          <w:p>
            <w:pPr>
              <w:ind w:left="220"/>
              <w:spacing w:after="0"/>
              <w:rPr>
                <w:sz w:val="20"/>
                <w:szCs w:val="20"/>
                <w:color w:val="auto"/>
              </w:rPr>
            </w:pPr>
            <w:r>
              <w:rPr>
                <w:rFonts w:ascii="Arial" w:cs="Arial" w:eastAsia="Arial" w:hAnsi="Arial"/>
                <w:sz w:val="18"/>
                <w:szCs w:val="18"/>
                <w:color w:val="0000FF"/>
              </w:rPr>
              <w:t>Condensed Notes to Consolidated Financial Statements</w:t>
            </w:r>
          </w:p>
        </w:tc>
        <w:tc>
          <w:tcPr>
            <w:tcW w:w="1680" w:type="dxa"/>
            <w:vAlign w:val="bottom"/>
            <w:gridSpan w:val="4"/>
          </w:tcPr>
          <w:p>
            <w:pPr>
              <w:ind w:left="1040"/>
              <w:spacing w:after="0"/>
              <w:rPr>
                <w:sz w:val="20"/>
                <w:szCs w:val="20"/>
                <w:color w:val="auto"/>
              </w:rPr>
            </w:pPr>
            <w:r>
              <w:rPr>
                <w:rFonts w:ascii="Arial" w:cs="Arial" w:eastAsia="Arial" w:hAnsi="Arial"/>
                <w:sz w:val="18"/>
                <w:szCs w:val="18"/>
                <w:color w:val="0000FF"/>
              </w:rPr>
              <w:t>12</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2.</w:t>
            </w:r>
          </w:p>
        </w:tc>
        <w:tc>
          <w:tcPr>
            <w:tcW w:w="240" w:type="dxa"/>
            <w:vAlign w:val="bottom"/>
            <w:shd w:val="clear" w:color="auto" w:fill="CCEEFF"/>
          </w:tcPr>
          <w:p>
            <w:pPr>
              <w:spacing w:after="0"/>
              <w:rPr>
                <w:sz w:val="17"/>
                <w:szCs w:val="17"/>
                <w:color w:val="auto"/>
              </w:rPr>
            </w:pPr>
          </w:p>
        </w:tc>
        <w:tc>
          <w:tcPr>
            <w:tcW w:w="708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04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ind w:left="1040"/>
              <w:spacing w:after="0" w:line="202" w:lineRule="exact"/>
              <w:rPr>
                <w:sz w:val="20"/>
                <w:szCs w:val="20"/>
                <w:color w:val="auto"/>
              </w:rPr>
            </w:pPr>
            <w:r>
              <w:rPr>
                <w:rFonts w:ascii="Arial" w:cs="Arial" w:eastAsia="Arial" w:hAnsi="Arial"/>
                <w:sz w:val="18"/>
                <w:szCs w:val="18"/>
                <w:color w:val="0000FF"/>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4"/>
                <w:szCs w:val="24"/>
                <w:color w:val="auto"/>
              </w:rPr>
            </w:pPr>
          </w:p>
        </w:tc>
        <w:tc>
          <w:tcPr>
            <w:tcW w:w="4720" w:type="dxa"/>
            <w:vAlign w:val="bottom"/>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gridSpan w:val="4"/>
          </w:tcPr>
          <w:p>
            <w:pPr>
              <w:ind w:left="1040"/>
              <w:spacing w:after="0"/>
              <w:rPr>
                <w:sz w:val="20"/>
                <w:szCs w:val="20"/>
                <w:color w:val="auto"/>
              </w:rPr>
            </w:pPr>
            <w:r>
              <w:rPr>
                <w:rFonts w:ascii="Arial" w:cs="Arial" w:eastAsia="Arial" w:hAnsi="Arial"/>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Item 4.</w:t>
            </w:r>
          </w:p>
        </w:tc>
        <w:tc>
          <w:tcPr>
            <w:tcW w:w="240" w:type="dxa"/>
            <w:vAlign w:val="bottom"/>
            <w:shd w:val="clear" w:color="auto" w:fill="CCEEFF"/>
          </w:tcPr>
          <w:p>
            <w:pPr>
              <w:spacing w:after="0"/>
              <w:rPr>
                <w:sz w:val="18"/>
                <w:szCs w:val="18"/>
                <w:color w:val="auto"/>
              </w:rPr>
            </w:pPr>
          </w:p>
        </w:tc>
        <w:tc>
          <w:tcPr>
            <w:tcW w:w="2000" w:type="dxa"/>
            <w:vAlign w:val="bottom"/>
            <w:gridSpan w:val="10"/>
            <w:shd w:val="clear" w:color="auto" w:fill="CCEEFF"/>
          </w:tcPr>
          <w:p>
            <w:pPr>
              <w:spacing w:after="0"/>
              <w:rPr>
                <w:sz w:val="20"/>
                <w:szCs w:val="20"/>
                <w:color w:val="auto"/>
              </w:rPr>
            </w:pPr>
            <w:r>
              <w:rPr>
                <w:rFonts w:ascii="Arial" w:cs="Arial" w:eastAsia="Arial" w:hAnsi="Arial"/>
                <w:sz w:val="18"/>
                <w:szCs w:val="18"/>
                <w:color w:val="0000FF"/>
                <w:w w:val="99"/>
              </w:rPr>
              <w:t>Controls and Procedures</w:t>
            </w:r>
          </w:p>
        </w:tc>
        <w:tc>
          <w:tcPr>
            <w:tcW w:w="2720" w:type="dxa"/>
            <w:vAlign w:val="bottom"/>
            <w:gridSpan w:val="7"/>
            <w:shd w:val="clear" w:color="auto" w:fill="CCEEFF"/>
          </w:tcPr>
          <w:p>
            <w:pPr>
              <w:spacing w:after="0"/>
              <w:rPr>
                <w:sz w:val="18"/>
                <w:szCs w:val="18"/>
                <w:color w:val="auto"/>
              </w:rPr>
            </w:pPr>
          </w:p>
        </w:tc>
        <w:tc>
          <w:tcPr>
            <w:tcW w:w="3400" w:type="dxa"/>
            <w:vAlign w:val="bottom"/>
            <w:gridSpan w:val="4"/>
            <w:shd w:val="clear" w:color="auto" w:fill="CCEEFF"/>
          </w:tcPr>
          <w:p>
            <w:pPr>
              <w:spacing w:after="0"/>
              <w:rPr>
                <w:sz w:val="18"/>
                <w:szCs w:val="18"/>
                <w:color w:val="auto"/>
              </w:rPr>
            </w:pPr>
          </w:p>
        </w:tc>
        <w:tc>
          <w:tcPr>
            <w:tcW w:w="1680" w:type="dxa"/>
            <w:vAlign w:val="bottom"/>
            <w:gridSpan w:val="4"/>
            <w:shd w:val="clear" w:color="auto" w:fill="CCEEFF"/>
          </w:tcPr>
          <w:p>
            <w:pPr>
              <w:ind w:left="1040"/>
              <w:spacing w:after="0"/>
              <w:rPr>
                <w:sz w:val="20"/>
                <w:szCs w:val="20"/>
                <w:color w:val="auto"/>
              </w:rPr>
            </w:pPr>
            <w:r>
              <w:rPr>
                <w:rFonts w:ascii="Arial" w:cs="Arial" w:eastAsia="Arial" w:hAnsi="Arial"/>
                <w:sz w:val="18"/>
                <w:szCs w:val="18"/>
                <w:color w:val="0000FF"/>
              </w:rPr>
              <w:t>48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Part II</w:t>
            </w:r>
          </w:p>
        </w:tc>
        <w:tc>
          <w:tcPr>
            <w:tcW w:w="240" w:type="dxa"/>
            <w:vAlign w:val="bottom"/>
          </w:tcPr>
          <w:p>
            <w:pPr>
              <w:spacing w:after="0"/>
              <w:rPr>
                <w:sz w:val="17"/>
                <w:szCs w:val="17"/>
                <w:color w:val="auto"/>
              </w:rPr>
            </w:pPr>
          </w:p>
        </w:tc>
        <w:tc>
          <w:tcPr>
            <w:tcW w:w="2000" w:type="dxa"/>
            <w:vAlign w:val="bottom"/>
            <w:gridSpan w:val="10"/>
          </w:tcPr>
          <w:p>
            <w:pPr>
              <w:spacing w:after="0" w:line="202" w:lineRule="exact"/>
              <w:rPr>
                <w:sz w:val="20"/>
                <w:szCs w:val="20"/>
                <w:color w:val="auto"/>
              </w:rPr>
            </w:pPr>
            <w:r>
              <w:rPr>
                <w:rFonts w:ascii="Arial" w:cs="Arial" w:eastAsia="Arial" w:hAnsi="Arial"/>
                <w:sz w:val="18"/>
                <w:szCs w:val="18"/>
                <w:b w:val="1"/>
                <w:bCs w:val="1"/>
                <w:color w:val="0000FF"/>
              </w:rPr>
              <w:t>Other Information</w:t>
            </w:r>
          </w:p>
        </w:tc>
        <w:tc>
          <w:tcPr>
            <w:tcW w:w="6120" w:type="dxa"/>
            <w:vAlign w:val="bottom"/>
            <w:gridSpan w:val="11"/>
          </w:tcPr>
          <w:p>
            <w:pPr>
              <w:spacing w:after="0"/>
              <w:rPr>
                <w:sz w:val="17"/>
                <w:szCs w:val="17"/>
                <w:color w:val="auto"/>
              </w:rPr>
            </w:pPr>
          </w:p>
        </w:tc>
        <w:tc>
          <w:tcPr>
            <w:tcW w:w="1680" w:type="dxa"/>
            <w:vAlign w:val="bottom"/>
            <w:gridSpan w:val="4"/>
          </w:tcPr>
          <w:p>
            <w:pPr>
              <w:ind w:left="1040"/>
              <w:spacing w:after="0" w:line="202" w:lineRule="exact"/>
              <w:rPr>
                <w:sz w:val="20"/>
                <w:szCs w:val="20"/>
                <w:color w:val="auto"/>
              </w:rPr>
            </w:pPr>
            <w:r>
              <w:rPr>
                <w:rFonts w:ascii="Arial" w:cs="Arial" w:eastAsia="Arial" w:hAnsi="Arial"/>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1.</w:t>
            </w:r>
          </w:p>
        </w:tc>
        <w:tc>
          <w:tcPr>
            <w:tcW w:w="240" w:type="dxa"/>
            <w:vAlign w:val="bottom"/>
            <w:shd w:val="clear" w:color="auto" w:fill="CCEEFF"/>
          </w:tcPr>
          <w:p>
            <w:pPr>
              <w:spacing w:after="0"/>
              <w:rPr>
                <w:sz w:val="17"/>
                <w:szCs w:val="17"/>
                <w:color w:val="auto"/>
              </w:rPr>
            </w:pPr>
          </w:p>
        </w:tc>
        <w:tc>
          <w:tcPr>
            <w:tcW w:w="15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FF"/>
                <w:w w:val="99"/>
              </w:rPr>
              <w:t>Legal Proceedings</w:t>
            </w:r>
          </w:p>
        </w:tc>
        <w:tc>
          <w:tcPr>
            <w:tcW w:w="6620" w:type="dxa"/>
            <w:vAlign w:val="bottom"/>
            <w:gridSpan w:val="16"/>
            <w:shd w:val="clear" w:color="auto" w:fill="CCEEFF"/>
          </w:tcPr>
          <w:p>
            <w:pPr>
              <w:spacing w:after="0"/>
              <w:rPr>
                <w:sz w:val="17"/>
                <w:szCs w:val="17"/>
                <w:color w:val="auto"/>
              </w:rPr>
            </w:pPr>
          </w:p>
        </w:tc>
        <w:tc>
          <w:tcPr>
            <w:tcW w:w="1680" w:type="dxa"/>
            <w:vAlign w:val="bottom"/>
            <w:gridSpan w:val="4"/>
            <w:shd w:val="clear" w:color="auto" w:fill="CCEEFF"/>
          </w:tcPr>
          <w:p>
            <w:pPr>
              <w:ind w:left="1040"/>
              <w:spacing w:after="0" w:line="202" w:lineRule="exact"/>
              <w:rPr>
                <w:sz w:val="20"/>
                <w:szCs w:val="20"/>
                <w:color w:val="auto"/>
              </w:rPr>
            </w:pPr>
            <w:r>
              <w:rPr>
                <w:rFonts w:ascii="Arial" w:cs="Arial" w:eastAsia="Arial" w:hAnsi="Arial"/>
                <w:sz w:val="18"/>
                <w:szCs w:val="18"/>
                <w:color w:val="0000FF"/>
              </w:rPr>
              <w:t>49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17"/>
                <w:szCs w:val="17"/>
                <w:color w:val="auto"/>
              </w:rPr>
            </w:pPr>
          </w:p>
        </w:tc>
        <w:tc>
          <w:tcPr>
            <w:tcW w:w="1500" w:type="dxa"/>
            <w:vAlign w:val="bottom"/>
            <w:gridSpan w:val="5"/>
          </w:tcPr>
          <w:p>
            <w:pPr>
              <w:spacing w:after="0" w:line="202" w:lineRule="exact"/>
              <w:rPr>
                <w:sz w:val="20"/>
                <w:szCs w:val="20"/>
                <w:color w:val="auto"/>
              </w:rPr>
            </w:pPr>
            <w:r>
              <w:rPr>
                <w:rFonts w:ascii="Arial" w:cs="Arial" w:eastAsia="Arial" w:hAnsi="Arial"/>
                <w:sz w:val="18"/>
                <w:szCs w:val="18"/>
                <w:color w:val="0000FF"/>
              </w:rPr>
              <w:t>Risk Factors</w:t>
            </w:r>
          </w:p>
        </w:tc>
        <w:tc>
          <w:tcPr>
            <w:tcW w:w="6620" w:type="dxa"/>
            <w:vAlign w:val="bottom"/>
            <w:gridSpan w:val="16"/>
          </w:tcPr>
          <w:p>
            <w:pPr>
              <w:spacing w:after="0"/>
              <w:rPr>
                <w:sz w:val="17"/>
                <w:szCs w:val="17"/>
                <w:color w:val="auto"/>
              </w:rPr>
            </w:pPr>
          </w:p>
        </w:tc>
        <w:tc>
          <w:tcPr>
            <w:tcW w:w="1680" w:type="dxa"/>
            <w:vAlign w:val="bottom"/>
            <w:gridSpan w:val="4"/>
          </w:tcPr>
          <w:p>
            <w:pPr>
              <w:ind w:left="1040"/>
              <w:spacing w:after="0" w:line="202" w:lineRule="exact"/>
              <w:rPr>
                <w:sz w:val="20"/>
                <w:szCs w:val="20"/>
                <w:color w:val="auto"/>
              </w:rPr>
            </w:pPr>
            <w:r>
              <w:rPr>
                <w:rFonts w:ascii="Arial" w:cs="Arial" w:eastAsia="Arial" w:hAnsi="Arial"/>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2.</w:t>
            </w:r>
          </w:p>
        </w:tc>
        <w:tc>
          <w:tcPr>
            <w:tcW w:w="240" w:type="dxa"/>
            <w:vAlign w:val="bottom"/>
            <w:shd w:val="clear" w:color="auto" w:fill="CCEEFF"/>
          </w:tcPr>
          <w:p>
            <w:pPr>
              <w:spacing w:after="0"/>
              <w:rPr>
                <w:sz w:val="17"/>
                <w:szCs w:val="17"/>
                <w:color w:val="auto"/>
              </w:rPr>
            </w:pPr>
          </w:p>
        </w:tc>
        <w:tc>
          <w:tcPr>
            <w:tcW w:w="486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260" w:type="dxa"/>
            <w:vAlign w:val="bottom"/>
            <w:gridSpan w:val="3"/>
            <w:shd w:val="clear" w:color="auto" w:fill="CCEEFF"/>
          </w:tcPr>
          <w:p>
            <w:pPr>
              <w:spacing w:after="0"/>
              <w:rPr>
                <w:sz w:val="17"/>
                <w:szCs w:val="17"/>
                <w:color w:val="auto"/>
              </w:rPr>
            </w:pPr>
          </w:p>
        </w:tc>
        <w:tc>
          <w:tcPr>
            <w:tcW w:w="1680" w:type="dxa"/>
            <w:vAlign w:val="bottom"/>
            <w:gridSpan w:val="4"/>
            <w:shd w:val="clear" w:color="auto" w:fill="CCEEFF"/>
          </w:tcPr>
          <w:p>
            <w:pPr>
              <w:ind w:left="1040"/>
              <w:spacing w:after="0" w:line="202" w:lineRule="exact"/>
              <w:rPr>
                <w:sz w:val="20"/>
                <w:szCs w:val="20"/>
                <w:color w:val="auto"/>
              </w:rPr>
            </w:pPr>
            <w:r>
              <w:rPr>
                <w:rFonts w:ascii="Arial" w:cs="Arial" w:eastAsia="Arial" w:hAnsi="Arial"/>
                <w:sz w:val="18"/>
                <w:szCs w:val="18"/>
                <w:color w:val="0000FF"/>
              </w:rPr>
              <w:t>50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Item 3.</w:t>
            </w:r>
          </w:p>
        </w:tc>
        <w:tc>
          <w:tcPr>
            <w:tcW w:w="240" w:type="dxa"/>
            <w:vAlign w:val="bottom"/>
          </w:tcPr>
          <w:p>
            <w:pPr>
              <w:spacing w:after="0"/>
              <w:rPr>
                <w:sz w:val="17"/>
                <w:szCs w:val="17"/>
                <w:color w:val="auto"/>
              </w:rPr>
            </w:pPr>
          </w:p>
        </w:tc>
        <w:tc>
          <w:tcPr>
            <w:tcW w:w="4860" w:type="dxa"/>
            <w:vAlign w:val="bottom"/>
            <w:gridSpan w:val="18"/>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3260" w:type="dxa"/>
            <w:vAlign w:val="bottom"/>
            <w:gridSpan w:val="3"/>
          </w:tcPr>
          <w:p>
            <w:pPr>
              <w:spacing w:after="0"/>
              <w:rPr>
                <w:sz w:val="17"/>
                <w:szCs w:val="17"/>
                <w:color w:val="auto"/>
              </w:rPr>
            </w:pPr>
          </w:p>
        </w:tc>
        <w:tc>
          <w:tcPr>
            <w:tcW w:w="1680" w:type="dxa"/>
            <w:vAlign w:val="bottom"/>
            <w:gridSpan w:val="4"/>
          </w:tcPr>
          <w:p>
            <w:pPr>
              <w:ind w:left="1040"/>
              <w:spacing w:after="0" w:line="202" w:lineRule="exact"/>
              <w:rPr>
                <w:sz w:val="20"/>
                <w:szCs w:val="20"/>
                <w:color w:val="auto"/>
              </w:rPr>
            </w:pPr>
            <w:r>
              <w:rPr>
                <w:rFonts w:ascii="Arial" w:cs="Arial" w:eastAsia="Arial" w:hAnsi="Arial"/>
                <w:sz w:val="18"/>
                <w:szCs w:val="18"/>
                <w:color w:val="0000FF"/>
              </w:rPr>
              <w:t>50</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4.</w:t>
            </w:r>
          </w:p>
        </w:tc>
        <w:tc>
          <w:tcPr>
            <w:tcW w:w="240" w:type="dxa"/>
            <w:vAlign w:val="bottom"/>
            <w:shd w:val="clear" w:color="auto" w:fill="CCEEFF"/>
          </w:tcPr>
          <w:p>
            <w:pPr>
              <w:spacing w:after="0"/>
              <w:rPr>
                <w:sz w:val="17"/>
                <w:szCs w:val="17"/>
                <w:color w:val="auto"/>
              </w:rPr>
            </w:pPr>
          </w:p>
        </w:tc>
        <w:tc>
          <w:tcPr>
            <w:tcW w:w="194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color w:val="0000FF"/>
                <w:w w:val="99"/>
              </w:rPr>
              <w:t>Mine Safety Disclosures</w:t>
            </w:r>
          </w:p>
        </w:tc>
        <w:tc>
          <w:tcPr>
            <w:tcW w:w="6180" w:type="dxa"/>
            <w:vAlign w:val="bottom"/>
            <w:gridSpan w:val="12"/>
            <w:shd w:val="clear" w:color="auto" w:fill="CCEEFF"/>
          </w:tcPr>
          <w:p>
            <w:pPr>
              <w:spacing w:after="0"/>
              <w:rPr>
                <w:sz w:val="17"/>
                <w:szCs w:val="17"/>
                <w:color w:val="auto"/>
              </w:rPr>
            </w:pPr>
          </w:p>
        </w:tc>
        <w:tc>
          <w:tcPr>
            <w:tcW w:w="1680" w:type="dxa"/>
            <w:vAlign w:val="bottom"/>
            <w:gridSpan w:val="4"/>
            <w:shd w:val="clear" w:color="auto" w:fill="CCEEFF"/>
          </w:tcPr>
          <w:p>
            <w:pPr>
              <w:ind w:left="1040"/>
              <w:spacing w:after="0" w:line="202" w:lineRule="exact"/>
              <w:rPr>
                <w:sz w:val="20"/>
                <w:szCs w:val="20"/>
                <w:color w:val="auto"/>
              </w:rPr>
            </w:pPr>
            <w:r>
              <w:rPr>
                <w:rFonts w:ascii="Arial" w:cs="Arial" w:eastAsia="Arial" w:hAnsi="Arial"/>
                <w:sz w:val="18"/>
                <w:szCs w:val="18"/>
                <w:color w:val="0000FF"/>
              </w:rPr>
              <w:t>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Item 5.</w:t>
            </w:r>
          </w:p>
        </w:tc>
        <w:tc>
          <w:tcPr>
            <w:tcW w:w="240" w:type="dxa"/>
            <w:vAlign w:val="bottom"/>
          </w:tcPr>
          <w:p>
            <w:pPr>
              <w:spacing w:after="0"/>
              <w:rPr>
                <w:sz w:val="17"/>
                <w:szCs w:val="17"/>
                <w:color w:val="auto"/>
              </w:rPr>
            </w:pPr>
          </w:p>
        </w:tc>
        <w:tc>
          <w:tcPr>
            <w:tcW w:w="1940" w:type="dxa"/>
            <w:vAlign w:val="bottom"/>
            <w:gridSpan w:val="9"/>
          </w:tcPr>
          <w:p>
            <w:pPr>
              <w:spacing w:after="0" w:line="202" w:lineRule="exact"/>
              <w:rPr>
                <w:sz w:val="20"/>
                <w:szCs w:val="20"/>
                <w:color w:val="auto"/>
              </w:rPr>
            </w:pPr>
            <w:r>
              <w:rPr>
                <w:rFonts w:ascii="Arial" w:cs="Arial" w:eastAsia="Arial" w:hAnsi="Arial"/>
                <w:sz w:val="18"/>
                <w:szCs w:val="18"/>
                <w:color w:val="0000FF"/>
              </w:rPr>
              <w:t>Other Information</w:t>
            </w:r>
          </w:p>
        </w:tc>
        <w:tc>
          <w:tcPr>
            <w:tcW w:w="6180" w:type="dxa"/>
            <w:vAlign w:val="bottom"/>
            <w:gridSpan w:val="12"/>
          </w:tcPr>
          <w:p>
            <w:pPr>
              <w:spacing w:after="0"/>
              <w:rPr>
                <w:sz w:val="17"/>
                <w:szCs w:val="17"/>
                <w:color w:val="auto"/>
              </w:rPr>
            </w:pPr>
          </w:p>
        </w:tc>
        <w:tc>
          <w:tcPr>
            <w:tcW w:w="1680" w:type="dxa"/>
            <w:vAlign w:val="bottom"/>
            <w:gridSpan w:val="4"/>
          </w:tcPr>
          <w:p>
            <w:pPr>
              <w:ind w:left="1040"/>
              <w:spacing w:after="0" w:line="202" w:lineRule="exact"/>
              <w:rPr>
                <w:sz w:val="20"/>
                <w:szCs w:val="20"/>
                <w:color w:val="auto"/>
              </w:rPr>
            </w:pPr>
            <w:r>
              <w:rPr>
                <w:rFonts w:ascii="Arial" w:cs="Arial" w:eastAsia="Arial" w:hAnsi="Arial"/>
                <w:sz w:val="18"/>
                <w:szCs w:val="18"/>
                <w:color w:val="0000FF"/>
              </w:rPr>
              <w:t>51</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6.</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w w:val="98"/>
              </w:rPr>
              <w:t>Exhibits</w:t>
            </w:r>
          </w:p>
        </w:tc>
        <w:tc>
          <w:tcPr>
            <w:tcW w:w="7480" w:type="dxa"/>
            <w:vAlign w:val="bottom"/>
            <w:gridSpan w:val="19"/>
            <w:shd w:val="clear" w:color="auto" w:fill="CCEEFF"/>
          </w:tcPr>
          <w:p>
            <w:pPr>
              <w:spacing w:after="0"/>
              <w:rPr>
                <w:sz w:val="17"/>
                <w:szCs w:val="17"/>
                <w:color w:val="auto"/>
              </w:rPr>
            </w:pPr>
          </w:p>
        </w:tc>
        <w:tc>
          <w:tcPr>
            <w:tcW w:w="1680" w:type="dxa"/>
            <w:vAlign w:val="bottom"/>
            <w:gridSpan w:val="4"/>
            <w:shd w:val="clear" w:color="auto" w:fill="CCEEFF"/>
          </w:tcPr>
          <w:p>
            <w:pPr>
              <w:ind w:left="1040"/>
              <w:spacing w:after="0" w:line="202" w:lineRule="exact"/>
              <w:rPr>
                <w:sz w:val="20"/>
                <w:szCs w:val="20"/>
                <w:color w:val="auto"/>
              </w:rPr>
            </w:pPr>
            <w:r>
              <w:rPr>
                <w:rFonts w:ascii="Arial" w:cs="Arial" w:eastAsia="Arial" w:hAnsi="Arial"/>
                <w:sz w:val="18"/>
                <w:szCs w:val="18"/>
                <w:color w:val="0000FF"/>
              </w:rPr>
              <w:t>52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2"/>
          </w:tcPr>
          <w:p>
            <w:pPr>
              <w:spacing w:after="0" w:line="202" w:lineRule="exact"/>
              <w:rPr>
                <w:sz w:val="20"/>
                <w:szCs w:val="20"/>
                <w:color w:val="auto"/>
              </w:rPr>
            </w:pPr>
            <w:r>
              <w:rPr>
                <w:rFonts w:ascii="Arial" w:cs="Arial" w:eastAsia="Arial" w:hAnsi="Arial"/>
                <w:sz w:val="18"/>
                <w:szCs w:val="18"/>
                <w:b w:val="1"/>
                <w:bCs w:val="1"/>
                <w:color w:val="0000FF"/>
              </w:rPr>
              <w:t>Signatures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gridSpan w:val="4"/>
          </w:tcPr>
          <w:p>
            <w:pPr>
              <w:ind w:left="1040"/>
              <w:spacing w:after="0" w:line="202" w:lineRule="exact"/>
              <w:rPr>
                <w:sz w:val="20"/>
                <w:szCs w:val="20"/>
                <w:color w:val="auto"/>
              </w:rPr>
            </w:pPr>
            <w:r>
              <w:rPr>
                <w:rFonts w:ascii="Arial" w:cs="Arial" w:eastAsia="Arial" w:hAnsi="Arial"/>
                <w:sz w:val="18"/>
                <w:szCs w:val="18"/>
                <w:color w:val="0000FF"/>
              </w:rPr>
              <w:t>53</w:t>
            </w:r>
          </w:p>
        </w:tc>
      </w:tr>
      <w:tr>
        <w:trPr>
          <w:trHeight w:val="888"/>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gridSpan w:val="17"/>
          </w:tcPr>
          <w:p>
            <w:pPr>
              <w:jc w:val="right"/>
              <w:ind w:right="4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and share repurchases; expected impact of tariffs, and the amount, timing and recoverability of tariff refunds; anticipated impact of moving our Rhode Island operations to Boston, Massachusetts; expectations relating to the impact of unauthorized access to the Company’s network, including on our financial condition and results of operations, findings from our investigation into the unauthorized</w:t>
      </w:r>
    </w:p>
    <w:p>
      <w:pPr>
        <w:spacing w:after="0" w:line="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access, the effectiveness of our containment and remediation efforts, costs and expenses and any insurance recoveries; expected impact of newly issued accounting pronouncements and tax legislation; pending legal proceedings; the anticipated impact of new or proposed laws</w:t>
      </w:r>
    </w:p>
    <w:p>
      <w:pPr>
        <w:spacing w:after="0" w:line="2"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color w:val="auto"/>
        </w:rPr>
        <w:t>and regulations, including those governing artificial intelligence and children's privacy and safety; financial targets; and expectations for our future performance. Our actual actions or results may differ materially from those expected or anticipated in the forward-looking statements due to both known and unknown risks and uncertainties.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such a difference include, but are not limited to:</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and execute on our "Playing to Win" business strategy;</w:t>
      </w:r>
    </w:p>
    <w:p>
      <w:pPr>
        <w:spacing w:after="0" w:line="117"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play industry and further develop our digital gaming, licensing and consumer products businesses and partnerships;</w:t>
      </w:r>
    </w:p>
    <w:p>
      <w:pPr>
        <w:spacing w:after="0" w:line="44"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ability to continually introduce new and innovative products that are accepted by consumers, particularly for brands such as </w:t>
      </w:r>
      <w:r>
        <w:rPr>
          <w:rFonts w:ascii="Arial" w:cs="Arial" w:eastAsia="Arial" w:hAnsi="Arial"/>
          <w:sz w:val="18"/>
          <w:szCs w:val="18"/>
          <w:i w:val="1"/>
          <w:iCs w:val="1"/>
          <w:color w:val="auto"/>
        </w:rPr>
        <w:t xml:space="preserve">Magic: The Gathering </w:t>
      </w:r>
      <w:r>
        <w:rPr>
          <w:rFonts w:ascii="Arial" w:cs="Arial" w:eastAsia="Arial" w:hAnsi="Arial"/>
          <w:sz w:val="18"/>
          <w:szCs w:val="18"/>
          <w:color w:val="auto"/>
        </w:rPr>
        <w:t>in which we have seen an increasing concentration of our sales and profits;</w:t>
      </w:r>
    </w:p>
    <w:p>
      <w:pPr>
        <w:spacing w:after="0" w:line="44"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imposition, threat, or uncertainty of tariffs in markets in which we operate; imposition of tariffs could increase our product costs and other costs of doing business, result in higher prices of our products, impact consumer spending, lower our revenues, result in delays or reductions in purchases from our customers, result in goodwill impairments, reduce earnings and otherwise have an adverse impact on our business;</w:t>
      </w:r>
    </w:p>
    <w:p>
      <w:pPr>
        <w:spacing w:after="0" w:line="68"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relating to the recovery of previously paid International Emergency Economic Powers Act ("IEEPA") tariffs, including the amount and timing of refunds, and the risk that refunds we have recognized or expect to receive are delayed, reduced or not received;</w:t>
      </w:r>
    </w:p>
    <w:p>
      <w:pPr>
        <w:spacing w:after="0" w:line="21" w:lineRule="exact"/>
        <w:rPr>
          <w:rFonts w:ascii="Arial" w:cs="Arial" w:eastAsia="Arial" w:hAnsi="Arial"/>
          <w:sz w:val="17"/>
          <w:szCs w:val="17"/>
          <w:color w:val="auto"/>
        </w:rPr>
      </w:pPr>
    </w:p>
    <w:p>
      <w:pPr>
        <w:jc w:val="both"/>
        <w:ind w:left="660" w:right="260" w:hanging="328"/>
        <w:spacing w:after="0" w:line="282"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international operations, such as: conflict in territories in which we operate or which affect areas in which we operate such as the recent conflict with Iran, which could impact, among other things, shipping timing, oil prices and other product and raw material costs and consumer spending; currency conversion; currency fluctuations; quotas; shipping delays or difficulties; border adjustment taxes, tariffs or other protectionist measures; and other factors impacting the territories in which we operate;</w:t>
      </w:r>
    </w:p>
    <w:p>
      <w:pPr>
        <w:spacing w:after="0" w:line="53" w:lineRule="exact"/>
        <w:rPr>
          <w:rFonts w:ascii="Arial" w:cs="Arial" w:eastAsia="Arial" w:hAnsi="Arial"/>
          <w:sz w:val="17"/>
          <w:szCs w:val="17"/>
          <w:color w:val="auto"/>
        </w:rPr>
      </w:pPr>
    </w:p>
    <w:p>
      <w:pPr>
        <w:ind w:left="660" w:right="2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or disruption to our business affecting our ability to protect our assets and intellectual property, including as a result of infringement, theft, misappropriation, cyber-attacks, the unauthorized use of our intellectual property to develop or train artificial intelligence models, or other acts compromising the integrity of our assets or intellectual property or systems, as well as risks relating to the ownership and enforceability of rights in content developed with the assistance of artificial intelligence;</w:t>
      </w:r>
    </w:p>
    <w:p>
      <w:pPr>
        <w:spacing w:after="0" w:line="68" w:lineRule="exact"/>
        <w:rPr>
          <w:rFonts w:ascii="Arial" w:cs="Arial" w:eastAsia="Arial" w:hAnsi="Arial"/>
          <w:sz w:val="18"/>
          <w:szCs w:val="18"/>
          <w:color w:val="auto"/>
        </w:rPr>
      </w:pPr>
    </w:p>
    <w:p>
      <w:pPr>
        <w:ind w:left="660" w:right="28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unauthorized access to our network we recently experienced, including the duration and magnitude of operational disruption; the effectiveness of our response; the impact of such unauthorized access on our business, operations, financial results, and financial reporting; and any further business disruptions from such unauthorized access and increased costs relating to such unauthorized access, including from any legal proceedings;</w:t>
      </w:r>
    </w:p>
    <w:p>
      <w:pPr>
        <w:spacing w:after="0" w:line="68"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political, economic and public health conditions or regulatory changes in the markets in which we and our employees, customers, partners, licensees, suppliers and manufacturers operate, such as inflation, fluctuating interest rates, tariffs, higher commodity prices, unionization,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spacing w:after="0" w:line="71" w:lineRule="exact"/>
        <w:rPr>
          <w:rFonts w:ascii="Arial" w:cs="Arial" w:eastAsia="Arial" w:hAnsi="Arial"/>
          <w:sz w:val="18"/>
          <w:szCs w:val="18"/>
          <w:color w:val="auto"/>
        </w:rPr>
      </w:pPr>
    </w:p>
    <w:p>
      <w:pPr>
        <w:ind w:left="660" w:righ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 and unpredictable global and regional economic conditions impacting one or more of the markets in which we sell products, which can result in higher prices for our products or consumer necessities and can otherwise negatively impact our customers and consumers, result in lower employment levels,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consumer discretionary income, retailer inventories and spending, including lower spending on purchases of our products;</w:t>
      </w:r>
    </w:p>
    <w:p>
      <w:pPr>
        <w:spacing w:after="0" w:line="117" w:lineRule="exact"/>
        <w:rPr>
          <w:sz w:val="20"/>
          <w:szCs w:val="20"/>
          <w:color w:val="auto"/>
        </w:rPr>
      </w:pPr>
    </w:p>
    <w:p>
      <w:pPr>
        <w:ind w:left="660" w:right="8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transform our business and capabilities to address the changing global consumer landscape, including evolving demographics for our products and advancements in emerging technologies, such as the integration of artificial intelligence into our product development, marketing strategies, and consumer engagement, and the associated risks such as evolving regulatory standards, implementation challenges, and third-party dependencies on such technologies;</w:t>
      </w:r>
    </w:p>
    <w:p>
      <w:pPr>
        <w:spacing w:after="0" w:line="68"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new and evolving laws and regulations governing artificial intelligence, children’s privacy and online safety, including state legislation specifically regulating artificial intelligence features in products marketed to or used by children, which may require pre-market assessments, restrict data collection or product functionality, impose civil penalties or product recalls, vary across jurisdictions, increase our compliance costs, delay or prevent product launches or limit the features we are able to offer;</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design, develop, manufacture, and ship products on a timely, cost-effective and profitable basis;</w:t>
      </w:r>
    </w:p>
    <w:p>
      <w:pPr>
        <w:spacing w:after="0" w:line="117"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44"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relationships, including with third-party partners, manufacturers, distributors, studios, content producers, licensors, licensees, and outsourcers, which creates reliance on others and loss of control;</w:t>
      </w:r>
    </w:p>
    <w:p>
      <w:pPr>
        <w:spacing w:after="0" w:line="44" w:lineRule="exact"/>
        <w:rPr>
          <w:rFonts w:ascii="Arial" w:cs="Arial" w:eastAsia="Arial" w:hAnsi="Arial"/>
          <w:sz w:val="18"/>
          <w:szCs w:val="18"/>
          <w:color w:val="auto"/>
        </w:rPr>
      </w:pPr>
    </w:p>
    <w:p>
      <w:pPr>
        <w:ind w:left="660" w:right="30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concentration of manufacturing for many of our products in the People’s Republic of China, which include the risks associated with increased tariffs imposed on trade between China and the U.S., and our ability to successfully diversify sourcing of our products to reduce reliance on sources of supply in China;</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talented and diverse employees;</w:t>
      </w:r>
    </w:p>
    <w:p>
      <w:pPr>
        <w:spacing w:after="0" w:line="117" w:lineRule="exact"/>
        <w:rPr>
          <w:rFonts w:ascii="Arial" w:cs="Arial" w:eastAsia="Arial" w:hAnsi="Arial"/>
          <w:sz w:val="18"/>
          <w:szCs w:val="18"/>
          <w:color w:val="auto"/>
        </w:rPr>
      </w:pPr>
    </w:p>
    <w:p>
      <w:pPr>
        <w:jc w:val="both"/>
        <w:ind w:left="660" w:right="18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could be adversely affected by challenges and disruptions arising from the loss of skills, knowledge or expertise, and from uncertainty regarding the continued employment of key personnel, particularly as a result of recent workforce reductions and the planned relocation of our Rhode Island operations to Boston, Massachusetts;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of cost-savings and efficiency and/or revenue and operating profit enhancing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impairment and/or write-offs related to businesses, products and/or content we acquire, develop and/or produce;</w:t>
      </w:r>
    </w:p>
    <w:p>
      <w:pPr>
        <w:spacing w:after="0" w:line="117"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acquisitions, dispositions and other investments we complete may not provide us with the benefits we expect, or the realization of such benefits may be significantly delayed or reduced;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business due to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product recalls or product liability suits and costs associated with product safety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litigation or arbitration decisions or settlement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bankruptcy or other lack of success of one or more of our significant retailers, licensees and other partners; and</w:t>
      </w:r>
    </w:p>
    <w:p>
      <w:pPr>
        <w:spacing w:after="0" w:line="117" w:lineRule="exact"/>
        <w:rPr>
          <w:rFonts w:ascii="Arial" w:cs="Arial" w:eastAsia="Arial" w:hAnsi="Arial"/>
          <w:sz w:val="18"/>
          <w:szCs w:val="18"/>
          <w:color w:val="auto"/>
        </w:rPr>
      </w:pPr>
    </w:p>
    <w:p>
      <w:pPr>
        <w:ind w:left="660" w:right="5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as may be detailed in our public announcements and U.S. Securities and Exchange Commission (“SEC”) filings.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a detailed discussion of these and other risks, uncertainties and factors, see Part I, Item 1A “Risk Factors” of our Annual Report on Form 10-K for the fiscal year ended December 28, 2025 (the “2025 Annual Report”), as well as Part II, Item 1A "Risk Factors" of this report.</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8" w:right="41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color w:val="auto"/>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28,</w:t>
            </w:r>
          </w:p>
        </w:tc>
        <w:tc>
          <w:tcPr>
            <w:tcW w:w="140" w:type="dxa"/>
            <w:vAlign w:val="bottom"/>
          </w:tcPr>
          <w:p>
            <w:pPr>
              <w:spacing w:after="0"/>
              <w:rPr>
                <w:sz w:val="16"/>
                <w:szCs w:val="16"/>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28,</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9"/>
              </w:rPr>
              <w:t>ASSETS</w:t>
            </w:r>
          </w:p>
        </w:tc>
        <w:tc>
          <w:tcPr>
            <w:tcW w:w="596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ind w:left="10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3"/>
          </w:tcPr>
          <w:p>
            <w:pPr>
              <w:ind w:left="2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2,583.7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Property, plant and equipment, net of accumulated depreciation of $1,107.8, $1,075.8 and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$1,060.0</w:t>
            </w:r>
          </w:p>
        </w:tc>
        <w:tc>
          <w:tcPr>
            <w:tcW w:w="53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1,256.7</w:t>
            </w:r>
          </w:p>
        </w:tc>
        <w:tc>
          <w:tcPr>
            <w:tcW w:w="0" w:type="dxa"/>
            <w:vAlign w:val="bottom"/>
          </w:tcPr>
          <w:p>
            <w:pPr>
              <w:spacing w:after="0"/>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intangible assets, net of accumulated amortization of $454.8, $476.1 and $412.2</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1,007.1</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6"/>
                <w:szCs w:val="16"/>
                <w:b w:val="1"/>
                <w:bCs w:val="1"/>
                <w:color w:val="auto"/>
              </w:rPr>
              <w:t>LIABILITIES, NONCONTROLLING INTERESTS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3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893.9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497.0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Accrued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4,986.5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Commitments and contingencies (Note 16)</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Preference stock of $2.50 par value. Authorized 5,000,000 shares; none issued</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20" w:type="dxa"/>
            <w:vAlign w:val="bottom"/>
            <w:gridSpan w:val="3"/>
          </w:tcPr>
          <w:p>
            <w:pPr>
              <w:ind w:left="120"/>
              <w:spacing w:after="0" w:line="175" w:lineRule="exact"/>
              <w:rPr>
                <w:sz w:val="20"/>
                <w:szCs w:val="20"/>
                <w:color w:val="auto"/>
              </w:rPr>
            </w:pPr>
            <w:r>
              <w:rPr>
                <w:rFonts w:ascii="Arial" w:cs="Arial" w:eastAsia="Arial" w:hAnsi="Arial"/>
                <w:sz w:val="16"/>
                <w:szCs w:val="16"/>
                <w:color w:val="auto"/>
              </w:rPr>
              <w:t>Common stock of $0.50 par value. Authorized 600,000,000 shares; 220,286,736 shares</w:t>
            </w: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issued</w:t>
            </w: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20" w:type="dxa"/>
            <w:vAlign w:val="bottom"/>
            <w:gridSpan w:val="3"/>
          </w:tcPr>
          <w:p>
            <w:pPr>
              <w:ind w:left="120"/>
              <w:spacing w:after="0" w:line="175" w:lineRule="exact"/>
              <w:rPr>
                <w:sz w:val="20"/>
                <w:szCs w:val="20"/>
                <w:color w:val="auto"/>
              </w:rPr>
            </w:pPr>
            <w:r>
              <w:rPr>
                <w:rFonts w:ascii="Arial" w:cs="Arial" w:eastAsia="Arial" w:hAnsi="Arial"/>
                <w:sz w:val="16"/>
                <w:szCs w:val="16"/>
                <w:color w:val="auto"/>
              </w:rPr>
              <w:t>Treasury stock, at cost; 80,172,627 shares; 79,963,865 shares; and 79,901,615 shares,</w:t>
            </w: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(3,749.6)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(3,604.1)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(3,603.6)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rPr>
              <w:t>September 27,</w:t>
            </w:r>
          </w:p>
        </w:tc>
        <w:tc>
          <w:tcPr>
            <w:tcW w:w="140" w:type="dxa"/>
            <w:vAlign w:val="bottom"/>
          </w:tcPr>
          <w:p>
            <w:pPr>
              <w:spacing w:after="0"/>
              <w:rPr>
                <w:sz w:val="14"/>
                <w:szCs w:val="14"/>
                <w:color w:val="auto"/>
              </w:rPr>
            </w:pPr>
          </w:p>
        </w:tc>
        <w:tc>
          <w:tcPr>
            <w:tcW w:w="140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rPr>
              <w:t>September 27,</w:t>
            </w:r>
          </w:p>
        </w:tc>
        <w:tc>
          <w:tcPr>
            <w:tcW w:w="140" w:type="dxa"/>
            <w:vAlign w:val="bottom"/>
          </w:tcPr>
          <w:p>
            <w:pPr>
              <w:spacing w:after="0"/>
              <w:rPr>
                <w:sz w:val="14"/>
                <w:szCs w:val="14"/>
                <w:color w:val="auto"/>
              </w:rPr>
            </w:pPr>
          </w:p>
        </w:tc>
        <w:tc>
          <w:tcPr>
            <w:tcW w:w="13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2,821.1</w:t>
            </w:r>
          </w:p>
        </w:tc>
      </w:tr>
      <w:tr>
        <w:trPr>
          <w:trHeight w:val="228"/>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Licensing revenue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w:t>
            </w:r>
          </w:p>
        </w:tc>
      </w:tr>
      <w:tr>
        <w:trPr>
          <w:trHeight w:val="224"/>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3,255.4</w:t>
            </w:r>
          </w:p>
        </w:tc>
      </w:tr>
      <w:tr>
        <w:trPr>
          <w:trHeight w:val="208"/>
        </w:trPr>
        <w:tc>
          <w:tcPr>
            <w:tcW w:w="51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1"/>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w:t>
            </w:r>
          </w:p>
        </w:tc>
      </w:tr>
      <w:tr>
        <w:trPr>
          <w:trHeight w:val="228"/>
        </w:trPr>
        <w:tc>
          <w:tcPr>
            <w:tcW w:w="5120" w:type="dxa"/>
            <w:vAlign w:val="bottom"/>
          </w:tcPr>
          <w:p>
            <w:pPr>
              <w:ind w:left="140"/>
              <w:spacing w:after="0"/>
              <w:rPr>
                <w:sz w:val="20"/>
                <w:szCs w:val="20"/>
                <w:color w:val="auto"/>
              </w:rPr>
            </w:pPr>
            <w:r>
              <w:rPr>
                <w:rFonts w:ascii="Arial" w:cs="Arial" w:eastAsia="Arial" w:hAnsi="Arial"/>
                <w:sz w:val="16"/>
                <w:szCs w:val="16"/>
                <w:color w:val="auto"/>
              </w:rPr>
              <w:t>Program cost amortization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31"/>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Royalties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w:t>
            </w:r>
          </w:p>
        </w:tc>
      </w:tr>
      <w:tr>
        <w:trPr>
          <w:trHeight w:val="228"/>
        </w:trPr>
        <w:tc>
          <w:tcPr>
            <w:tcW w:w="512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255.6</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Advertising</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w:t>
            </w:r>
          </w:p>
        </w:tc>
      </w:tr>
      <w:tr>
        <w:trPr>
          <w:trHeight w:val="228"/>
        </w:trPr>
        <w:tc>
          <w:tcPr>
            <w:tcW w:w="51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31"/>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goodwill (Note 7)</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w:t>
            </w:r>
          </w:p>
        </w:tc>
      </w:tr>
      <w:tr>
        <w:trPr>
          <w:trHeight w:val="228"/>
        </w:trPr>
        <w:tc>
          <w:tcPr>
            <w:tcW w:w="5120" w:type="dxa"/>
            <w:vAlign w:val="bottom"/>
          </w:tcPr>
          <w:p>
            <w:pPr>
              <w:ind w:left="140"/>
              <w:spacing w:after="0"/>
              <w:rPr>
                <w:sz w:val="20"/>
                <w:szCs w:val="20"/>
                <w:color w:val="auto"/>
              </w:rPr>
            </w:pPr>
            <w:r>
              <w:rPr>
                <w:rFonts w:ascii="Arial" w:cs="Arial" w:eastAsia="Arial" w:hAnsi="Arial"/>
                <w:sz w:val="16"/>
                <w:szCs w:val="16"/>
                <w:color w:val="auto"/>
              </w:rPr>
              <w:t>Loss on disposal of business</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distribution and administration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839.7</w:t>
            </w:r>
          </w:p>
        </w:tc>
      </w:tr>
      <w:tr>
        <w:trPr>
          <w:trHeight w:val="223"/>
        </w:trPr>
        <w:tc>
          <w:tcPr>
            <w:tcW w:w="51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3,541.8</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(loss)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w:t>
            </w:r>
          </w:p>
        </w:tc>
      </w:tr>
      <w:tr>
        <w:trPr>
          <w:trHeight w:val="208"/>
        </w:trPr>
        <w:tc>
          <w:tcPr>
            <w:tcW w:w="512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1"/>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r>
      <w:tr>
        <w:trPr>
          <w:trHeight w:val="228"/>
        </w:trPr>
        <w:tc>
          <w:tcPr>
            <w:tcW w:w="51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23"/>
        </w:trPr>
        <w:tc>
          <w:tcPr>
            <w:tcW w:w="51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non-operating expense,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Hasbro,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per common share: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8"/>
        </w:trPr>
        <w:tc>
          <w:tcPr>
            <w:tcW w:w="5120" w:type="dxa"/>
            <w:vAlign w:val="bottom"/>
          </w:tcPr>
          <w:p>
            <w:pPr>
              <w:ind w:left="1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57"/>
        </w:trPr>
        <w:tc>
          <w:tcPr>
            <w:tcW w:w="5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40" w:type="dxa"/>
            <w:vAlign w:val="bottom"/>
          </w:tcPr>
          <w:p>
            <w:pPr>
              <w:spacing w:after="0"/>
              <w:rPr>
                <w:sz w:val="14"/>
                <w:szCs w:val="14"/>
                <w:color w:val="auto"/>
              </w:rPr>
            </w:pPr>
          </w:p>
        </w:tc>
        <w:tc>
          <w:tcPr>
            <w:tcW w:w="142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40" w:type="dxa"/>
            <w:vAlign w:val="bottom"/>
          </w:tcPr>
          <w:p>
            <w:pPr>
              <w:spacing w:after="0"/>
              <w:rPr>
                <w:sz w:val="14"/>
                <w:szCs w:val="14"/>
                <w:color w:val="auto"/>
              </w:rPr>
            </w:pPr>
          </w:p>
        </w:tc>
        <w:tc>
          <w:tcPr>
            <w:tcW w:w="142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September 28,</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Arial" w:cs="Arial" w:eastAsia="Arial" w:hAnsi="Arial"/>
                <w:sz w:val="16"/>
                <w:szCs w:val="16"/>
                <w:color w:val="auto"/>
              </w:rPr>
              <w:t>Other comprehensive earnings (loss):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28"/>
        </w:trPr>
        <w:tc>
          <w:tcPr>
            <w:tcW w:w="5080" w:type="dxa"/>
            <w:vAlign w:val="bottom"/>
          </w:tcPr>
          <w:p>
            <w:pPr>
              <w:ind w:left="180"/>
              <w:spacing w:after="0"/>
              <w:rPr>
                <w:sz w:val="20"/>
                <w:szCs w:val="20"/>
                <w:color w:val="auto"/>
              </w:rPr>
            </w:pPr>
            <w:r>
              <w:rPr>
                <w:rFonts w:ascii="Arial" w:cs="Arial" w:eastAsia="Arial" w:hAnsi="Arial"/>
                <w:sz w:val="16"/>
                <w:szCs w:val="16"/>
                <w:color w:val="auto"/>
              </w:rPr>
              <w:t>Unrealized holding losses on available-for-sale securities, net of tax</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unrecognized pension amounts, net of tax</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5080" w:type="dxa"/>
            <w:vAlign w:val="bottom"/>
          </w:tcPr>
          <w:p>
            <w:pPr>
              <w:ind w:left="200"/>
              <w:spacing w:after="0"/>
              <w:rPr>
                <w:sz w:val="20"/>
                <w:szCs w:val="20"/>
                <w:color w:val="auto"/>
              </w:rPr>
            </w:pPr>
            <w:r>
              <w:rPr>
                <w:rFonts w:ascii="Arial" w:cs="Arial" w:eastAsia="Arial" w:hAnsi="Arial"/>
                <w:sz w:val="16"/>
                <w:szCs w:val="16"/>
                <w:color w:val="auto"/>
              </w:rPr>
              <w:t>Net (losses) gains on hedging activities, net of tax</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Reclassifications to earnings, net of tax:</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80" w:type="dxa"/>
            <w:vAlign w:val="bottom"/>
          </w:tcPr>
          <w:p>
            <w:pPr>
              <w:ind w:left="300"/>
              <w:spacing w:after="0"/>
              <w:rPr>
                <w:sz w:val="20"/>
                <w:szCs w:val="20"/>
                <w:color w:val="auto"/>
              </w:rPr>
            </w:pPr>
            <w:r>
              <w:rPr>
                <w:rFonts w:ascii="Arial" w:cs="Arial" w:eastAsia="Arial" w:hAnsi="Arial"/>
                <w:sz w:val="16"/>
                <w:szCs w:val="16"/>
                <w:color w:val="auto"/>
              </w:rPr>
              <w:t>Net losses (gains) on hedging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77"/>
        </w:trPr>
        <w:tc>
          <w:tcPr>
            <w:tcW w:w="5080" w:type="dxa"/>
            <w:vAlign w:val="bottom"/>
            <w:shd w:val="clear" w:color="auto" w:fill="CCEEFF"/>
          </w:tcPr>
          <w:p>
            <w:pPr>
              <w:ind w:left="300"/>
              <w:spacing w:after="0" w:line="177" w:lineRule="exact"/>
              <w:rPr>
                <w:sz w:val="20"/>
                <w:szCs w:val="20"/>
                <w:color w:val="auto"/>
              </w:rPr>
            </w:pPr>
            <w:r>
              <w:rPr>
                <w:rFonts w:ascii="Arial" w:cs="Arial" w:eastAsia="Arial" w:hAnsi="Arial"/>
                <w:sz w:val="16"/>
                <w:szCs w:val="16"/>
                <w:color w:val="auto"/>
              </w:rPr>
              <w:t>Amortization of unrecognized pension and postretirement</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amounts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earnings (loss), net of tax</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(497.3)</w:t>
            </w:r>
          </w:p>
        </w:tc>
        <w:tc>
          <w:tcPr>
            <w:tcW w:w="0" w:type="dxa"/>
            <w:vAlign w:val="bottom"/>
          </w:tcPr>
          <w:p>
            <w:pPr>
              <w:spacing w:after="0"/>
              <w:rPr>
                <w:sz w:val="1"/>
                <w:szCs w:val="1"/>
                <w:color w:val="auto"/>
              </w:rPr>
            </w:pPr>
          </w:p>
        </w:tc>
      </w:tr>
      <w:tr>
        <w:trPr>
          <w:trHeight w:val="22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comprehensive earnings attributable to noncontrolling interests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earnings (loss) attributable to Hasbro,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40" w:type="dxa"/>
            <w:vAlign w:val="bottom"/>
          </w:tcPr>
          <w:p>
            <w:pPr>
              <w:spacing w:after="0"/>
              <w:rPr>
                <w:sz w:val="14"/>
                <w:szCs w:val="14"/>
                <w:color w:val="auto"/>
              </w:rPr>
            </w:pPr>
          </w:p>
        </w:tc>
        <w:tc>
          <w:tcPr>
            <w:tcW w:w="13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8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6"/>
                <w:szCs w:val="16"/>
                <w:color w:val="auto"/>
              </w:rPr>
              <w:t>Net earnings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755.8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(521.3)</w:t>
            </w:r>
          </w:p>
        </w:tc>
      </w:tr>
      <w:tr>
        <w:trPr>
          <w:trHeight w:val="230"/>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earnings (loss) to net cash provided by operating activities: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8"/>
        </w:trPr>
        <w:tc>
          <w:tcPr>
            <w:tcW w:w="802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3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disposal of business</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28"/>
        </w:trPr>
        <w:tc>
          <w:tcPr>
            <w:tcW w:w="802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1,021.9</w:t>
            </w:r>
          </w:p>
        </w:tc>
      </w:tr>
      <w:tr>
        <w:trPr>
          <w:trHeight w:val="23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capitalized software</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8020" w:type="dxa"/>
            <w:vAlign w:val="bottom"/>
          </w:tcPr>
          <w:p>
            <w:pPr>
              <w:ind w:left="220"/>
              <w:spacing w:after="0"/>
              <w:rPr>
                <w:sz w:val="20"/>
                <w:szCs w:val="20"/>
                <w:color w:val="auto"/>
              </w:rPr>
            </w:pPr>
            <w:r>
              <w:rPr>
                <w:rFonts w:ascii="Arial" w:cs="Arial" w:eastAsia="Arial" w:hAnsi="Arial"/>
                <w:sz w:val="16"/>
                <w:szCs w:val="16"/>
                <w:color w:val="auto"/>
              </w:rPr>
              <w:t>Inventory obsolescence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28"/>
        </w:trPr>
        <w:tc>
          <w:tcPr>
            <w:tcW w:w="8020" w:type="dxa"/>
            <w:vAlign w:val="bottom"/>
          </w:tcPr>
          <w:p>
            <w:pPr>
              <w:ind w:left="220"/>
              <w:spacing w:after="0"/>
              <w:rPr>
                <w:sz w:val="20"/>
                <w:szCs w:val="20"/>
                <w:color w:val="auto"/>
              </w:rPr>
            </w:pPr>
            <w:r>
              <w:rPr>
                <w:rFonts w:ascii="Arial" w:cs="Arial" w:eastAsia="Arial" w:hAnsi="Arial"/>
                <w:sz w:val="16"/>
                <w:szCs w:val="16"/>
                <w:color w:val="auto"/>
              </w:rPr>
              <w:t>Program cost amortization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3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29"/>
        </w:trPr>
        <w:tc>
          <w:tcPr>
            <w:tcW w:w="802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28"/>
        </w:trPr>
        <w:tc>
          <w:tcPr>
            <w:tcW w:w="802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1"/>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accounts receivable</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28"/>
        </w:trPr>
        <w:tc>
          <w:tcPr>
            <w:tcW w:w="8020" w:type="dxa"/>
            <w:vAlign w:val="bottom"/>
          </w:tcPr>
          <w:p>
            <w:pPr>
              <w:ind w:left="200"/>
              <w:spacing w:after="0"/>
              <w:rPr>
                <w:sz w:val="20"/>
                <w:szCs w:val="20"/>
                <w:color w:val="auto"/>
              </w:rPr>
            </w:pPr>
            <w:r>
              <w:rPr>
                <w:rFonts w:ascii="Arial" w:cs="Arial" w:eastAsia="Arial" w:hAnsi="Arial"/>
                <w:sz w:val="16"/>
                <w:szCs w:val="16"/>
                <w:color w:val="auto"/>
              </w:rPr>
              <w:t>Net change in inventories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(135.6)</w:t>
            </w:r>
          </w:p>
        </w:tc>
      </w:tr>
      <w:tr>
        <w:trPr>
          <w:trHeight w:val="231"/>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prepaid expenses and other current assets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r>
      <w:tr>
        <w:trPr>
          <w:trHeight w:val="229"/>
        </w:trPr>
        <w:tc>
          <w:tcPr>
            <w:tcW w:w="8020" w:type="dxa"/>
            <w:vAlign w:val="bottom"/>
          </w:tcPr>
          <w:p>
            <w:pPr>
              <w:ind w:left="200"/>
              <w:spacing w:after="0"/>
              <w:rPr>
                <w:sz w:val="20"/>
                <w:szCs w:val="20"/>
                <w:color w:val="auto"/>
              </w:rPr>
            </w:pPr>
            <w:r>
              <w:rPr>
                <w:rFonts w:ascii="Arial" w:cs="Arial" w:eastAsia="Arial" w:hAnsi="Arial"/>
                <w:sz w:val="16"/>
                <w:szCs w:val="16"/>
                <w:color w:val="auto"/>
              </w:rPr>
              <w:t>Program production costs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0"/>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accounts payable and accrued liabilities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29"/>
        </w:trPr>
        <w:tc>
          <w:tcPr>
            <w:tcW w:w="8020" w:type="dxa"/>
            <w:vAlign w:val="bottom"/>
          </w:tcPr>
          <w:p>
            <w:pPr>
              <w:ind w:left="200"/>
              <w:spacing w:after="0"/>
              <w:rPr>
                <w:sz w:val="20"/>
                <w:szCs w:val="20"/>
                <w:color w:val="auto"/>
              </w:rPr>
            </w:pPr>
            <w:r>
              <w:rPr>
                <w:rFonts w:ascii="Arial" w:cs="Arial" w:eastAsia="Arial" w:hAnsi="Arial"/>
                <w:sz w:val="16"/>
                <w:szCs w:val="16"/>
                <w:color w:val="auto"/>
              </w:rPr>
              <w:t>Change in net deemed repatriation tax</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30"/>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23"/>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w:t>
            </w:r>
          </w:p>
        </w:tc>
      </w:tr>
      <w:tr>
        <w:trPr>
          <w:trHeight w:val="211"/>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8020" w:type="dxa"/>
            <w:vAlign w:val="bottom"/>
          </w:tcPr>
          <w:p>
            <w:pPr>
              <w:ind w:left="100"/>
              <w:spacing w:after="0"/>
              <w:rPr>
                <w:sz w:val="20"/>
                <w:szCs w:val="20"/>
                <w:color w:val="auto"/>
              </w:rPr>
            </w:pPr>
            <w:r>
              <w:rPr>
                <w:rFonts w:ascii="Arial" w:cs="Arial" w:eastAsia="Arial" w:hAnsi="Arial"/>
                <w:sz w:val="16"/>
                <w:szCs w:val="16"/>
                <w:color w:val="auto"/>
              </w:rPr>
              <w:t>Additions to property, plant and equipment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30"/>
        </w:trPr>
        <w:tc>
          <w:tcPr>
            <w:tcW w:w="8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Additions to software development</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r>
      <w:tr>
        <w:trPr>
          <w:trHeight w:val="229"/>
        </w:trPr>
        <w:tc>
          <w:tcPr>
            <w:tcW w:w="8020" w:type="dxa"/>
            <w:vAlign w:val="bottom"/>
          </w:tcPr>
          <w:p>
            <w:pPr>
              <w:ind w:left="100"/>
              <w:spacing w:after="0"/>
              <w:rPr>
                <w:sz w:val="20"/>
                <w:szCs w:val="20"/>
                <w:color w:val="auto"/>
              </w:rPr>
            </w:pPr>
            <w:r>
              <w:rPr>
                <w:rFonts w:ascii="Arial" w:cs="Arial" w:eastAsia="Arial" w:hAnsi="Arial"/>
                <w:sz w:val="16"/>
                <w:szCs w:val="16"/>
                <w:color w:val="auto"/>
              </w:rPr>
              <w:t>Purchases of investments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29"/>
        </w:trPr>
        <w:tc>
          <w:tcPr>
            <w:tcW w:w="8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utilized by investing activities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8020" w:type="dxa"/>
            <w:vAlign w:val="bottom"/>
          </w:tcPr>
          <w:p>
            <w:pPr>
              <w:ind w:left="120"/>
              <w:spacing w:after="0"/>
              <w:rPr>
                <w:sz w:val="20"/>
                <w:szCs w:val="20"/>
                <w:color w:val="auto"/>
              </w:rPr>
            </w:pPr>
            <w:r>
              <w:rPr>
                <w:rFonts w:ascii="Arial" w:cs="Arial" w:eastAsia="Arial" w:hAnsi="Arial"/>
                <w:sz w:val="16"/>
                <w:szCs w:val="16"/>
                <w:color w:val="auto"/>
              </w:rPr>
              <w:t>Proceeds from borrowings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borrowings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28"/>
        </w:trPr>
        <w:tc>
          <w:tcPr>
            <w:tcW w:w="8020" w:type="dxa"/>
            <w:vAlign w:val="bottom"/>
          </w:tcPr>
          <w:p>
            <w:pPr>
              <w:ind w:left="120"/>
              <w:spacing w:after="0"/>
              <w:rPr>
                <w:sz w:val="20"/>
                <w:szCs w:val="20"/>
                <w:color w:val="auto"/>
              </w:rPr>
            </w:pPr>
            <w:r>
              <w:rPr>
                <w:rFonts w:ascii="Arial" w:cs="Arial" w:eastAsia="Arial" w:hAnsi="Arial"/>
                <w:sz w:val="16"/>
                <w:szCs w:val="16"/>
                <w:color w:val="auto"/>
              </w:rPr>
              <w:t>Payments of financing costs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 transactions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28"/>
        </w:trPr>
        <w:tc>
          <w:tcPr>
            <w:tcW w:w="8020" w:type="dxa"/>
            <w:vAlign w:val="bottom"/>
          </w:tcPr>
          <w:p>
            <w:pPr>
              <w:ind w:left="120"/>
              <w:spacing w:after="0"/>
              <w:rPr>
                <w:sz w:val="20"/>
                <w:szCs w:val="20"/>
                <w:color w:val="auto"/>
              </w:rPr>
            </w:pPr>
            <w:r>
              <w:rPr>
                <w:rFonts w:ascii="Arial" w:cs="Arial" w:eastAsia="Arial" w:hAnsi="Arial"/>
                <w:sz w:val="16"/>
                <w:szCs w:val="16"/>
                <w:color w:val="auto"/>
              </w:rPr>
              <w:t>Payments related to tax withholding for share-based compensation</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30"/>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r>
      <w:tr>
        <w:trPr>
          <w:trHeight w:val="229"/>
        </w:trPr>
        <w:tc>
          <w:tcPr>
            <w:tcW w:w="802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utilized by financing activities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w:t>
            </w:r>
          </w:p>
        </w:tc>
      </w:tr>
      <w:tr>
        <w:trPr>
          <w:trHeight w:val="223"/>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802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695.0</w:t>
            </w:r>
          </w:p>
        </w:tc>
      </w:tr>
      <w:tr>
        <w:trPr>
          <w:trHeight w:val="224"/>
        </w:trPr>
        <w:tc>
          <w:tcPr>
            <w:tcW w:w="802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Supplemental information</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30"/>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paid,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485"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8"/>
              </w:rPr>
              <w:t>Treasury</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13"/>
                <w:szCs w:val="13"/>
                <w:color w:val="auto"/>
              </w:rPr>
            </w:pPr>
          </w:p>
        </w:tc>
        <w:tc>
          <w:tcPr>
            <w:tcW w:w="1040" w:type="dxa"/>
            <w:vAlign w:val="bottom"/>
          </w:tcPr>
          <w:p>
            <w:pPr>
              <w:jc w:val="center"/>
              <w:ind w:right="6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49"/>
              <w:spacing w:after="0" w:line="126" w:lineRule="exact"/>
              <w:rPr>
                <w:sz w:val="20"/>
                <w:szCs w:val="20"/>
                <w:color w:val="auto"/>
              </w:rPr>
            </w:pPr>
            <w:r>
              <w:rPr>
                <w:rFonts w:ascii="Arial" w:cs="Arial" w:eastAsia="Arial" w:hAnsi="Arial"/>
                <w:sz w:val="13"/>
                <w:szCs w:val="13"/>
                <w:b w:val="1"/>
                <w:bCs w:val="1"/>
                <w:color w:val="auto"/>
                <w:w w:val="97"/>
              </w:rPr>
              <w:t>Shareholders'</w:t>
            </w:r>
          </w:p>
        </w:tc>
        <w:tc>
          <w:tcPr>
            <w:tcW w:w="0" w:type="dxa"/>
            <w:vAlign w:val="bottom"/>
          </w:tcPr>
          <w:p>
            <w:pPr>
              <w:spacing w:after="0"/>
              <w:rPr>
                <w:sz w:val="1"/>
                <w:szCs w:val="1"/>
                <w:color w:val="auto"/>
              </w:rPr>
            </w:pPr>
          </w:p>
        </w:tc>
      </w:tr>
      <w:tr>
        <w:trPr>
          <w:trHeight w:val="174"/>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Paid-in Capital</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Interests</w:t>
            </w:r>
          </w:p>
        </w:tc>
        <w:tc>
          <w:tcPr>
            <w:tcW w:w="140" w:type="dxa"/>
            <w:vAlign w:val="bottom"/>
          </w:tcPr>
          <w:p>
            <w:pPr>
              <w:spacing w:after="0"/>
              <w:rPr>
                <w:sz w:val="15"/>
                <w:szCs w:val="15"/>
                <w:color w:val="auto"/>
              </w:rPr>
            </w:pPr>
          </w:p>
        </w:tc>
        <w:tc>
          <w:tcPr>
            <w:tcW w:w="104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28,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2,695.4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 net of tax</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Share-based compensation transactions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66"/>
        </w:trPr>
        <w:tc>
          <w:tcPr>
            <w:tcW w:w="3040" w:type="dxa"/>
            <w:vAlign w:val="bottom"/>
          </w:tcPr>
          <w:p>
            <w:pPr>
              <w:ind w:left="140"/>
              <w:spacing w:after="0"/>
              <w:rPr>
                <w:sz w:val="20"/>
                <w:szCs w:val="20"/>
                <w:color w:val="auto"/>
              </w:rPr>
            </w:pPr>
            <w:r>
              <w:rPr>
                <w:rFonts w:ascii="Arial" w:cs="Arial" w:eastAsia="Arial" w:hAnsi="Arial"/>
                <w:sz w:val="14"/>
                <w:szCs w:val="14"/>
                <w:color w:val="auto"/>
              </w:rPr>
              <w:t>Distributions paid to noncontrolling owners</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5"/>
        </w:trPr>
        <w:tc>
          <w:tcPr>
            <w:tcW w:w="3040" w:type="dxa"/>
            <w:vAlign w:val="bottom"/>
          </w:tcPr>
          <w:p>
            <w:pPr>
              <w:ind w:left="140"/>
              <w:spacing w:after="0"/>
              <w:rPr>
                <w:sz w:val="20"/>
                <w:szCs w:val="20"/>
                <w:color w:val="auto"/>
              </w:rPr>
            </w:pPr>
            <w:r>
              <w:rPr>
                <w:rFonts w:ascii="Arial" w:cs="Arial" w:eastAsia="Arial" w:hAnsi="Arial"/>
                <w:sz w:val="14"/>
                <w:szCs w:val="14"/>
                <w:color w:val="auto"/>
              </w:rPr>
              <w:t>and other foreign exchange</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29, 2026</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2,708.7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674.2</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 net of tax</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Share-based compensation transactions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66"/>
        </w:trPr>
        <w:tc>
          <w:tcPr>
            <w:tcW w:w="3040" w:type="dxa"/>
            <w:vAlign w:val="bottom"/>
          </w:tcPr>
          <w:p>
            <w:pPr>
              <w:ind w:left="140"/>
              <w:spacing w:after="0"/>
              <w:rPr>
                <w:sz w:val="20"/>
                <w:szCs w:val="20"/>
                <w:color w:val="auto"/>
              </w:rPr>
            </w:pPr>
            <w:r>
              <w:rPr>
                <w:rFonts w:ascii="Arial" w:cs="Arial" w:eastAsia="Arial" w:hAnsi="Arial"/>
                <w:sz w:val="14"/>
                <w:szCs w:val="14"/>
                <w:color w:val="auto"/>
              </w:rPr>
              <w:t>Distributions paid to noncontrolling owners</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3040" w:type="dxa"/>
            <w:vAlign w:val="bottom"/>
          </w:tcPr>
          <w:p>
            <w:pPr>
              <w:ind w:left="140"/>
              <w:spacing w:after="0"/>
              <w:rPr>
                <w:sz w:val="20"/>
                <w:szCs w:val="20"/>
                <w:color w:val="auto"/>
              </w:rPr>
            </w:pPr>
            <w:r>
              <w:rPr>
                <w:rFonts w:ascii="Arial" w:cs="Arial" w:eastAsia="Arial" w:hAnsi="Arial"/>
                <w:sz w:val="14"/>
                <w:szCs w:val="14"/>
                <w:color w:val="auto"/>
              </w:rPr>
              <w:t>and other foreign exchange</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28, 2026</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2,733.6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1,712.9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(3,639.5)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730.3</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395.0</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 net of tax</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Share-based compensation transactions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12"/>
        </w:trPr>
        <w:tc>
          <w:tcPr>
            <w:tcW w:w="30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66"/>
        </w:trPr>
        <w:tc>
          <w:tcPr>
            <w:tcW w:w="3040" w:type="dxa"/>
            <w:vAlign w:val="bottom"/>
          </w:tcPr>
          <w:p>
            <w:pPr>
              <w:ind w:left="140"/>
              <w:spacing w:after="0"/>
              <w:rPr>
                <w:sz w:val="20"/>
                <w:szCs w:val="20"/>
                <w:color w:val="auto"/>
              </w:rPr>
            </w:pPr>
            <w:r>
              <w:rPr>
                <w:rFonts w:ascii="Arial" w:cs="Arial" w:eastAsia="Arial" w:hAnsi="Arial"/>
                <w:sz w:val="14"/>
                <w:szCs w:val="14"/>
                <w:color w:val="auto"/>
              </w:rPr>
              <w:t>Distributions paid to noncontrolling owners</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3040" w:type="dxa"/>
            <w:vAlign w:val="bottom"/>
          </w:tcPr>
          <w:p>
            <w:pPr>
              <w:ind w:left="140"/>
              <w:spacing w:after="0"/>
              <w:rPr>
                <w:sz w:val="20"/>
                <w:szCs w:val="20"/>
                <w:color w:val="auto"/>
              </w:rPr>
            </w:pPr>
            <w:r>
              <w:rPr>
                <w:rFonts w:ascii="Arial" w:cs="Arial" w:eastAsia="Arial" w:hAnsi="Arial"/>
                <w:sz w:val="14"/>
                <w:szCs w:val="14"/>
                <w:color w:val="auto"/>
              </w:rPr>
              <w:t>and other foreign exchange</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27,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2,756.6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8"/>
              </w:rPr>
              <w:t>Treasury</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13"/>
                <w:szCs w:val="13"/>
                <w:color w:val="auto"/>
              </w:rPr>
            </w:pPr>
          </w:p>
        </w:tc>
        <w:tc>
          <w:tcPr>
            <w:tcW w:w="1040" w:type="dxa"/>
            <w:vAlign w:val="bottom"/>
          </w:tcPr>
          <w:p>
            <w:pPr>
              <w:jc w:val="center"/>
              <w:ind w:right="6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7"/>
              </w:rPr>
              <w:t>Shareholders'</w:t>
            </w: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Paid-in Capital</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Comprehensive Loss</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Interests</w:t>
            </w:r>
          </w:p>
        </w:tc>
        <w:tc>
          <w:tcPr>
            <w:tcW w:w="140" w:type="dxa"/>
            <w:vAlign w:val="bottom"/>
          </w:tcPr>
          <w:p>
            <w:pPr>
              <w:spacing w:after="0"/>
              <w:rPr>
                <w:sz w:val="16"/>
                <w:szCs w:val="16"/>
                <w:color w:val="auto"/>
              </w:rPr>
            </w:pPr>
          </w:p>
        </w:tc>
        <w:tc>
          <w:tcPr>
            <w:tcW w:w="104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29,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1,185.0</w:t>
            </w:r>
          </w:p>
        </w:tc>
        <w:tc>
          <w:tcPr>
            <w:tcW w:w="0" w:type="dxa"/>
            <w:vAlign w:val="bottom"/>
          </w:tcPr>
          <w:p>
            <w:pPr>
              <w:spacing w:after="0"/>
              <w:rPr>
                <w:sz w:val="1"/>
                <w:szCs w:val="1"/>
                <w:color w:val="auto"/>
              </w:rPr>
            </w:pPr>
          </w:p>
        </w:tc>
      </w:tr>
      <w:tr>
        <w:trPr>
          <w:trHeight w:val="212"/>
        </w:trPr>
        <w:tc>
          <w:tcPr>
            <w:tcW w:w="302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earnings, net of tax</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12"/>
        </w:trPr>
        <w:tc>
          <w:tcPr>
            <w:tcW w:w="3020" w:type="dxa"/>
            <w:vAlign w:val="bottom"/>
          </w:tcPr>
          <w:p>
            <w:pPr>
              <w:ind w:left="120"/>
              <w:spacing w:after="0"/>
              <w:rPr>
                <w:sz w:val="20"/>
                <w:szCs w:val="20"/>
                <w:color w:val="auto"/>
              </w:rPr>
            </w:pPr>
            <w:r>
              <w:rPr>
                <w:rFonts w:ascii="Arial" w:cs="Arial" w:eastAsia="Arial" w:hAnsi="Arial"/>
                <w:sz w:val="14"/>
                <w:szCs w:val="14"/>
                <w:color w:val="auto"/>
              </w:rPr>
              <w:t>Share-based compensation transactions</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12"/>
        </w:trPr>
        <w:tc>
          <w:tcPr>
            <w:tcW w:w="302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Distributions paid to noncontrolling owners</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5"/>
        </w:trPr>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other foreign exchange</w:t>
            </w: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4"/>
                <w:szCs w:val="14"/>
                <w:color w:val="auto"/>
              </w:rPr>
              <w:t>Balance, March 30, 2025</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2,631.9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2,274.4</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(239.6)</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(3,606.9)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1,197.5</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earnings</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(854.7)</w:t>
            </w:r>
          </w:p>
        </w:tc>
        <w:tc>
          <w:tcPr>
            <w:tcW w:w="0" w:type="dxa"/>
            <w:vAlign w:val="bottom"/>
          </w:tcPr>
          <w:p>
            <w:pPr>
              <w:spacing w:after="0"/>
              <w:rPr>
                <w:sz w:val="1"/>
                <w:szCs w:val="1"/>
                <w:color w:val="auto"/>
              </w:rPr>
            </w:pPr>
          </w:p>
        </w:tc>
      </w:tr>
      <w:tr>
        <w:trPr>
          <w:trHeight w:val="212"/>
        </w:trPr>
        <w:tc>
          <w:tcPr>
            <w:tcW w:w="3020" w:type="dxa"/>
            <w:vAlign w:val="bottom"/>
          </w:tcPr>
          <w:p>
            <w:pPr>
              <w:ind w:left="140"/>
              <w:spacing w:after="0"/>
              <w:rPr>
                <w:sz w:val="20"/>
                <w:szCs w:val="20"/>
                <w:color w:val="auto"/>
              </w:rPr>
            </w:pPr>
            <w:r>
              <w:rPr>
                <w:rFonts w:ascii="Arial" w:cs="Arial" w:eastAsia="Arial" w:hAnsi="Arial"/>
                <w:sz w:val="14"/>
                <w:szCs w:val="14"/>
                <w:color w:val="auto"/>
              </w:rPr>
              <w:t>Other comprehensive earnings, net of tax</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transactions</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2"/>
        </w:trPr>
        <w:tc>
          <w:tcPr>
            <w:tcW w:w="302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rPr>
                <w:sz w:val="20"/>
                <w:szCs w:val="20"/>
                <w:color w:val="auto"/>
              </w:rPr>
            </w:pPr>
            <w:r>
              <w:rPr>
                <w:rFonts w:ascii="Arial" w:cs="Arial" w:eastAsia="Arial" w:hAnsi="Arial"/>
                <w:sz w:val="14"/>
                <w:szCs w:val="14"/>
                <w:color w:val="auto"/>
              </w:rPr>
              <w:t>Distributions paid to noncontrolling owners</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5"/>
        </w:trPr>
        <w:tc>
          <w:tcPr>
            <w:tcW w:w="3020" w:type="dxa"/>
            <w:vAlign w:val="bottom"/>
          </w:tcPr>
          <w:p>
            <w:pPr>
              <w:ind w:left="140"/>
              <w:spacing w:after="0"/>
              <w:rPr>
                <w:sz w:val="20"/>
                <w:szCs w:val="20"/>
                <w:color w:val="auto"/>
              </w:rPr>
            </w:pPr>
            <w:r>
              <w:rPr>
                <w:rFonts w:ascii="Arial" w:cs="Arial" w:eastAsia="Arial" w:hAnsi="Arial"/>
                <w:sz w:val="14"/>
                <w:szCs w:val="14"/>
                <w:color w:val="auto"/>
              </w:rPr>
              <w:t>and other foreign exchange</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29, 2025</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2,644.2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212"/>
        </w:trPr>
        <w:tc>
          <w:tcPr>
            <w:tcW w:w="302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233.9</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 net of tax</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12"/>
        </w:trPr>
        <w:tc>
          <w:tcPr>
            <w:tcW w:w="3020" w:type="dxa"/>
            <w:vAlign w:val="bottom"/>
          </w:tcPr>
          <w:p>
            <w:pPr>
              <w:ind w:left="140"/>
              <w:spacing w:after="0"/>
              <w:rPr>
                <w:sz w:val="20"/>
                <w:szCs w:val="20"/>
                <w:color w:val="auto"/>
              </w:rPr>
            </w:pPr>
            <w:r>
              <w:rPr>
                <w:rFonts w:ascii="Arial" w:cs="Arial" w:eastAsia="Arial" w:hAnsi="Arial"/>
                <w:sz w:val="14"/>
                <w:szCs w:val="14"/>
                <w:color w:val="auto"/>
              </w:rPr>
              <w:t>Share-based compensation transactions</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12"/>
        </w:trPr>
        <w:tc>
          <w:tcPr>
            <w:tcW w:w="302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paid to noncontrolling owners</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5"/>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other foreign exchange</w:t>
            </w: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20"/>
              <w:spacing w:after="0"/>
              <w:rPr>
                <w:sz w:val="20"/>
                <w:szCs w:val="20"/>
                <w:color w:val="auto"/>
              </w:rPr>
            </w:pPr>
            <w:r>
              <w:rPr>
                <w:rFonts w:ascii="Arial" w:cs="Arial" w:eastAsia="Arial" w:hAnsi="Arial"/>
                <w:sz w:val="14"/>
                <w:szCs w:val="14"/>
                <w:color w:val="auto"/>
              </w:rPr>
              <w:t>Balance, September 28, 2025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2,670.4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1,452.4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(3,604.1)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September 27, 2026, September 28, 2025, and December 28, 2025, and the results of its operations and cash flows and shareholders' equity for the periods ended September 27, 2026 and September 28, 2025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w:t>
      </w:r>
    </w:p>
    <w:p>
      <w:pPr>
        <w:spacing w:after="0" w:line="7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three months ended September 27, 2026 and September 28, 2025 were 13-week periods. The nine months ended September 27, 2026 and September 28, 2025 were 39-week periods.</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results of operations for the three and nine months ended September 27, 2026 are not necessarily indicative of results to be expected for the full year 2026, nor were those of the comparable 2025 periods representative of those actually experienced for the full year 2025.</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consolidated financial statements have been prepared without audit, pursuant to the rules and regulations of the U.S.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28, 2025 in the Company's Annual Report on Form 10-K for the year ended December 28, 2025 ("2025 Form 10-K"), which includes all such information and disclosures and, accordingly, should be read in conjunction with the financial information included herein. Certain amounts have been reclassified to conform to current year presentation. Prior period amounts have been reclassified to present licensing revenue separately from net sales in the Consolidated Statements of Operations. The reclassification had no effect on total net revenues, operating profit (loss), net earnings (loss) or shareholders’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Accounting Policies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significant accounting policies are summarized in Note 1, Summary of Significant Accounting Policies, to the consolidated financial statements included in the Company's 2025 Form 10-K. We believe that at September 27, 2026, there has been no material change to this information except as noted below.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Software Development Costs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Capitalized software development costs include both direct costs for internally developed titles and payments to third-party software developers under development agreements that have been incurred by the Company subsequent to establishing the technological feasibility of a software title. Software development costs are capitalized within Other assets in the Company’s accompanying Consolidated Balance Sheets.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evaluate the future recoverability of capitalized software development costs on a quarterly basis. For titles that have been released to the general public, recoverability is primarily assessed based on the title's actual performance and expected future performance. For titles that are scheduled to be released in the future, recoverability is evaluated based on the expected performance of the specific titles to which the cost relates. When we determine that capitalized costs of the title are unlikely to be recovered by product sales or when we decide to abandon a project, an impairment or write-off of software development costs capitalized is charged in the period in which such determination is made.</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Write-offs of unreleased titles are recorded within Selling, distribution and administration in the Company's accompanying Consolidated Statements of Operations. During the nine months ended September 27, 2026, the Company recorded a $56.4 million non-cash impairment charge related to the Company's decision to refocus the Digital Games portfolio, which included the cancellation of certain titles scheduled for release in 2028 and beyond. The Company did not write-off any unreleased titles in the three and nine months ended September 28, 2025.</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2" w:name="page13"/>
    <w:bookmarkEnd w:id="12"/>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Tariffs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2026, the U.S. Supreme Court ruled that tariffs imposed under the International Emergency Economic Powers Act ("IEEPA") on goods imported into the United States were unauthorized. Subsequently, on March 4, 2026, the U.S. Court of International Trade ("CIT") ordered U.S. Customs and Border Protection ("CBP") to refund all previously collected IEEPA tariffs, including applicable interest. Pursuant to a court order from the CIT, the CBP developed and implemented a process to facilitate refunds through its Consolidated Administration and Processing of Entries ("CAPE") system, launching Phase 1 on April 20, 2026 and Phase 2 on June 29, 2026, with Phase 3 expected to launch during the fourth quarter.</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nature, timing and liquidation status of the IEEPA tariffs previously collected from Hasbro by the CBP, Hasbro submitted refund claims totaling $44.2 million within CAPE during the three and nine months ended September 27, 2026, aligning with the launch of Phase 2 of CAPE within the third quarter. During the three and nine months ended September 27, 2026, Hasbro received $43.4 million of tariff refunds from the U.S. Department of Treasury associated with our claims under Phase 2, inclusive of $41.5 million of principal and $1.9 million of interest. The remainder of Phase 2 refunds outstanding, which reflects approximately $2.7 million of principal, is currently recorded as a receivable within Prepaid expenses and other current assets on the Consolidated Balance Sheets.</w:t>
      </w:r>
    </w:p>
    <w:p>
      <w:pPr>
        <w:spacing w:after="0" w:line="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Based upon the U.S. Supreme Court's ruling, the related CIT proceedings, and the receipt of cash payment for substantially all of the Company's Phase 2 submissions, the Company has concluded that the recovery of the remaining previously incurred IEEPA tariffs, which are categorized in Phase 3, is probable. Accordingly, as of September 27, 2026, the Company has recorded a receivable of $10.3 million relating to the Phase 3 refunds within Prepaid expenses and other current assets on the Consolidated Balance Sheets. The estimate reflects the Company's judgment regarding the portion of previously recognized IEEPA tariffs expected to be recoverable through the refund process administered by CBP and it may be subject to change based on the ultimate resolution of refund claims. The ultimate amount of recoveries may differ from the Company's estimates, based on additional guidance from CBP, the resolution of specific entry-level claims or other administrative developments. To the extent there are changes in the amounts of refund claims that are considered to be probable of collection, such changes will be recognized in the period in which the information impacting our assessment becomes known to the Company.</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the above, Hasbro recorded a total of $54.5 million of tariff recoveries as a reduction to Cost of sales within the Consolidated Statements of Operations during the three and nine months ended September 27, 2026. In addition, $1.9 million of associated interest was recorded to Interest income within the Consolidated Statements of Operations during the three and nine months ended September 27, 2026.</w:t>
      </w:r>
    </w:p>
    <w:p>
      <w:pPr>
        <w:spacing w:after="0" w:line="6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Company expects to receive the remaining $13.0 million of Phase 2 and Phase 3 IEEPA tariff refunds that are currently recorded as a receivable within the next six months, in addition to an insignificant amount of associated interest. The ultimate amount and timing of these remaining recoveries remain subject to CBP's administrative processing and resolution of related CIT proceedings.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During the three and nine months ended September 27, 2026, there were no recently adopted accounting standards that had a material effect on the Company’s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Issued But Not Yet Adopted</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2024-03,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Statement—Reporting Comprehensive Income—Expense Disaggregation Disclosures</w:t>
      </w:r>
      <w:r>
        <w:rPr>
          <w:rFonts w:ascii="Arial" w:cs="Arial" w:eastAsia="Arial" w:hAnsi="Arial"/>
          <w:sz w:val="18"/>
          <w:szCs w:val="18"/>
          <w:color w:val="auto"/>
        </w:rPr>
        <w:t>. The new standard requires enhanced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related to certain expense categories. The new standard is effective for fiscal years beginning after December 15, 2026. We are assessing the effect on our 2027 annual consolidated financial statement disclosures and in future interim periods thereafter. At this time, we anticipate adoption will result in additional disclosures within our consolidated financial statements; however adoption will not impact our consolidated balance sheets or statements of operations.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3" w:name="page14"/>
    <w:bookmarkEnd w:id="13"/>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The standard removes all references to the previously existing software development project stages and requires entities to start capitalizing software costs when management has authorized and committed funding to a software project and it is probable that the project will be completed with its intended functionality. The new standard is effective for fiscal years beginning after December 15, 2027. Early adoption is permitted and can be applied prospectively, retrospectively, or utilizing a modified transition approach. We are currently assessing the impact of this ASU on our consolidated financial statements.</w:t>
      </w:r>
    </w:p>
    <w:p>
      <w:pPr>
        <w:spacing w:after="0" w:line="7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All other ASUs issued but not yet adopted were assessed and determined to be not applicable or are not expected to have a material impact on our consolidated financial statements or financial statement disclosures.</w:t>
      </w:r>
    </w:p>
    <w:p>
      <w:pPr>
        <w:spacing w:after="0" w:line="45"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Unauthorized Network Access</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In late March 2026, the Company identified unauthorized access to its network. Upon discovery, the Company promptly activated its security incident response protocols, implemented containment measures, including proactively taking certain systems offline, and launched an investigation with the assistance of third-party cybersecurity professionals. Simultaneously, the Company implemented its business continuity plans, including manual ordering and processing procedures at a reduced rate of operations in order to continue servicing its customers.</w:t>
      </w:r>
    </w:p>
    <w:p>
      <w:pPr>
        <w:spacing w:after="0" w:line="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impacts of these system disruptions included order processing, shipping, and invoicing delays, resulting in a negative impact on net sales and operating profit during the second quarter, particularly within the Consumer Products segment. For the entirety of the third quarter, the Company was able to operate under pre-incident order processing, shipping, and invoicing practices.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incurred incremental expenses of approximately $1.0 million and $11.8 million, respectively, during the three and nine months ended September 27, 2026 as a result of the unauthorized access, including for third-party IT recovery and forensic experts, professional services and other costs incurred to investigate and remediate the attack. The Company did not recognize any insurance proceeds during the three and nine months ended September 27, 2026 related to the unauthorized network access. The timing of recognizing insurance recoveries, if any, may differ from the timing of recognizing the associated expenses.</w:t>
      </w:r>
    </w:p>
    <w:p>
      <w:pPr>
        <w:spacing w:after="0" w:line="71"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6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The majority of the Company’s revenues are derived from sales of finished products to customers. In addition to revenues from sales of products, we separately record Licensing revenue, which represents royalties earned from the out-licensing of the Company’s trademarks, characters and other brand and intellectual property rights, including to digital gaming, merchandise and co-branding licensees and television station affiliates. Refer to Note 1, Summary of Significant Accounting Policies, of the Company's 2025 Form 10-K for the Company's revenue recognition accounting policy.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the ordinary course of business, the Company enters into arrangements that result in the recognition of contract assets and contract liabilities. The Company records the current portion of contract assets and contract liabilities in Prepaid expenses and other current assets and Accrued liabilities, respectively, and the long-term portion within Other assets and Other liabilities, respectively, in the Company's Consolidated Balance Sheets.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contract assets and contract liabilities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28,</w:t>
            </w:r>
          </w:p>
        </w:tc>
      </w:tr>
      <w:tr>
        <w:trPr>
          <w:trHeight w:val="216"/>
        </w:trPr>
        <w:tc>
          <w:tcPr>
            <w:tcW w:w="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Contract Assets:</w:t>
            </w:r>
          </w:p>
        </w:tc>
        <w:tc>
          <w:tcPr>
            <w:tcW w:w="684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Balance, beginning of period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241.4</w:t>
            </w:r>
          </w:p>
        </w:tc>
      </w:tr>
      <w:tr>
        <w:trPr>
          <w:trHeight w:val="230"/>
        </w:trPr>
        <w:tc>
          <w:tcPr>
            <w:tcW w:w="20" w:type="dxa"/>
            <w:vAlign w:val="bottom"/>
            <w:shd w:val="clear" w:color="auto" w:fill="CCEEFF"/>
          </w:tcPr>
          <w:p>
            <w:pPr>
              <w:spacing w:after="0"/>
              <w:rPr>
                <w:sz w:val="20"/>
                <w:szCs w:val="20"/>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Balance,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w:t>
            </w: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6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Balance, beginning of period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236.8</w:t>
            </w:r>
          </w:p>
        </w:tc>
      </w:tr>
      <w:tr>
        <w:trPr>
          <w:trHeight w:val="230"/>
        </w:trPr>
        <w:tc>
          <w:tcPr>
            <w:tcW w:w="20" w:type="dxa"/>
            <w:vAlign w:val="bottom"/>
            <w:shd w:val="clear" w:color="auto" w:fill="CCEEFF"/>
          </w:tcPr>
          <w:p>
            <w:pPr>
              <w:spacing w:after="0"/>
              <w:rPr>
                <w:sz w:val="20"/>
                <w:szCs w:val="20"/>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Balance,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For the nine months ended September 27, 2026, the Company recognized revenue of $119.6 million that was included in the December 28, 2025 contract liability balance. For the nine months ended September 28, 2025, the Company recognized revenue of $193.2 million that was included in the December 29, 2024 contract liability balance.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Unsatisfied Performance Obligations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27, 2026, revenue for unsatisfied performance obligations expected to be recognized in the future is $921.3 million, primarily for intellectual property to be made available in the future under existing agreements with merchandise and co-branding licensees and television station affiliates. Of this amount, we expect to recognize approximately $67.1 million in the remainder of 2026, $209.3 million in 2027, $161.8 million in 2028, and $483.1 million thereafter. These amounts include only fixed consideration or minimum guarantees and do not include amounts related to (i) contracts with an original expected term of one year or less or (ii) licenses of intellectual property that are solely based on the sales of the licensee.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and Allowance for Credit Losses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Company’s balance for accounts receivable on the Consolidated Balance Sheets as of September 27, 2026 and September 28, 2025 primarily represents billed amounts relating to contracts with customers. Unbilled amounts, typically relating to the minimum guarantees recognized in advance of contractual billing schedules, are recorded as contract assets within the Consolidated Balance Sheets. A summary of the related allowance for credit losses activity for accounts receivable and contract assets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Allowance for Credit Losses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23"/>
        </w:trPr>
        <w:tc>
          <w:tcPr>
            <w:tcW w:w="4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Accounts Receivable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Contract Assets</w:t>
            </w:r>
          </w:p>
        </w:tc>
      </w:tr>
      <w:tr>
        <w:trPr>
          <w:trHeight w:val="169"/>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4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4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6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4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29"/>
        </w:trPr>
        <w:tc>
          <w:tcPr>
            <w:tcW w:w="4900" w:type="dxa"/>
            <w:vAlign w:val="bottom"/>
          </w:tcPr>
          <w:p>
            <w:pPr>
              <w:ind w:left="140"/>
              <w:spacing w:after="0"/>
              <w:rPr>
                <w:sz w:val="20"/>
                <w:szCs w:val="20"/>
                <w:color w:val="auto"/>
              </w:rPr>
            </w:pPr>
            <w:r>
              <w:rPr>
                <w:rFonts w:ascii="Arial" w:cs="Arial" w:eastAsia="Arial" w:hAnsi="Arial"/>
                <w:sz w:val="16"/>
                <w:szCs w:val="16"/>
                <w:color w:val="auto"/>
              </w:rPr>
              <w:t>Provisions/charges to income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charged off and other</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28"/>
        </w:trPr>
        <w:tc>
          <w:tcPr>
            <w:tcW w:w="4900" w:type="dxa"/>
            <w:vAlign w:val="bottom"/>
          </w:tcPr>
          <w:p>
            <w:pPr>
              <w:ind w:left="140"/>
              <w:spacing w:after="0"/>
              <w:rPr>
                <w:sz w:val="20"/>
                <w:szCs w:val="20"/>
                <w:color w:val="auto"/>
              </w:rPr>
            </w:pPr>
            <w:r>
              <w:rPr>
                <w:rFonts w:ascii="Arial" w:cs="Arial" w:eastAsia="Arial" w:hAnsi="Arial"/>
                <w:sz w:val="16"/>
                <w:szCs w:val="16"/>
                <w:color w:val="auto"/>
              </w:rPr>
              <w:t>Foreign currency impact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disaggregates its revenues from contracts with customers by reportable segment: Wizards of the Coast and Digital Gaming, Consumer Products, and Entertainment. The Company further disaggregates revenues within its Wizards of the Coast and Digital Gaming segment by category: Tabletop Gaming and Digital and Licensed Gaming; within its Consumer Products segment by major geographic region: North America, Europe, Latin America, and Asia Pacific; and within its Entertainment segment by category: Family Brands and Film and TV. Finally, the Company disaggregates its revenues into three brand categories: Grow Brands, Optimize Brands, and Reinvent Brands. We believe these collectively depict how the nature, amount, timing and uncertainty of revenue and cash flows are affected by economic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consolidated Wizards of the Coast and Digital Gaming segment net revenues by category: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8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4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Tabletop Gaming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1,191.9</w:t>
            </w:r>
          </w:p>
        </w:tc>
      </w:tr>
      <w:tr>
        <w:trPr>
          <w:trHeight w:val="228"/>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Digital and Licensed Gaming</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364.6</w:t>
            </w: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5" w:name="page16"/>
    <w:bookmarkEnd w:id="15"/>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consolidated Consumer Products segment net revenues by major geographic region: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54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6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4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950.4</w:t>
            </w:r>
          </w:p>
        </w:tc>
      </w:tr>
      <w:tr>
        <w:trPr>
          <w:trHeight w:val="228"/>
        </w:trPr>
        <w:tc>
          <w:tcPr>
            <w:tcW w:w="4780" w:type="dxa"/>
            <w:vAlign w:val="bottom"/>
          </w:tcPr>
          <w:p>
            <w:pPr>
              <w:ind w:left="20"/>
              <w:spacing w:after="0"/>
              <w:rPr>
                <w:sz w:val="20"/>
                <w:szCs w:val="20"/>
                <w:color w:val="auto"/>
              </w:rPr>
            </w:pPr>
            <w:r>
              <w:rPr>
                <w:rFonts w:ascii="Arial" w:cs="Arial" w:eastAsia="Arial" w:hAnsi="Arial"/>
                <w:sz w:val="16"/>
                <w:szCs w:val="16"/>
                <w:color w:val="auto"/>
              </w:rPr>
              <w:t>Europe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361.8</w:t>
            </w:r>
          </w:p>
        </w:tc>
      </w:tr>
      <w:tr>
        <w:trPr>
          <w:trHeight w:val="231"/>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w:t>
            </w:r>
          </w:p>
        </w:tc>
      </w:tr>
      <w:tr>
        <w:trPr>
          <w:trHeight w:val="228"/>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w:t>
            </w:r>
          </w:p>
        </w:tc>
      </w:tr>
      <w:tr>
        <w:trPr>
          <w:trHeight w:val="24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consolidated Entertainment segment net revenues by category: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54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6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4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Family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28"/>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Film and TV</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4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consolidated net revenues by brand portfolio:</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8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4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39"/>
              <w:spacing w:after="0" w:line="216" w:lineRule="exact"/>
              <w:rPr>
                <w:sz w:val="20"/>
                <w:szCs w:val="20"/>
                <w:color w:val="auto"/>
              </w:rPr>
            </w:pPr>
            <w:r>
              <w:rPr>
                <w:rFonts w:ascii="Arial" w:cs="Arial" w:eastAsia="Arial" w:hAnsi="Arial"/>
                <w:sz w:val="16"/>
                <w:szCs w:val="16"/>
                <w:b w:val="1"/>
                <w:bCs w:val="1"/>
                <w:color w:val="auto"/>
              </w:rPr>
              <w:t>2025</w:t>
            </w:r>
            <w:r>
              <w:rPr>
                <w:rFonts w:ascii="Arial" w:cs="Arial" w:eastAsia="Arial" w:hAnsi="Arial"/>
                <w:sz w:val="21"/>
                <w:szCs w:val="21"/>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39"/>
              <w:spacing w:after="0" w:line="216" w:lineRule="exact"/>
              <w:rPr>
                <w:sz w:val="20"/>
                <w:szCs w:val="20"/>
                <w:color w:val="auto"/>
              </w:rPr>
            </w:pPr>
            <w:r>
              <w:rPr>
                <w:rFonts w:ascii="Arial" w:cs="Arial" w:eastAsia="Arial" w:hAnsi="Arial"/>
                <w:sz w:val="16"/>
                <w:szCs w:val="16"/>
                <w:b w:val="1"/>
                <w:bCs w:val="1"/>
                <w:color w:val="auto"/>
              </w:rPr>
              <w:t>2025</w:t>
            </w:r>
            <w:r>
              <w:rPr>
                <w:rFonts w:ascii="Arial" w:cs="Arial" w:eastAsia="Arial" w:hAnsi="Arial"/>
                <w:sz w:val="21"/>
                <w:szCs w:val="21"/>
                <w:b w:val="1"/>
                <w:bCs w:val="1"/>
                <w:color w:val="auto"/>
                <w:vertAlign w:val="superscript"/>
              </w:rPr>
              <w:t>(1)</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Grow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2,369.6</w:t>
            </w: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Optimize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546.0</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Reinvent Brands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firstLine="8"/>
        <w:spacing w:after="0" w:line="312" w:lineRule="auto"/>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During the first quarter of 2026, the classification of brands within these categories was reviewed and certain brands were reclassified based on changes in growth, profitability or other characteristics. As such, the respective historical revenues associated within these brands have been reclassified into the brands' new brand category.</w:t>
      </w:r>
    </w:p>
    <w:p>
      <w:pPr>
        <w:spacing w:after="0" w:line="2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Entertainment One Film and TV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December 27, 2023, the Company completed the sale of its Entertainment One film and television business ("eOne Film and TV")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Lions Gate Entertainment Corp., Lions Gate Entertainment Inc. and Lions Gate International Motion Pictures S.à.r.l (collectively "Lionsgate"),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an Equity Purchase Agreement dated August 3, 2023, among Hasbro and Lionsgate for a purchase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$375.0 million in cash, subject to certain purchase price adjustments plus the assumption by Lionsgate of production financing loans.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Purchase Agreement also included a holdback amount that was retained by Lionsgate upon the execution of the sale but remained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recoverable by Hasbro if certain terms were not satisfied by Lionsgate within 30 days of the first anniversary of the agreement.</w:t>
      </w:r>
    </w:p>
    <w:p>
      <w:pPr>
        <w:spacing w:after="0" w:line="9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the nine months ended September 28, 2025, the Company was informed by Lionsgate of the satisfaction of the requirements under the agreement and the final holdback amount was settled, resulting in a $25.0 million Loss on disposal of business on the Consolidated Statements of Operations. During the nine months ended September 27, 2026, no further amounts were recorded to Loss on disposal of business.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6" w:name="page17"/>
    <w:bookmarkEnd w:id="16"/>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Common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earnings (loss) per share data was computed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8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4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Hasbro, Inc.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w:t>
            </w:r>
          </w:p>
        </w:tc>
      </w:tr>
      <w:tr>
        <w:trPr>
          <w:trHeight w:val="257"/>
        </w:trPr>
        <w:tc>
          <w:tcPr>
            <w:tcW w:w="4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shares outstanding</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r>
      <w:tr>
        <w:trPr>
          <w:trHeight w:val="228"/>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dilutive securities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Equivalent Shares</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Hasbro, Inc. per common share: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8"/>
        </w:trPr>
        <w:tc>
          <w:tcPr>
            <w:tcW w:w="4820" w:type="dxa"/>
            <w:vAlign w:val="bottom"/>
          </w:tcPr>
          <w:p>
            <w:pPr>
              <w:ind w:left="14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31"/>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r>
    </w:tbl>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both the three and nine months ended September 27, 2026, 0.2 million of options and other share-based awards were excluded from the calculation of diluted earnings per share because to include them would have been anti-dilutive. For the three and nine months ended September 28, 2025, 0.5 million and 3.6 million of options and other share-based awards, respectively, were excluded from the calculation of diluted earnings per share because to include them would have been anti-dilutive. With respect to the nine months ended September 28, 2025, 2.9 million awards would have been included in the calculation of diluted shares had the Company not reported a net loss. Assuming that these options and other share-based awards were included, under the treasury stock method, this would have resulted in an additional 1.3 million shares being included in the diluted earnings per share calculation for the nine months ended September 28, 2025.</w:t>
      </w:r>
    </w:p>
    <w:p>
      <w:pPr>
        <w:spacing w:after="0" w:line="7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(Loss), net of tax. Income tax effects are released from Accumulated other comprehensive loss ("AOCL") at the effective tax rate during the period in which the components are released.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AOCL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8"/>
          </w:tcPr>
          <w:p>
            <w:pPr>
              <w:ind w:left="240"/>
              <w:spacing w:after="0"/>
              <w:rPr>
                <w:sz w:val="20"/>
                <w:szCs w:val="20"/>
                <w:color w:val="auto"/>
              </w:rPr>
            </w:pPr>
            <w:r>
              <w:rPr>
                <w:rFonts w:ascii="Arial" w:cs="Arial" w:eastAsia="Arial" w:hAnsi="Arial"/>
                <w:sz w:val="16"/>
                <w:szCs w:val="16"/>
                <w:b w:val="1"/>
                <w:bCs w:val="1"/>
                <w:color w:val="auto"/>
              </w:rPr>
              <w:t>Three Months Ended September 27, 2026</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Pension and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Available-</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rPr>
              <w:t>Foreign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Currency</w:t>
            </w:r>
          </w:p>
        </w:tc>
        <w:tc>
          <w:tcPr>
            <w:tcW w:w="260" w:type="dxa"/>
            <w:vAlign w:val="bottom"/>
          </w:tcPr>
          <w:p>
            <w:pPr>
              <w:spacing w:after="0"/>
              <w:rPr>
                <w:sz w:val="14"/>
                <w:szCs w:val="14"/>
                <w:color w:val="auto"/>
              </w:rPr>
            </w:pPr>
          </w:p>
        </w:tc>
        <w:tc>
          <w:tcPr>
            <w:tcW w:w="10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Postretirement</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for-Sale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Translation</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Amounts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Securities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AOCL</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28, 2026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5" w:lineRule="exact"/>
              <w:rPr>
                <w:sz w:val="20"/>
                <w:szCs w:val="20"/>
                <w:color w:val="auto"/>
              </w:rPr>
            </w:pPr>
            <w:r>
              <w:rPr>
                <w:rFonts w:ascii="Arial" w:cs="Arial" w:eastAsia="Arial" w:hAnsi="Arial"/>
                <w:sz w:val="16"/>
                <w:szCs w:val="16"/>
                <w:color w:val="auto"/>
              </w:rPr>
              <w:t>Other comprehensive earnings (loss), before</w:t>
            </w:r>
          </w:p>
        </w:tc>
        <w:tc>
          <w:tcPr>
            <w:tcW w:w="160" w:type="dxa"/>
            <w:vAlign w:val="bottom"/>
          </w:tcPr>
          <w:p>
            <w:pPr>
              <w:spacing w:after="0"/>
              <w:rPr>
                <w:sz w:val="15"/>
                <w:szCs w:val="15"/>
                <w:color w:val="auto"/>
              </w:rPr>
            </w:pPr>
          </w:p>
        </w:tc>
        <w:tc>
          <w:tcPr>
            <w:tcW w:w="1520" w:type="dxa"/>
            <w:vAlign w:val="bottom"/>
            <w:gridSpan w:val="2"/>
            <w:vMerge w:val="restart"/>
          </w:tcPr>
          <w:p>
            <w:pPr>
              <w:ind w:left="1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reclassifications, before tax</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5" w:lineRule="exact"/>
              <w:rPr>
                <w:sz w:val="20"/>
                <w:szCs w:val="20"/>
                <w:color w:val="auto"/>
              </w:rPr>
            </w:pPr>
            <w:r>
              <w:rPr>
                <w:rFonts w:ascii="Arial" w:cs="Arial" w:eastAsia="Arial" w:hAnsi="Arial"/>
                <w:sz w:val="16"/>
                <w:szCs w:val="16"/>
                <w:color w:val="auto"/>
              </w:rPr>
              <w:t>Other comprehensive earnings (loss), before</w:t>
            </w:r>
          </w:p>
        </w:tc>
        <w:tc>
          <w:tcPr>
            <w:tcW w:w="160" w:type="dxa"/>
            <w:vAlign w:val="bottom"/>
          </w:tcPr>
          <w:p>
            <w:pPr>
              <w:spacing w:after="0"/>
              <w:rPr>
                <w:sz w:val="13"/>
                <w:szCs w:val="13"/>
                <w:color w:val="auto"/>
              </w:rPr>
            </w:pPr>
          </w:p>
        </w:tc>
        <w:tc>
          <w:tcPr>
            <w:tcW w:w="1520" w:type="dxa"/>
            <w:vAlign w:val="bottom"/>
            <w:gridSpan w:val="2"/>
            <w:vMerge w:val="restart"/>
          </w:tcPr>
          <w:p>
            <w:pPr>
              <w:ind w:left="1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 from AOCL to earnings, before tax</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Reclassifications from AOCL to earnings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earnings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6"/>
                <w:szCs w:val="16"/>
                <w:color w:val="auto"/>
              </w:rPr>
              <w:t>Balance, September 27, 2026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6"/>
                <w:szCs w:val="16"/>
                <w:b w:val="1"/>
                <w:bCs w:val="1"/>
                <w:color w:val="auto"/>
              </w:rPr>
              <w:t>Nine Months Ended September 27, 2026</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Pension and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Available-</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rPr>
              <w:t>Foreign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Currency</w:t>
            </w:r>
          </w:p>
        </w:tc>
        <w:tc>
          <w:tcPr>
            <w:tcW w:w="260" w:type="dxa"/>
            <w:vAlign w:val="bottom"/>
          </w:tcPr>
          <w:p>
            <w:pPr>
              <w:spacing w:after="0"/>
              <w:rPr>
                <w:sz w:val="14"/>
                <w:szCs w:val="14"/>
                <w:color w:val="auto"/>
              </w:rPr>
            </w:pPr>
          </w:p>
        </w:tc>
        <w:tc>
          <w:tcPr>
            <w:tcW w:w="104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Postretirement</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for-Sale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Translation</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Instruments</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Securities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Adjustments</w:t>
            </w:r>
          </w:p>
        </w:tc>
        <w:tc>
          <w:tcPr>
            <w:tcW w:w="26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b w:val="1"/>
                <w:bCs w:val="1"/>
                <w:color w:val="auto"/>
              </w:rPr>
              <w:t>AOCL</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28,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5" w:lineRule="exact"/>
              <w:rPr>
                <w:sz w:val="20"/>
                <w:szCs w:val="20"/>
                <w:color w:val="auto"/>
              </w:rPr>
            </w:pPr>
            <w:r>
              <w:rPr>
                <w:rFonts w:ascii="Arial" w:cs="Arial" w:eastAsia="Arial" w:hAnsi="Arial"/>
                <w:sz w:val="16"/>
                <w:szCs w:val="16"/>
                <w:color w:val="auto"/>
              </w:rPr>
              <w:t>Other comprehensive earnings (loss), before</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reclassifications, before tax</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56"/>
        </w:trPr>
        <w:tc>
          <w:tcPr>
            <w:tcW w:w="3940" w:type="dxa"/>
            <w:vAlign w:val="bottom"/>
          </w:tcPr>
          <w:p>
            <w:pPr>
              <w:ind w:left="20"/>
              <w:spacing w:after="0" w:line="155" w:lineRule="exact"/>
              <w:rPr>
                <w:sz w:val="20"/>
                <w:szCs w:val="20"/>
                <w:color w:val="auto"/>
              </w:rPr>
            </w:pPr>
            <w:r>
              <w:rPr>
                <w:rFonts w:ascii="Arial" w:cs="Arial" w:eastAsia="Arial" w:hAnsi="Arial"/>
                <w:sz w:val="16"/>
                <w:szCs w:val="16"/>
                <w:color w:val="auto"/>
              </w:rPr>
              <w:t>Other comprehensive earnings (loss), before</w:t>
            </w: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 from AOCL to earnings, before tax</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Reclassifications from AOCL to earnings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earnings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7"/>
        </w:trPr>
        <w:tc>
          <w:tcPr>
            <w:tcW w:w="3940" w:type="dxa"/>
            <w:vAlign w:val="bottom"/>
          </w:tcPr>
          <w:p>
            <w:pPr>
              <w:ind w:left="20"/>
              <w:spacing w:after="0"/>
              <w:rPr>
                <w:sz w:val="20"/>
                <w:szCs w:val="20"/>
                <w:color w:val="auto"/>
              </w:rPr>
            </w:pPr>
            <w:r>
              <w:rPr>
                <w:rFonts w:ascii="Arial" w:cs="Arial" w:eastAsia="Arial" w:hAnsi="Arial"/>
                <w:sz w:val="16"/>
                <w:szCs w:val="16"/>
                <w:color w:val="auto"/>
              </w:rPr>
              <w:t>Balance, September 27, 2026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6"/>
                <w:szCs w:val="16"/>
                <w:b w:val="1"/>
                <w:bCs w:val="1"/>
                <w:color w:val="auto"/>
              </w:rPr>
              <w:t>Three Months Ended September 28, 2025</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Pension and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Available-</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rPr>
              <w:t>Foreign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Currency</w:t>
            </w:r>
          </w:p>
        </w:tc>
        <w:tc>
          <w:tcPr>
            <w:tcW w:w="260" w:type="dxa"/>
            <w:vAlign w:val="bottom"/>
          </w:tcPr>
          <w:p>
            <w:pPr>
              <w:spacing w:after="0"/>
              <w:rPr>
                <w:sz w:val="14"/>
                <w:szCs w:val="14"/>
                <w:color w:val="auto"/>
              </w:rPr>
            </w:pPr>
          </w:p>
        </w:tc>
        <w:tc>
          <w:tcPr>
            <w:tcW w:w="104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Postretirement</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for-Sale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Translation</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Instruments</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Securities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Adjustments</w:t>
            </w:r>
          </w:p>
        </w:tc>
        <w:tc>
          <w:tcPr>
            <w:tcW w:w="26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b w:val="1"/>
                <w:bCs w:val="1"/>
                <w:color w:val="auto"/>
              </w:rPr>
              <w:t>AOCL</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29,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5" w:lineRule="exact"/>
              <w:rPr>
                <w:sz w:val="20"/>
                <w:szCs w:val="20"/>
                <w:color w:val="auto"/>
              </w:rPr>
            </w:pPr>
            <w:r>
              <w:rPr>
                <w:rFonts w:ascii="Arial" w:cs="Arial" w:eastAsia="Arial" w:hAnsi="Arial"/>
                <w:sz w:val="16"/>
                <w:szCs w:val="16"/>
                <w:color w:val="auto"/>
              </w:rPr>
              <w:t>Other comprehensive (loss) earnings, before</w:t>
            </w:r>
          </w:p>
        </w:tc>
        <w:tc>
          <w:tcPr>
            <w:tcW w:w="16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reclassifications, before tax</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56"/>
        </w:trPr>
        <w:tc>
          <w:tcPr>
            <w:tcW w:w="3940" w:type="dxa"/>
            <w:vAlign w:val="bottom"/>
          </w:tcPr>
          <w:p>
            <w:pPr>
              <w:ind w:left="20"/>
              <w:spacing w:after="0" w:line="155" w:lineRule="exact"/>
              <w:rPr>
                <w:sz w:val="20"/>
                <w:szCs w:val="20"/>
                <w:color w:val="auto"/>
              </w:rPr>
            </w:pPr>
            <w:r>
              <w:rPr>
                <w:rFonts w:ascii="Arial" w:cs="Arial" w:eastAsia="Arial" w:hAnsi="Arial"/>
                <w:sz w:val="16"/>
                <w:szCs w:val="16"/>
                <w:color w:val="auto"/>
              </w:rPr>
              <w:t>Other comprehensive (loss) earnings, before</w:t>
            </w:r>
          </w:p>
        </w:tc>
        <w:tc>
          <w:tcPr>
            <w:tcW w:w="160" w:type="dxa"/>
            <w:vAlign w:val="bottom"/>
          </w:tcPr>
          <w:p>
            <w:pPr>
              <w:spacing w:after="0"/>
              <w:rPr>
                <w:sz w:val="13"/>
                <w:szCs w:val="13"/>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6"/>
                <w:szCs w:val="16"/>
                <w:color w:val="auto"/>
              </w:rPr>
              <w:t>Reclassification from AOCL to earnings, before tax</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Reclassifications from AOCL to earnings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earnings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6"/>
                <w:szCs w:val="16"/>
                <w:color w:val="auto"/>
              </w:rPr>
              <w:t>Balance, September 28, 2025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(222.4)</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6"/>
                <w:szCs w:val="16"/>
                <w:b w:val="1"/>
                <w:bCs w:val="1"/>
                <w:color w:val="auto"/>
              </w:rPr>
              <w:t>Nine Months Ended September 28, 2025</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Pension and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Available-</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rPr>
              <w:t>Foreign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Currency</w:t>
            </w:r>
          </w:p>
        </w:tc>
        <w:tc>
          <w:tcPr>
            <w:tcW w:w="260" w:type="dxa"/>
            <w:vAlign w:val="bottom"/>
          </w:tcPr>
          <w:p>
            <w:pPr>
              <w:spacing w:after="0"/>
              <w:rPr>
                <w:sz w:val="14"/>
                <w:szCs w:val="14"/>
                <w:color w:val="auto"/>
              </w:rPr>
            </w:pPr>
          </w:p>
        </w:tc>
        <w:tc>
          <w:tcPr>
            <w:tcW w:w="104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Postretirement</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for-Sale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Translation</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Instruments</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Securities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Adjustments</w:t>
            </w:r>
          </w:p>
        </w:tc>
        <w:tc>
          <w:tcPr>
            <w:tcW w:w="26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b w:val="1"/>
                <w:bCs w:val="1"/>
                <w:color w:val="auto"/>
              </w:rPr>
              <w:t>AOCL</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29,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175"/>
        </w:trPr>
        <w:tc>
          <w:tcPr>
            <w:tcW w:w="3940" w:type="dxa"/>
            <w:vAlign w:val="bottom"/>
          </w:tcPr>
          <w:p>
            <w:pPr>
              <w:ind w:left="140"/>
              <w:spacing w:after="0" w:line="175" w:lineRule="exact"/>
              <w:rPr>
                <w:sz w:val="20"/>
                <w:szCs w:val="20"/>
                <w:color w:val="auto"/>
              </w:rPr>
            </w:pPr>
            <w:r>
              <w:rPr>
                <w:rFonts w:ascii="Arial" w:cs="Arial" w:eastAsia="Arial" w:hAnsi="Arial"/>
                <w:sz w:val="16"/>
                <w:szCs w:val="16"/>
                <w:color w:val="auto"/>
              </w:rPr>
              <w:t>Other comprehensive (loss) earnings, before</w:t>
            </w:r>
          </w:p>
        </w:tc>
        <w:tc>
          <w:tcPr>
            <w:tcW w:w="16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reclassifications, before tax</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56"/>
        </w:trPr>
        <w:tc>
          <w:tcPr>
            <w:tcW w:w="3940" w:type="dxa"/>
            <w:vAlign w:val="bottom"/>
          </w:tcPr>
          <w:p>
            <w:pPr>
              <w:ind w:left="140"/>
              <w:spacing w:after="0" w:line="155" w:lineRule="exact"/>
              <w:rPr>
                <w:sz w:val="20"/>
                <w:szCs w:val="20"/>
                <w:color w:val="auto"/>
              </w:rPr>
            </w:pPr>
            <w:r>
              <w:rPr>
                <w:rFonts w:ascii="Arial" w:cs="Arial" w:eastAsia="Arial" w:hAnsi="Arial"/>
                <w:sz w:val="16"/>
                <w:szCs w:val="16"/>
                <w:color w:val="auto"/>
              </w:rPr>
              <w:t>Other comprehensive (loss) earnings, before</w:t>
            </w:r>
          </w:p>
        </w:tc>
        <w:tc>
          <w:tcPr>
            <w:tcW w:w="160" w:type="dxa"/>
            <w:vAlign w:val="bottom"/>
          </w:tcPr>
          <w:p>
            <w:pPr>
              <w:spacing w:after="0"/>
              <w:rPr>
                <w:sz w:val="13"/>
                <w:szCs w:val="13"/>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140"/>
              <w:spacing w:after="0"/>
              <w:rPr>
                <w:sz w:val="20"/>
                <w:szCs w:val="20"/>
                <w:color w:val="auto"/>
              </w:rPr>
            </w:pPr>
            <w:r>
              <w:rPr>
                <w:rFonts w:ascii="Arial" w:cs="Arial" w:eastAsia="Arial" w:hAnsi="Arial"/>
                <w:sz w:val="16"/>
                <w:szCs w:val="16"/>
                <w:color w:val="auto"/>
              </w:rPr>
              <w:t>Reclassification from AOCL to earnings, before tax</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Reclassifications from AOCL to earnings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earnings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8" w:name="page19"/>
    <w:bookmarkEnd w:id="18"/>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263525</wp:posOffset>
            </wp:positionV>
            <wp:extent cx="46120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980" w:val="left"/>
          <w:tab w:leader="none" w:pos="5140" w:val="left"/>
          <w:tab w:leader="none" w:pos="5620" w:val="left"/>
          <w:tab w:leader="none" w:pos="6480" w:val="left"/>
          <w:tab w:leader="none" w:pos="7060" w:val="left"/>
          <w:tab w:leader="none" w:pos="8000" w:val="left"/>
          <w:tab w:leader="none" w:pos="8480" w:val="left"/>
          <w:tab w:leader="none" w:pos="9240" w:val="left"/>
          <w:tab w:leader="none" w:pos="9920" w:val="left"/>
          <w:tab w:leader="none" w:pos="10680" w:val="left"/>
        </w:tabs>
        <w:rPr>
          <w:sz w:val="20"/>
          <w:szCs w:val="20"/>
          <w:color w:val="auto"/>
        </w:rPr>
      </w:pPr>
      <w:r>
        <w:rPr>
          <w:rFonts w:ascii="Arial" w:cs="Arial" w:eastAsia="Arial" w:hAnsi="Arial"/>
          <w:sz w:val="16"/>
          <w:szCs w:val="16"/>
          <w:color w:val="auto"/>
        </w:rPr>
        <w:t>Balance, September 28, 2025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(8.1)</w:t>
        <w:tab/>
        <w:t>$</w:t>
      </w:r>
      <w:r>
        <w:rPr>
          <w:sz w:val="20"/>
          <w:szCs w:val="20"/>
          <w:color w:val="auto"/>
        </w:rPr>
        <w:tab/>
      </w:r>
      <w:r>
        <w:rPr>
          <w:rFonts w:ascii="Arial" w:cs="Arial" w:eastAsia="Arial" w:hAnsi="Arial"/>
          <w:sz w:val="16"/>
          <w:szCs w:val="16"/>
          <w:color w:val="auto"/>
        </w:rPr>
        <w:t>(21.6)</w:t>
        <w:tab/>
        <w:t>$</w:t>
      </w:r>
      <w:r>
        <w:rPr>
          <w:sz w:val="20"/>
          <w:szCs w:val="20"/>
          <w:color w:val="auto"/>
        </w:rPr>
        <w:tab/>
      </w:r>
      <w:r>
        <w:rPr>
          <w:rFonts w:ascii="Arial" w:cs="Arial" w:eastAsia="Arial" w:hAnsi="Arial"/>
          <w:sz w:val="16"/>
          <w:szCs w:val="16"/>
          <w:color w:val="auto"/>
        </w:rPr>
        <w:t>(0.1)</w:t>
        <w:tab/>
        <w:t>$</w:t>
      </w:r>
      <w:r>
        <w:rPr>
          <w:sz w:val="20"/>
          <w:szCs w:val="20"/>
          <w:color w:val="auto"/>
        </w:rPr>
        <w:tab/>
      </w:r>
      <w:r>
        <w:rPr>
          <w:rFonts w:ascii="Arial" w:cs="Arial" w:eastAsia="Arial" w:hAnsi="Arial"/>
          <w:sz w:val="16"/>
          <w:szCs w:val="16"/>
          <w:color w:val="auto"/>
        </w:rPr>
        <w:t>(192.6)</w:t>
        <w:tab/>
        <w:t>$</w:t>
      </w:r>
      <w:r>
        <w:rPr>
          <w:sz w:val="20"/>
          <w:szCs w:val="20"/>
          <w:color w:val="auto"/>
        </w:rPr>
        <w:tab/>
      </w:r>
      <w:r>
        <w:rPr>
          <w:rFonts w:ascii="Arial" w:cs="Arial" w:eastAsia="Arial" w:hAnsi="Arial"/>
          <w:sz w:val="16"/>
          <w:szCs w:val="16"/>
          <w:color w:val="auto"/>
        </w:rPr>
        <w:t>(222.4)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29210</wp:posOffset>
            </wp:positionV>
            <wp:extent cx="461200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12005" cy="342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27, 2026, the Company had remaining net deferred losses on foreign currency forward contracts, net of tax, of $0.4 million in AOCL. These instruments hedge payments related to inventory purchased in the nine months ended September 27, 2026 or forecasted to be purchased through 2028, intercompany expenses expected to be paid or received during 2026 and 2027 and cash receipts for sales made at the end of the third quarter of 2026 or forecasted to be made through 2028. These amounts will be reclassified into the Consolidated Statements of Operations upon the sale of the related inventory or recognition of the related sales or expenses.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foreign currency forward contracts, the Company entered into hedging contracts on future interest payments related to the 5.10% Notes due 2044. At the date of debt issuance, these contracts were terminated and the fair value on the date of settlement was deferred in AOCL and is being amortized to Interest expense over the life of the related Notes using the effective interest rate method. At September 27, 2026, deferred losses, net of tax, of $10.6 million related to these instruments remained in AOCL. For the three months ended September 27, 2026 and September 28, 2025, previously deferred losses, net of tax, of $0.1 million and $0.2 million, respectively, related to these instruments were reclassified from AOCL to net earnings. For the nine months ended September 27, 2026 and September 28, 2025, previously deferred losses, net of tax, of $2.2 million and $0.6 million, respectively, related to these instruments were reclassified from AOCL to net earnings.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Of the amounts included in AOCL at September 27, 2026, the Company expects net loss of approximately $0.2 million to be reclassified to the Consolidated Statements of Operations within the next twelve months. However, the amount ultimately realized in earnings is dependent on the fair value of the hedging instruments on the settlement dates.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Refer to Note 14, Derivative Financial Instruments, to the consolidated financial statements for additional discussion on reclassifications from AOCL to earnings.</w:t>
      </w:r>
    </w:p>
    <w:p>
      <w:pPr>
        <w:spacing w:after="0" w:line="45"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operating segment,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Wizards of the Coast</w:t>
            </w:r>
          </w:p>
        </w:tc>
        <w:tc>
          <w:tcPr>
            <w:tcW w:w="1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Consumer Products</w:t>
            </w:r>
          </w:p>
        </w:tc>
        <w:tc>
          <w:tcPr>
            <w:tcW w:w="220" w:type="dxa"/>
            <w:vAlign w:val="bottom"/>
          </w:tcPr>
          <w:p>
            <w:pPr>
              <w:spacing w:after="0"/>
              <w:rPr>
                <w:sz w:val="16"/>
                <w:szCs w:val="16"/>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Entertainment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and Digital Gaming</w:t>
            </w:r>
          </w:p>
        </w:tc>
        <w:tc>
          <w:tcPr>
            <w:tcW w:w="18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5"/>
              </w:rPr>
              <w:t>2026</w:t>
            </w:r>
          </w:p>
        </w:tc>
        <w:tc>
          <w:tcPr>
            <w:tcW w:w="3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Balance, December 28, 2025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370.5</w:t>
            </w:r>
          </w:p>
        </w:tc>
        <w:tc>
          <w:tcPr>
            <w:tcW w:w="100" w:type="dxa"/>
            <w:vAlign w:val="bottom"/>
          </w:tcPr>
          <w:p>
            <w:pPr>
              <w:spacing w:after="0"/>
              <w:rPr>
                <w:sz w:val="19"/>
                <w:szCs w:val="19"/>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561.0</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1,256.7</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 exchange translation</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Balance, September 27, 2026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370.2</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560.9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1,256.3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Wizards of the Coast</w:t>
            </w:r>
          </w:p>
        </w:tc>
        <w:tc>
          <w:tcPr>
            <w:tcW w:w="18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Consumer Products</w:t>
            </w:r>
          </w:p>
        </w:tc>
        <w:tc>
          <w:tcPr>
            <w:tcW w:w="220" w:type="dxa"/>
            <w:vAlign w:val="bottom"/>
          </w:tcPr>
          <w:p>
            <w:pPr>
              <w:spacing w:after="0"/>
              <w:rPr>
                <w:sz w:val="16"/>
                <w:szCs w:val="16"/>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Entertainment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and Digital Gaming</w:t>
            </w:r>
          </w:p>
        </w:tc>
        <w:tc>
          <w:tcPr>
            <w:tcW w:w="18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5"/>
              </w:rPr>
              <w:t>2025</w:t>
            </w:r>
          </w:p>
        </w:tc>
        <w:tc>
          <w:tcPr>
            <w:tcW w:w="3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Balance, December 29, 2024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371.0</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1,582.0</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2,278.2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Impairment of goodwill</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Arial" w:cs="Arial" w:eastAsia="Arial" w:hAnsi="Arial"/>
                <w:sz w:val="16"/>
                <w:szCs w:val="16"/>
                <w:color w:val="auto"/>
              </w:rPr>
              <w:t>Foreign exchange translation</w:t>
            </w:r>
          </w:p>
        </w:tc>
        <w:tc>
          <w:tcPr>
            <w:tcW w:w="120" w:type="dxa"/>
            <w:vAlign w:val="bottom"/>
          </w:tcPr>
          <w:p>
            <w:pPr>
              <w:spacing w:after="0"/>
              <w:rPr>
                <w:sz w:val="19"/>
                <w:szCs w:val="19"/>
                <w:color w:val="auto"/>
              </w:rPr>
            </w:pP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September 28,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1,256.5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assess goodwill and other intangible assets with indefinite lives for impairment each year, or more frequently if events or changes in circumstances indicate an asset may be impaired. For goodwill and indefinite-lived intangible assets, our policy is to assess for impairment as of the beginning of each fiscal fourth quarter. The Company may perform a qualitative assessment and bypass the quantitative impairment testing process, if it is not more likely than not that the carrying value of a reporting unit exceeds its fair value. During the three and nine months ended September 27, 2026, there were no events or changes in circumstances necessitating an interim impairment test.</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increased tariffs, including reciprocal tariffs, announced by the U.S. government in April 2025, the escalation of ongoing trade policy disputes between international governments, the financial performance of certain reporting units being lower than previously forecasted, and other macroeconomic headwinds, in April 2025, the Company noted downward revisions to operating income and cash flow forecasts for certain of its reporting units within the Consumer Products and Entertainment segments. As a result, during the nine months ended September 28,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9" w:name="page20"/>
    <w:bookmarkEnd w:id="19"/>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performed an interim quantitative impairment test for the North America, Europe, Asia Pacific, and Latin America Consumer Products reporting units, as well as the Family Brands reporting unit within the Entertainment segment. Additionally, due to our ongoing transformation, we concluded that, as of the second quarter of 2025, the North America, Europe, Asia Pacific, and Latin America reporting units had similar economic characteristics and should be aggregated for purposes of testing goodwill for impairment. Our conclusion was based on a detailed analysis of the aggregation criteria set forth in FASB Accounting Standards Codification ("ASC") Topic 280, Segment Reporting, and in FASB ASC Topic 350, Intangibles - Goodwill and Other. These reporting units serve similar clients and have similar products, and as of the second quarter of 2025 had similar sourcing and distribution methods that along with our ongoing transformation has resulted in similar economic characteristics.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the quantitative tests performed prior to and following the aggregation, in April 2025, the Company determined that the carrying values of our regional Consumer Products reporting units exceeded their expected fair values and recorded pre-tax non-cash impairment charges of $1,021.9 million within the Consolidated Statements of Operations for the nine months ended September 28, 2025. The fair values of North America and Europe were determined considering a discounted cash flow model which was primarily based on management’s future revenue and cost estimates, which included the estimated impact of tariff policies in effect and the related macroeconomic environment, and a discount rate. The fair value of the Asia Pacific and Latin America reporting units were determined considering a discounted cash flow model weighted equally with the market approach which was primarily based on multiples of comparable public companies. No impairments were recorded related to the Family Brands reporting unit.</w:t>
      </w:r>
    </w:p>
    <w:p>
      <w:pPr>
        <w:spacing w:after="0" w:line="77"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Productions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Investments in productions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unamortized investments in productions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6"/>
                <w:szCs w:val="16"/>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28,</w:t>
            </w:r>
          </w:p>
        </w:tc>
      </w:tr>
      <w:tr>
        <w:trPr>
          <w:trHeight w:val="216"/>
        </w:trPr>
        <w:tc>
          <w:tcPr>
            <w:tcW w:w="6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Films and Television Programs: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8"/>
        </w:trPr>
        <w:tc>
          <w:tcPr>
            <w:tcW w:w="6400" w:type="dxa"/>
            <w:vAlign w:val="bottom"/>
          </w:tcPr>
          <w:p>
            <w:pPr>
              <w:ind w:left="140"/>
              <w:spacing w:after="0"/>
              <w:rPr>
                <w:sz w:val="20"/>
                <w:szCs w:val="20"/>
                <w:color w:val="auto"/>
              </w:rPr>
            </w:pPr>
            <w:r>
              <w:rPr>
                <w:rFonts w:ascii="Arial" w:cs="Arial" w:eastAsia="Arial" w:hAnsi="Arial"/>
                <w:sz w:val="16"/>
                <w:szCs w:val="16"/>
                <w:color w:val="auto"/>
              </w:rPr>
              <w:t>Individual monetization:</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Released, net of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29"/>
        </w:trPr>
        <w:tc>
          <w:tcPr>
            <w:tcW w:w="6400" w:type="dxa"/>
            <w:vAlign w:val="bottom"/>
          </w:tcPr>
          <w:p>
            <w:pPr>
              <w:ind w:left="240"/>
              <w:spacing w:after="0"/>
              <w:rPr>
                <w:sz w:val="20"/>
                <w:szCs w:val="20"/>
                <w:color w:val="auto"/>
              </w:rPr>
            </w:pPr>
            <w:r>
              <w:rPr>
                <w:rFonts w:ascii="Arial" w:cs="Arial" w:eastAsia="Arial" w:hAnsi="Arial"/>
                <w:sz w:val="16"/>
                <w:szCs w:val="16"/>
                <w:color w:val="auto"/>
              </w:rPr>
              <w:t>In production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Pre-production</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individual monetization</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r>
      <w:tr>
        <w:trPr>
          <w:trHeight w:val="210"/>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Film/TV group monetization:</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8"/>
        </w:trPr>
        <w:tc>
          <w:tcPr>
            <w:tcW w:w="6400" w:type="dxa"/>
            <w:vAlign w:val="bottom"/>
          </w:tcPr>
          <w:p>
            <w:pPr>
              <w:ind w:left="240"/>
              <w:spacing w:after="0"/>
              <w:rPr>
                <w:sz w:val="20"/>
                <w:szCs w:val="20"/>
                <w:color w:val="auto"/>
              </w:rPr>
            </w:pPr>
            <w:r>
              <w:rPr>
                <w:rFonts w:ascii="Arial" w:cs="Arial" w:eastAsia="Arial" w:hAnsi="Arial"/>
                <w:sz w:val="16"/>
                <w:szCs w:val="16"/>
                <w:color w:val="auto"/>
              </w:rPr>
              <w:t>Released, net of amortization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 production</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film/TV group monetization</w:t>
            </w: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24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program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program cost amortization consisted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8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4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Individual monetization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2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Film/TV group monetization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49"/>
        </w:trPr>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program cost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0" w:name="page21"/>
    <w:bookmarkEnd w:id="20"/>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Balance Sheet Information</w:t>
      </w:r>
    </w:p>
    <w:p>
      <w:pPr>
        <w:spacing w:after="0" w:line="11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Prepaid expenses and other current assets include contract assets, current of $111.0 million, $129.8 million, and $142.4 million as of September 27, 2026, September 28, 2025, and December 28, 2025, respectively.</w:t>
      </w:r>
    </w:p>
    <w:p>
      <w:pPr>
        <w:spacing w:after="0" w:line="4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Other assets include deferred tax assets of $265.1 million, $376.5 million, and $286.8 million as of September 27, 2026, September 28, 2025, and December 28, 2025, respectively, and unamortized software development costs of $406.0 million, $359.9 million, and $385.6 million as of September 27, 2026, September 28, 2025, and December 28, 2025,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accrued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27,</w:t>
            </w: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28,</w:t>
            </w:r>
          </w:p>
        </w:tc>
        <w:tc>
          <w:tcPr>
            <w:tcW w:w="166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December 28, 2025</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royalties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 and management incentives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6"/>
                <w:szCs w:val="16"/>
                <w:color w:val="auto"/>
              </w:rPr>
              <w:t>Accrued income taxes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1"/>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6"/>
                <w:szCs w:val="16"/>
                <w:color w:val="auto"/>
              </w:rPr>
              <w:t>Freight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31"/>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taxes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6"/>
                <w:szCs w:val="16"/>
                <w:color w:val="auto"/>
              </w:rPr>
              <w:t>General vendor accruals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6"/>
                <w:szCs w:val="16"/>
                <w:color w:val="auto"/>
              </w:rPr>
              <w:t>Lease liability - current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1"/>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6"/>
                <w:szCs w:val="16"/>
                <w:color w:val="auto"/>
              </w:rPr>
              <w:t>Defined contribution plans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cancellation charges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6"/>
                <w:szCs w:val="16"/>
                <w:color w:val="auto"/>
              </w:rPr>
              <w:t>Insurance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6"/>
                <w:szCs w:val="16"/>
                <w:color w:val="auto"/>
              </w:rPr>
              <w:t>Participations and residuals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 productions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49"/>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 and Other Financing</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carrying costs, which are equal to the outstanding principal amounts, and fair values of the Company's long-term borrowings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September 27, 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September 28, 2025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28, 2025</w:t>
            </w:r>
          </w:p>
        </w:tc>
      </w:tr>
      <w:tr>
        <w:trPr>
          <w:trHeight w:val="169"/>
        </w:trPr>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4"/>
                <w:szCs w:val="14"/>
                <w:color w:val="auto"/>
              </w:rPr>
            </w:pPr>
          </w:p>
        </w:tc>
        <w:tc>
          <w:tcPr>
            <w:tcW w:w="1140" w:type="dxa"/>
            <w:vAlign w:val="bottom"/>
            <w:gridSpan w:val="2"/>
          </w:tcPr>
          <w:p>
            <w:pPr>
              <w:jc w:val="center"/>
              <w:ind w:right="400"/>
              <w:spacing w:after="0" w:line="169" w:lineRule="exact"/>
              <w:rPr>
                <w:sz w:val="20"/>
                <w:szCs w:val="20"/>
                <w:color w:val="auto"/>
              </w:rPr>
            </w:pPr>
            <w:r>
              <w:rPr>
                <w:rFonts w:ascii="Arial" w:cs="Arial" w:eastAsia="Arial" w:hAnsi="Arial"/>
                <w:sz w:val="16"/>
                <w:szCs w:val="16"/>
                <w:b w:val="1"/>
                <w:bCs w:val="1"/>
                <w:color w:val="auto"/>
              </w:rPr>
              <w:t>Fair</w:t>
            </w:r>
          </w:p>
        </w:tc>
        <w:tc>
          <w:tcPr>
            <w:tcW w:w="220" w:type="dxa"/>
            <w:vAlign w:val="bottom"/>
          </w:tcPr>
          <w:p>
            <w:pPr>
              <w:spacing w:after="0"/>
              <w:rPr>
                <w:sz w:val="14"/>
                <w:szCs w:val="14"/>
                <w:color w:val="auto"/>
              </w:rPr>
            </w:pPr>
          </w:p>
        </w:tc>
        <w:tc>
          <w:tcPr>
            <w:tcW w:w="1200" w:type="dxa"/>
            <w:vAlign w:val="bottom"/>
            <w:gridSpan w:val="2"/>
          </w:tcPr>
          <w:p>
            <w:pPr>
              <w:jc w:val="center"/>
              <w:ind w:right="340"/>
              <w:spacing w:after="0" w:line="169"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4"/>
                <w:szCs w:val="14"/>
                <w:color w:val="auto"/>
              </w:rPr>
            </w:pPr>
          </w:p>
        </w:tc>
        <w:tc>
          <w:tcPr>
            <w:tcW w:w="1140" w:type="dxa"/>
            <w:vAlign w:val="bottom"/>
            <w:gridSpan w:val="2"/>
          </w:tcPr>
          <w:p>
            <w:pPr>
              <w:jc w:val="center"/>
              <w:ind w:right="400"/>
              <w:spacing w:after="0" w:line="169" w:lineRule="exact"/>
              <w:rPr>
                <w:sz w:val="20"/>
                <w:szCs w:val="20"/>
                <w:color w:val="auto"/>
              </w:rPr>
            </w:pPr>
            <w:r>
              <w:rPr>
                <w:rFonts w:ascii="Arial" w:cs="Arial" w:eastAsia="Arial" w:hAnsi="Arial"/>
                <w:sz w:val="16"/>
                <w:szCs w:val="16"/>
                <w:b w:val="1"/>
                <w:bCs w:val="1"/>
                <w:color w:val="auto"/>
              </w:rPr>
              <w:t>Fair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rPr>
              <w:t>Carrying</w:t>
            </w:r>
          </w:p>
        </w:tc>
        <w:tc>
          <w:tcPr>
            <w:tcW w:w="260" w:type="dxa"/>
            <w:vAlign w:val="bottom"/>
          </w:tcPr>
          <w:p>
            <w:pPr>
              <w:spacing w:after="0"/>
              <w:rPr>
                <w:sz w:val="14"/>
                <w:szCs w:val="14"/>
                <w:color w:val="auto"/>
              </w:rPr>
            </w:pPr>
          </w:p>
        </w:tc>
        <w:tc>
          <w:tcPr>
            <w:tcW w:w="1040" w:type="dxa"/>
            <w:vAlign w:val="bottom"/>
          </w:tcPr>
          <w:p>
            <w:pPr>
              <w:jc w:val="right"/>
              <w:ind w:right="419"/>
              <w:spacing w:after="0" w:line="169" w:lineRule="exact"/>
              <w:rPr>
                <w:sz w:val="20"/>
                <w:szCs w:val="20"/>
                <w:color w:val="auto"/>
              </w:rPr>
            </w:pPr>
            <w:r>
              <w:rPr>
                <w:rFonts w:ascii="Arial" w:cs="Arial" w:eastAsia="Arial" w:hAnsi="Arial"/>
                <w:sz w:val="16"/>
                <w:szCs w:val="16"/>
                <w:b w:val="1"/>
                <w:bCs w:val="1"/>
                <w:color w:val="auto"/>
              </w:rPr>
              <w:t>Fair</w:t>
            </w:r>
          </w:p>
        </w:tc>
      </w:tr>
      <w:tr>
        <w:trPr>
          <w:trHeight w:val="216"/>
        </w:trPr>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Value</w:t>
            </w: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Value</w:t>
            </w:r>
          </w:p>
        </w:tc>
      </w:tr>
      <w:tr>
        <w:trPr>
          <w:trHeight w:val="223"/>
        </w:trPr>
        <w:tc>
          <w:tcPr>
            <w:tcW w:w="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3.90%</w:t>
            </w:r>
          </w:p>
        </w:tc>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Due 2029</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885.2</w:t>
            </w:r>
          </w:p>
        </w:tc>
      </w:tr>
      <w:tr>
        <w:trPr>
          <w:trHeight w:val="229"/>
        </w:trPr>
        <w:tc>
          <w:tcPr>
            <w:tcW w:w="500" w:type="dxa"/>
            <w:vAlign w:val="bottom"/>
          </w:tcPr>
          <w:p>
            <w:pPr>
              <w:ind w:left="20"/>
              <w:spacing w:after="0"/>
              <w:rPr>
                <w:sz w:val="20"/>
                <w:szCs w:val="20"/>
                <w:color w:val="auto"/>
              </w:rPr>
            </w:pPr>
            <w:r>
              <w:rPr>
                <w:rFonts w:ascii="Arial" w:cs="Arial" w:eastAsia="Arial" w:hAnsi="Arial"/>
                <w:sz w:val="16"/>
                <w:szCs w:val="16"/>
                <w:color w:val="auto"/>
              </w:rPr>
              <w:t>6.05%</w:t>
            </w:r>
          </w:p>
        </w:tc>
        <w:tc>
          <w:tcPr>
            <w:tcW w:w="2340" w:type="dxa"/>
            <w:vAlign w:val="bottom"/>
          </w:tcPr>
          <w:p>
            <w:pPr>
              <w:ind w:left="40"/>
              <w:spacing w:after="0"/>
              <w:rPr>
                <w:sz w:val="20"/>
                <w:szCs w:val="20"/>
                <w:color w:val="auto"/>
              </w:rPr>
            </w:pPr>
            <w:r>
              <w:rPr>
                <w:rFonts w:ascii="Arial" w:cs="Arial" w:eastAsia="Arial" w:hAnsi="Arial"/>
                <w:sz w:val="16"/>
                <w:szCs w:val="16"/>
                <w:color w:val="auto"/>
              </w:rPr>
              <w:t>Notes Due 2034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530.7</w:t>
            </w: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3.55%</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Notes Due 2026</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w:t>
            </w:r>
          </w:p>
        </w:tc>
      </w:tr>
      <w:tr>
        <w:trPr>
          <w:trHeight w:val="229"/>
        </w:trPr>
        <w:tc>
          <w:tcPr>
            <w:tcW w:w="500" w:type="dxa"/>
            <w:vAlign w:val="bottom"/>
          </w:tcPr>
          <w:p>
            <w:pPr>
              <w:ind w:left="20"/>
              <w:spacing w:after="0"/>
              <w:rPr>
                <w:sz w:val="20"/>
                <w:szCs w:val="20"/>
                <w:color w:val="auto"/>
              </w:rPr>
            </w:pPr>
            <w:r>
              <w:rPr>
                <w:rFonts w:ascii="Arial" w:cs="Arial" w:eastAsia="Arial" w:hAnsi="Arial"/>
                <w:sz w:val="16"/>
                <w:szCs w:val="16"/>
                <w:color w:val="auto"/>
              </w:rPr>
              <w:t>6.35%</w:t>
            </w:r>
          </w:p>
        </w:tc>
        <w:tc>
          <w:tcPr>
            <w:tcW w:w="2340" w:type="dxa"/>
            <w:vAlign w:val="bottom"/>
          </w:tcPr>
          <w:p>
            <w:pPr>
              <w:ind w:left="40"/>
              <w:spacing w:after="0"/>
              <w:rPr>
                <w:sz w:val="20"/>
                <w:szCs w:val="20"/>
                <w:color w:val="auto"/>
              </w:rPr>
            </w:pPr>
            <w:r>
              <w:rPr>
                <w:rFonts w:ascii="Arial" w:cs="Arial" w:eastAsia="Arial" w:hAnsi="Arial"/>
                <w:sz w:val="16"/>
                <w:szCs w:val="16"/>
                <w:color w:val="auto"/>
              </w:rPr>
              <w:t>Notes Due 2040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526.1</w:t>
            </w:r>
          </w:p>
        </w:tc>
      </w:tr>
      <w:tr>
        <w:trPr>
          <w:trHeight w:val="23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4.65% Notes Due 2031</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00" w:type="dxa"/>
            <w:vAlign w:val="bottom"/>
          </w:tcPr>
          <w:p>
            <w:pPr>
              <w:ind w:left="20"/>
              <w:spacing w:after="0"/>
              <w:rPr>
                <w:sz w:val="20"/>
                <w:szCs w:val="20"/>
                <w:color w:val="auto"/>
              </w:rPr>
            </w:pPr>
            <w:r>
              <w:rPr>
                <w:rFonts w:ascii="Arial" w:cs="Arial" w:eastAsia="Arial" w:hAnsi="Arial"/>
                <w:sz w:val="16"/>
                <w:szCs w:val="16"/>
                <w:color w:val="auto"/>
              </w:rPr>
              <w:t>3.50%</w:t>
            </w:r>
          </w:p>
        </w:tc>
        <w:tc>
          <w:tcPr>
            <w:tcW w:w="2340" w:type="dxa"/>
            <w:vAlign w:val="bottom"/>
          </w:tcPr>
          <w:p>
            <w:pPr>
              <w:ind w:left="40"/>
              <w:spacing w:after="0"/>
              <w:rPr>
                <w:sz w:val="20"/>
                <w:szCs w:val="20"/>
                <w:color w:val="auto"/>
              </w:rPr>
            </w:pPr>
            <w:r>
              <w:rPr>
                <w:rFonts w:ascii="Arial" w:cs="Arial" w:eastAsia="Arial" w:hAnsi="Arial"/>
                <w:sz w:val="16"/>
                <w:szCs w:val="16"/>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470.3</w:t>
            </w: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5.10%</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Notes Due 2044</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r>
      <w:tr>
        <w:trPr>
          <w:trHeight w:val="229"/>
        </w:trPr>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6.60%</w:t>
            </w:r>
          </w:p>
        </w:tc>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Debentures Due 2028</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w:t>
            </w:r>
          </w:p>
        </w:tc>
      </w:tr>
      <w:tr>
        <w:trPr>
          <w:trHeight w:val="224"/>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3,291.5</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Less: deferred debt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w:t>
            </w:r>
          </w:p>
        </w:tc>
      </w:tr>
      <w:tr>
        <w:trPr>
          <w:trHeight w:val="224"/>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2,515.8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3,318.8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3,317.2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2,767.9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2,796.2</w:t>
            </w:r>
          </w:p>
        </w:tc>
      </w:tr>
      <w:tr>
        <w:trPr>
          <w:trHeight w:val="20"/>
        </w:trPr>
        <w:tc>
          <w:tcPr>
            <w:tcW w:w="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and nine months ended September 27, 2026, the Company repurchased $29.1 million and $154.1 million, respectively, of its 2027, 2040, and 2044 Notes and recorded a loss on extinguishment of $0.1 million and a gain on extinguishment of $1.6 million, respectively, in Other expense (income), net in the Consolidated Statements of Operations. For the three and nine months ended September 28, 2025, the Company repurchased $ 3.1 million and $65.0 million, respectively, of its 2026 and 2027 Notes and recorded a gain on extinguishment of $0.1 million and $1.5 million, respectively, which were recorded in Other expense (income), net in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2031 Notes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March 2026, the Company issued an aggregate of $400.0 million in senior unsecured debt securities that bear a fixed interest rate of 4.65% due 2031 (the "2031 Notes"). The 2031 Notes were issued with an original issuance discount of $0.6 million and the Company capitalized $3.7 million of debt issuance costs. The original issuance discount and debt issuance costs will be amortized over the term of the 2031 Notes.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Financing Arrangements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February 20, 2026, the Company entered into a Fourth Amended and Restated Revolving Credit Agreement (the "Amended Agreement") with Bank of America, N.A., as administrative agent, swing line lender, Letter of Credit issuer and lender, and certain other financial institutions, as Letter of Credit issuers and/or lenders. The Amended Agreement amends and restates the Borrower's Third Amended and Restated Revolving Credit Agreement dated as of September 5, 2023.</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Amended Agreement provides the Company with a senior unsecured revolving credit facility (the “Revolving Facility”) with commitments in an aggregate principal amount of $1.1 billion. The Amended Agreement also provides for a potential additional incremental commitment increase of up to $550.0 million. Additionally, the Amended Agreement extends the term of the Revolving Facility from September 5, 2028 to February 20, 2031. The Amended Agreement contains sub-facilities that permit the Borrower to use up to $75.0 million of the Revolving Facility for the issuance of letters of credit and up to $50.0 million for swing line loans.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Amended Agreement contains affirmative and negative covenants typical of this type of facility, including: (a) restrictions on the Company’s and its domestic subsidiaries’ ability to allow liens on their assets, (b) restrictions on the incurrence of indebtedness, (c) restrictions on the Company’s and certain of its subsidiaries’ ability to engage in certain mergers, (d) the requirement that the Company maintain a Consolidated Interest Coverage Ratio of no less than 3.00:1.00 as of the end of any fiscal quarter and (e) the requirement that the Company maintain: a Consolidated Net Total Leverage Ratio of no more than (i) 3.75:1.00 for each of the first, second and fourth fiscal quarters of each year and (ii) 4.00:1.00 for the third fiscal quarter of each year. The Company has no outstanding borrowings under the Amended Agreement as of September 27, 2026. In connection with the execution of the Amended Agreement, the Company capitalized $1.8 million of deferred financing costs.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 $118.8 million, $100.1 million, and $45.7 million as of September 27, 2026, September 28, 2025, and December 28, 2025, respectively. These obligations are presented within Accounts payable in our Consolidated Balance Sheets. The activity related to this program is reflected within the operating activities section of the Consolidated Statements of Cash Flows.</w:t>
      </w:r>
    </w:p>
    <w:p>
      <w:pPr>
        <w:spacing w:after="0" w:line="7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effective tax rate ("ETR") was 19.2% and 19.8% for the three and nine months ended September 27, 2026, and 23.4% and (39.8)% for the three and nine months ended September 28, 2025. The following items impacted the ETR during 2026 and 2025:</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 w:right="359" w:bottom="1440" w:gutter="0" w:footer="0" w:header="0"/>
        </w:sectPr>
      </w:pPr>
    </w:p>
    <w:bookmarkStart w:id="22" w:name="page23"/>
    <w:bookmarkEnd w:id="22"/>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340" w:right="420" w:hanging="332"/>
        <w:spacing w:after="0" w:line="262"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three months ended September 27, 2026 the Company recorded a net discrete tax benefit of $16.8 million, primarily associated with the release of uncertain tax positions resulting from a settlement of an IRS audit. During the three months ended September 28, 2025 the Company recorded a net discrete tax benefit of $5.7 million, primarily associated with the second quarter of 2025 non-cash impairment of goodwill.</w:t>
      </w:r>
    </w:p>
    <w:p>
      <w:pPr>
        <w:spacing w:after="0" w:line="68" w:lineRule="exact"/>
        <w:rPr>
          <w:rFonts w:ascii="Arial" w:cs="Arial" w:eastAsia="Arial" w:hAnsi="Arial"/>
          <w:sz w:val="18"/>
          <w:szCs w:val="18"/>
          <w:color w:val="auto"/>
        </w:rPr>
      </w:pPr>
    </w:p>
    <w:p>
      <w:pPr>
        <w:ind w:left="340" w:right="80" w:hanging="332"/>
        <w:spacing w:after="0" w:line="25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nine months ended September 27, 2026 the Company recorded a net discrete tax benefit of $26.6 million, primarily associated with share-based compensation and the release of uncertain tax positions resulting from a settlement of an IRS audit. During the nine months ended September 28, 2025 the Company recorded a non-cash goodwill impairment of $1,021.9 million within the Consumer Products segment with a tax benefit of $5.4 million and an unfavorable adjustment to the Loss on disposal of the eOne Film and TV business of $25.0 million with no tax benefit. The Company also recorded a net discrete tax benefit of $6.5 million, primarily associated with the release of a valuation allowance.</w:t>
      </w:r>
    </w:p>
    <w:p>
      <w:pPr>
        <w:spacing w:after="0" w:line="74"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at fair value. The fair value hierarchy consists of three levels:</w:t>
      </w:r>
    </w:p>
    <w:p>
      <w:pPr>
        <w:spacing w:after="0" w:line="117" w:lineRule="exact"/>
        <w:rPr>
          <w:sz w:val="20"/>
          <w:szCs w:val="20"/>
          <w:color w:val="auto"/>
        </w:rPr>
      </w:pPr>
    </w:p>
    <w:p>
      <w:pPr>
        <w:ind w:left="340" w:right="280" w:hanging="332"/>
        <w:spacing w:after="0" w:line="26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1 fair values are based on quoted market prices in active markets for identical assets or liabilities that the entity has the ability to access;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ind w:left="340" w:right="420" w:hanging="332"/>
        <w:spacing w:after="0" w:line="266"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3 fair values are based on inputs that are supported by little or no market activity and that are significant to the fair value of the assets or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transfers between levels within the fair value hierarchy.</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September 27, 2026, September 28, 2025 and December 28, 2025, the Company had the following assets and liabilities measured at fair value in its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Fair Value Measurements Using:</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Fair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September 27, 2026</w:t>
            </w:r>
          </w:p>
        </w:tc>
        <w:tc>
          <w:tcPr>
            <w:tcW w:w="36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Available-for-sale securities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September 28, 2025</w:t>
            </w:r>
          </w:p>
        </w:tc>
        <w:tc>
          <w:tcPr>
            <w:tcW w:w="3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Available-for-sale securities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2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December 28, 2025</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Assets:</w:t>
            </w:r>
          </w:p>
        </w:tc>
        <w:tc>
          <w:tcPr>
            <w:tcW w:w="3660" w:type="dxa"/>
            <w:vAlign w:val="bottom"/>
            <w:tcBorders>
              <w:top w:val="single" w:sz="8" w:color="CCEEFF"/>
            </w:tcBorders>
            <w:gridSpan w:val="2"/>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Available-for-sale securities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2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Marketable securities are classified as available-for-sale since the Company does not have the positive intent and ability to hold the marketable securities until the maturity date. At September 27, 2026, the Company held $576.4 million of available-for-sale securities, of which $576.2 million consisted of U.S. Treasury securities. These investments are recorded at fair value within Short-term investments in the Company's Consolidated Balance Sheets based on their contractual maturity dates, with an insignificant amount of unrealized gains and losses excluded from net income and deferred as a component of Other comprehensive earnings (loss), net of related tax effects, until realized. The accretion of discounts (amortization of premiums) is accounted for in the Company's Consolidated Statements of Operations within Interest income. At September 27, 2026, accrued interest receivable on available-for-sale securities totaled $8.7 million and was included within Accounts Receivable in the Consolidated Balance Sheets.</w:t>
      </w:r>
    </w:p>
    <w:p>
      <w:pPr>
        <w:spacing w:after="0" w:line="77"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The Company's derivative financial instruments primarily consist of foreign currency forward and option contracts. The Company uses current forward rates of the respective foreign currencies to measure the fair value of these contracts. There were no changes in these valuation techniques during the nine months ended September 27,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financial instruments include cash and cash equivalents, accounts receivable, short-term borrowings, accounts payable and certain accrued liabilities. At September 27, 2026, September 28, 2025, and December 28, 2025, the carrying cost of these instruments approximated their fair value. The Company's financial instruments at September 27, 2026, September 28, 2025, and December 28, 2025 also include certain assets and liabilities measured at fair value, as described above. Refer to Note 10, Long-Term Debt and Other Financing, to the consolidated financial statements for the fair value of the Company's outstanding debt.</w:t>
      </w:r>
    </w:p>
    <w:p>
      <w:pPr>
        <w:spacing w:after="0" w:line="7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During the first nine months of 2026, the Company entered into several significant new operating leases, primarily relating to office and warehousing facilities located within the United States, with initial lease terms ranging from approximately 10 to 12 years.</w:t>
      </w:r>
    </w:p>
    <w:p>
      <w:pPr>
        <w:spacing w:after="0" w:line="45"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The following is a reconciliation of future undiscounted cash flows to the operating liabilities, and the related right-of-use assets, included in our Consolidated Balance Sheets as of September 27, 2026:</w:t>
      </w:r>
    </w:p>
    <w:tbl>
      <w:tblPr>
        <w:tblLayout w:type="fixed"/>
        <w:tblInd w:w="0" w:type="dxa"/>
        <w:tblCellMar>
          <w:top w:w="0" w:type="dxa"/>
          <w:left w:w="0" w:type="dxa"/>
          <w:bottom w:w="0" w:type="dxa"/>
          <w:right w:w="0" w:type="dxa"/>
        </w:tblCellMar>
      </w:tblPr>
      <w:tr>
        <w:trPr>
          <w:trHeight w:val="163"/>
        </w:trPr>
        <w:tc>
          <w:tcPr>
            <w:tcW w:w="9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139"/>
              <w:spacing w:after="0" w:line="164" w:lineRule="exact"/>
              <w:rPr>
                <w:sz w:val="20"/>
                <w:szCs w:val="20"/>
                <w:color w:val="auto"/>
              </w:rPr>
            </w:pPr>
            <w:r>
              <w:rPr>
                <w:rFonts w:ascii="Arial" w:cs="Arial" w:eastAsia="Arial" w:hAnsi="Arial"/>
                <w:sz w:val="16"/>
                <w:szCs w:val="16"/>
                <w:b w:val="1"/>
                <w:bCs w:val="1"/>
                <w:color w:val="auto"/>
              </w:rPr>
              <w:t>September 27,</w:t>
            </w:r>
          </w:p>
        </w:tc>
      </w:tr>
      <w:tr>
        <w:trPr>
          <w:trHeight w:val="216"/>
        </w:trPr>
        <w:tc>
          <w:tcPr>
            <w:tcW w:w="9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r>
      <w:tr>
        <w:trPr>
          <w:trHeight w:val="22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28"/>
        </w:trPr>
        <w:tc>
          <w:tcPr>
            <w:tcW w:w="9700" w:type="dxa"/>
            <w:vAlign w:val="bottom"/>
          </w:tcPr>
          <w:p>
            <w:pPr>
              <w:ind w:left="20"/>
              <w:spacing w:after="0"/>
              <w:rPr>
                <w:sz w:val="20"/>
                <w:szCs w:val="20"/>
                <w:color w:val="auto"/>
              </w:rPr>
            </w:pPr>
            <w:r>
              <w:rPr>
                <w:rFonts w:ascii="Arial" w:cs="Arial" w:eastAsia="Arial" w:hAnsi="Arial"/>
                <w:sz w:val="16"/>
                <w:szCs w:val="16"/>
                <w:color w:val="auto"/>
              </w:rPr>
              <w:t>2027</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29"/>
        </w:trPr>
        <w:tc>
          <w:tcPr>
            <w:tcW w:w="9700" w:type="dxa"/>
            <w:vAlign w:val="bottom"/>
          </w:tcPr>
          <w:p>
            <w:pPr>
              <w:ind w:left="20"/>
              <w:spacing w:after="0"/>
              <w:rPr>
                <w:sz w:val="20"/>
                <w:szCs w:val="20"/>
                <w:color w:val="auto"/>
              </w:rPr>
            </w:pPr>
            <w:r>
              <w:rPr>
                <w:rFonts w:ascii="Arial" w:cs="Arial" w:eastAsia="Arial" w:hAnsi="Arial"/>
                <w:sz w:val="16"/>
                <w:szCs w:val="16"/>
                <w:color w:val="auto"/>
              </w:rPr>
              <w:t>2029</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2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w:t>
            </w:r>
          </w:p>
        </w:tc>
      </w:tr>
      <w:tr>
        <w:trPr>
          <w:trHeight w:val="224"/>
        </w:trPr>
        <w:tc>
          <w:tcPr>
            <w:tcW w:w="9700" w:type="dxa"/>
            <w:vAlign w:val="bottom"/>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Total future lease payments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w:t>
            </w:r>
          </w:p>
        </w:tc>
      </w:tr>
      <w:tr>
        <w:trPr>
          <w:trHeight w:val="22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r>
      <w:tr>
        <w:trPr>
          <w:trHeight w:val="22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future operating lease payments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r>
      <w:tr>
        <w:trPr>
          <w:trHeight w:val="230"/>
        </w:trPr>
        <w:tc>
          <w:tcPr>
            <w:tcW w:w="9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 xml:space="preserve">Less: current portion of operating lease liabilities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248"/>
        </w:trPr>
        <w:tc>
          <w:tcPr>
            <w:tcW w:w="97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Non-current operating lease liability </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970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 xml:space="preserve">Operating lease right-of-use assets, net </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w:t>
            </w:r>
          </w:p>
        </w:tc>
      </w:tr>
    </w:tbl>
    <w:p>
      <w:pPr>
        <w:spacing w:after="0" w:line="87" w:lineRule="exact"/>
        <w:rPr>
          <w:sz w:val="20"/>
          <w:szCs w:val="20"/>
          <w:color w:val="auto"/>
        </w:rPr>
      </w:pPr>
    </w:p>
    <w:p>
      <w:pPr>
        <w:ind w:left="180" w:right="400" w:hanging="172"/>
        <w:spacing w:after="0" w:line="246" w:lineRule="auto"/>
        <w:tabs>
          <w:tab w:leader="none" w:pos="158"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Lease cash flow activity is displayed net within the Statements of Cash Flows, total gross Right of Use Assets and Lease Liabilities added during the nine months ended September 27, 2026 were $227.5 million</w:t>
      </w:r>
    </w:p>
    <w:p>
      <w:pPr>
        <w:ind w:left="140" w:hanging="132"/>
        <w:spacing w:after="0"/>
        <w:tabs>
          <w:tab w:leader="none" w:pos="140"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Included in Accrued liabilities on the Consolidated Balance Sheets</w:t>
      </w:r>
    </w:p>
    <w:p>
      <w:pPr>
        <w:spacing w:after="0" w:line="26" w:lineRule="exact"/>
        <w:rPr>
          <w:rFonts w:ascii="Arial" w:cs="Arial" w:eastAsia="Arial" w:hAnsi="Arial"/>
          <w:sz w:val="9"/>
          <w:szCs w:val="9"/>
          <w:i w:val="1"/>
          <w:iCs w:val="1"/>
          <w:color w:val="auto"/>
        </w:rPr>
      </w:pPr>
    </w:p>
    <w:p>
      <w:pPr>
        <w:ind w:left="140" w:hanging="132"/>
        <w:spacing w:after="0"/>
        <w:tabs>
          <w:tab w:leader="none" w:pos="140"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Included in Other liabilities on the Consolidated Balance Sheets</w:t>
      </w:r>
    </w:p>
    <w:p>
      <w:pPr>
        <w:spacing w:after="0" w:line="14" w:lineRule="exact"/>
        <w:rPr>
          <w:rFonts w:ascii="Arial" w:cs="Arial" w:eastAsia="Arial" w:hAnsi="Arial"/>
          <w:sz w:val="9"/>
          <w:szCs w:val="9"/>
          <w:i w:val="1"/>
          <w:iCs w:val="1"/>
          <w:color w:val="auto"/>
        </w:rPr>
      </w:pPr>
    </w:p>
    <w:p>
      <w:pPr>
        <w:ind w:left="140" w:hanging="132"/>
        <w:spacing w:after="0" w:line="229" w:lineRule="auto"/>
        <w:tabs>
          <w:tab w:leader="none" w:pos="140"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Included in Property, plant and equipment on the Consolidated Balance Sheets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4" w:name="page25"/>
    <w:bookmarkEnd w:id="24"/>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Canadian and Hong Kong dollars as well as Euros and British pound sterling.</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All contracts are entered into with a number of counterparties, all of which are major financial institutions. The Company believes that a default by a single counterparty would not have a material adverse effect on the financial condition of the Company. The Company does not enter into derivative financial instruments for speculative purposes. Cash flow activity associated with the Company's derivative financial instruments is recorded within cash flows from operating activities on the Consolidated Statement of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15"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w:t>
      </w:r>
    </w:p>
    <w:p>
      <w:pPr>
        <w:spacing w:after="0" w:line="63" w:lineRule="exact"/>
        <w:rPr>
          <w:sz w:val="20"/>
          <w:szCs w:val="20"/>
          <w:color w:val="auto"/>
        </w:rPr>
      </w:pPr>
    </w:p>
    <w:p>
      <w:pPr>
        <w:ind w:right="420"/>
        <w:spacing w:after="0" w:line="284" w:lineRule="auto"/>
        <w:rPr>
          <w:sz w:val="20"/>
          <w:szCs w:val="20"/>
          <w:color w:val="auto"/>
        </w:rPr>
      </w:pPr>
      <w:r>
        <w:rPr>
          <w:rFonts w:ascii="Arial" w:cs="Arial" w:eastAsia="Arial" w:hAnsi="Arial"/>
          <w:sz w:val="18"/>
          <w:szCs w:val="18"/>
          <w:color w:val="auto"/>
        </w:rPr>
        <w:t>The notional amounts and fair values of the Company's foreign currency forward contracts designated as cash flow hedging instruments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September 27, 2026</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September 28, 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December 28, 2025</w:t>
            </w:r>
          </w:p>
        </w:tc>
      </w:tr>
      <w:tr>
        <w:trPr>
          <w:trHeight w:val="169"/>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line="169" w:lineRule="exact"/>
              <w:rPr>
                <w:sz w:val="20"/>
                <w:szCs w:val="20"/>
                <w:color w:val="auto"/>
              </w:rPr>
            </w:pPr>
            <w:r>
              <w:rPr>
                <w:rFonts w:ascii="Arial" w:cs="Arial" w:eastAsia="Arial" w:hAnsi="Arial"/>
                <w:sz w:val="16"/>
                <w:szCs w:val="16"/>
                <w:b w:val="1"/>
                <w:bCs w:val="1"/>
                <w:color w:val="auto"/>
              </w:rPr>
              <w:t>Notional</w:t>
            </w:r>
          </w:p>
        </w:tc>
        <w:tc>
          <w:tcPr>
            <w:tcW w:w="92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rPr>
              <w:t>Fair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line="169" w:lineRule="exact"/>
              <w:rPr>
                <w:sz w:val="20"/>
                <w:szCs w:val="20"/>
                <w:color w:val="auto"/>
              </w:rPr>
            </w:pPr>
            <w:r>
              <w:rPr>
                <w:rFonts w:ascii="Arial" w:cs="Arial" w:eastAsia="Arial" w:hAnsi="Arial"/>
                <w:sz w:val="16"/>
                <w:szCs w:val="16"/>
                <w:b w:val="1"/>
                <w:bCs w:val="1"/>
                <w:color w:val="auto"/>
              </w:rPr>
              <w:t>Notional</w:t>
            </w:r>
          </w:p>
        </w:tc>
        <w:tc>
          <w:tcPr>
            <w:tcW w:w="90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rPr>
              <w:t>Fair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line="169" w:lineRule="exact"/>
              <w:rPr>
                <w:sz w:val="20"/>
                <w:szCs w:val="20"/>
                <w:color w:val="auto"/>
              </w:rPr>
            </w:pPr>
            <w:r>
              <w:rPr>
                <w:rFonts w:ascii="Arial" w:cs="Arial" w:eastAsia="Arial" w:hAnsi="Arial"/>
                <w:sz w:val="16"/>
                <w:szCs w:val="16"/>
                <w:b w:val="1"/>
                <w:bCs w:val="1"/>
                <w:color w:val="auto"/>
              </w:rPr>
              <w:t>Notional</w:t>
            </w:r>
          </w:p>
        </w:tc>
        <w:tc>
          <w:tcPr>
            <w:tcW w:w="260" w:type="dxa"/>
            <w:vAlign w:val="bottom"/>
          </w:tcPr>
          <w:p>
            <w:pPr>
              <w:spacing w:after="0"/>
              <w:rPr>
                <w:sz w:val="14"/>
                <w:szCs w:val="14"/>
                <w:color w:val="auto"/>
              </w:rPr>
            </w:pPr>
          </w:p>
        </w:tc>
        <w:tc>
          <w:tcPr>
            <w:tcW w:w="1040" w:type="dxa"/>
            <w:vAlign w:val="bottom"/>
          </w:tcPr>
          <w:p>
            <w:pPr>
              <w:jc w:val="center"/>
              <w:ind w:right="179"/>
              <w:spacing w:after="0" w:line="169" w:lineRule="exact"/>
              <w:rPr>
                <w:sz w:val="20"/>
                <w:szCs w:val="20"/>
                <w:color w:val="auto"/>
              </w:rPr>
            </w:pPr>
            <w:r>
              <w:rPr>
                <w:rFonts w:ascii="Arial" w:cs="Arial" w:eastAsia="Arial" w:hAnsi="Arial"/>
                <w:sz w:val="16"/>
                <w:szCs w:val="16"/>
                <w:b w:val="1"/>
                <w:bCs w:val="1"/>
                <w:color w:val="auto"/>
              </w:rPr>
              <w:t>Fair</w:t>
            </w: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b w:val="1"/>
                <w:bCs w:val="1"/>
                <w:color w:val="auto"/>
                <w:w w:val="98"/>
              </w:rPr>
              <w:t>Value</w:t>
            </w: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 purchases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rPr>
              <w:t>(9.5)</w:t>
            </w:r>
          </w:p>
        </w:tc>
      </w:tr>
      <w:tr>
        <w:trPr>
          <w:trHeight w:val="228"/>
        </w:trPr>
        <w:tc>
          <w:tcPr>
            <w:tcW w:w="2820" w:type="dxa"/>
            <w:vAlign w:val="bottom"/>
          </w:tcPr>
          <w:p>
            <w:pPr>
              <w:ind w:left="20"/>
              <w:spacing w:after="0"/>
              <w:rPr>
                <w:sz w:val="20"/>
                <w:szCs w:val="20"/>
                <w:color w:val="auto"/>
              </w:rPr>
            </w:pPr>
            <w:r>
              <w:rPr>
                <w:rFonts w:ascii="Arial" w:cs="Arial" w:eastAsia="Arial" w:hAnsi="Arial"/>
                <w:sz w:val="16"/>
                <w:szCs w:val="16"/>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8"/>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579"/>
              <w:spacing w:after="0"/>
              <w:rPr>
                <w:sz w:val="20"/>
                <w:szCs w:val="20"/>
                <w:color w:val="auto"/>
              </w:rPr>
            </w:pPr>
            <w:r>
              <w:rPr>
                <w:rFonts w:ascii="Arial" w:cs="Arial" w:eastAsia="Arial" w:hAnsi="Arial"/>
                <w:sz w:val="16"/>
                <w:szCs w:val="16"/>
                <w:color w:val="auto"/>
                <w:w w:val="98"/>
              </w:rPr>
              <w:t>3.1</w:t>
            </w: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rPr>
              <w:t>(0.7)</w:t>
            </w:r>
          </w:p>
        </w:tc>
      </w:tr>
      <w:tr>
        <w:trPr>
          <w:trHeight w:val="224"/>
        </w:trPr>
        <w:tc>
          <w:tcPr>
            <w:tcW w:w="282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rPr>
              <w:t>(7.1)</w:t>
            </w:r>
          </w:p>
        </w:tc>
      </w:tr>
      <w:tr>
        <w:trPr>
          <w:trHeight w:val="21"/>
        </w:trPr>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September 27, 2026, September 28, 2025 and December 28, 2025, the total notional amounts of the Company's undesignated derivative financial instruments were $240.9 million, $242.7 million, and $191.5 million,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5" w:name="page26"/>
    <w:bookmarkEnd w:id="25"/>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as follows: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40"/>
              <w:spacing w:after="0" w:line="176"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5"/>
                <w:szCs w:val="15"/>
                <w:color w:val="auto"/>
              </w:rPr>
            </w:pPr>
          </w:p>
        </w:tc>
        <w:tc>
          <w:tcPr>
            <w:tcW w:w="1380" w:type="dxa"/>
            <w:vAlign w:val="bottom"/>
          </w:tcPr>
          <w:p>
            <w:pPr>
              <w:jc w:val="right"/>
              <w:ind w:right="159"/>
              <w:spacing w:after="0" w:line="176" w:lineRule="exact"/>
              <w:rPr>
                <w:sz w:val="20"/>
                <w:szCs w:val="20"/>
                <w:color w:val="auto"/>
              </w:rPr>
            </w:pPr>
            <w:r>
              <w:rPr>
                <w:rFonts w:ascii="Arial" w:cs="Arial" w:eastAsia="Arial" w:hAnsi="Arial"/>
                <w:sz w:val="16"/>
                <w:szCs w:val="16"/>
                <w:b w:val="1"/>
                <w:bCs w:val="1"/>
                <w:color w:val="auto"/>
              </w:rPr>
              <w:t>December 28,</w:t>
            </w:r>
          </w:p>
        </w:tc>
      </w:tr>
      <w:tr>
        <w:trPr>
          <w:trHeight w:val="216"/>
        </w:trPr>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auto"/>
            </w:tcBorders>
            <w:gridSpan w:val="4"/>
            <w:shd w:val="clear" w:color="auto" w:fill="CCEEFF"/>
          </w:tcPr>
          <w:p>
            <w:pPr>
              <w:spacing w:after="0" w:line="169" w:lineRule="exact"/>
              <w:rPr>
                <w:sz w:val="20"/>
                <w:szCs w:val="20"/>
                <w:color w:val="auto"/>
              </w:rPr>
            </w:pPr>
            <w:r>
              <w:rPr>
                <w:rFonts w:ascii="Arial" w:cs="Arial" w:eastAsia="Arial" w:hAnsi="Arial"/>
                <w:sz w:val="16"/>
                <w:szCs w:val="16"/>
                <w:color w:val="auto"/>
              </w:rPr>
              <w:t>Prepaid expenses and other current assets:</w:t>
            </w:r>
          </w:p>
        </w:tc>
        <w:tc>
          <w:tcPr>
            <w:tcW w:w="3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6380" w:type="dxa"/>
            <w:vAlign w:val="bottom"/>
            <w:gridSpan w:val="5"/>
          </w:tcPr>
          <w:p>
            <w:pPr>
              <w:ind w:left="120"/>
              <w:spacing w:after="0"/>
              <w:rPr>
                <w:sz w:val="20"/>
                <w:szCs w:val="20"/>
                <w:color w:val="auto"/>
              </w:rPr>
            </w:pPr>
            <w:r>
              <w:rPr>
                <w:rFonts w:ascii="Arial" w:cs="Arial" w:eastAsia="Arial" w:hAnsi="Arial"/>
                <w:sz w:val="16"/>
                <w:szCs w:val="16"/>
                <w:color w:val="auto"/>
              </w:rPr>
              <w:t>Unrealized gains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919"/>
              <w:spacing w:after="0"/>
              <w:rPr>
                <w:sz w:val="20"/>
                <w:szCs w:val="20"/>
                <w:color w:val="auto"/>
              </w:rPr>
            </w:pPr>
            <w:r>
              <w:rPr>
                <w:rFonts w:ascii="Arial" w:cs="Arial" w:eastAsia="Arial" w:hAnsi="Arial"/>
                <w:sz w:val="16"/>
                <w:szCs w:val="16"/>
                <w:color w:val="auto"/>
                <w:w w:val="98"/>
              </w:rPr>
              <w:t>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9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4"/>
        </w:trPr>
        <w:tc>
          <w:tcPr>
            <w:tcW w:w="20" w:type="dxa"/>
            <w:vAlign w:val="bottom"/>
          </w:tcPr>
          <w:p>
            <w:pPr>
              <w:spacing w:after="0"/>
              <w:rPr>
                <w:sz w:val="19"/>
                <w:szCs w:val="19"/>
                <w:color w:val="auto"/>
              </w:rPr>
            </w:pPr>
          </w:p>
        </w:tc>
        <w:tc>
          <w:tcPr>
            <w:tcW w:w="6380" w:type="dxa"/>
            <w:vAlign w:val="bottom"/>
            <w:gridSpan w:val="5"/>
          </w:tcPr>
          <w:p>
            <w:pPr>
              <w:ind w:left="120"/>
              <w:spacing w:after="0"/>
              <w:rPr>
                <w:sz w:val="20"/>
                <w:szCs w:val="20"/>
                <w:color w:val="auto"/>
              </w:rPr>
            </w:pPr>
            <w:r>
              <w:rPr>
                <w:rFonts w:ascii="Arial" w:cs="Arial" w:eastAsia="Arial" w:hAnsi="Arial"/>
                <w:sz w:val="16"/>
                <w:szCs w:val="16"/>
                <w:color w:val="auto"/>
              </w:rPr>
              <w:t>Net unrealized gains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919"/>
              <w:spacing w:after="0"/>
              <w:rPr>
                <w:sz w:val="20"/>
                <w:szCs w:val="20"/>
                <w:color w:val="auto"/>
              </w:rPr>
            </w:pPr>
            <w:r>
              <w:rPr>
                <w:rFonts w:ascii="Arial" w:cs="Arial" w:eastAsia="Arial" w:hAnsi="Arial"/>
                <w:sz w:val="16"/>
                <w:szCs w:val="16"/>
                <w:color w:val="auto"/>
                <w:w w:val="98"/>
              </w:rPr>
              <w:t>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380" w:type="dxa"/>
            <w:vAlign w:val="bottom"/>
            <w:gridSpan w:val="5"/>
            <w:shd w:val="clear" w:color="auto" w:fill="CCEEFF"/>
          </w:tcPr>
          <w:p>
            <w:pPr>
              <w:spacing w:after="0" w:line="156" w:lineRule="exact"/>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gridSpan w:val="5"/>
          </w:tcPr>
          <w:p>
            <w:pPr>
              <w:ind w:left="120"/>
              <w:spacing w:after="0"/>
              <w:rPr>
                <w:sz w:val="20"/>
                <w:szCs w:val="20"/>
                <w:color w:val="auto"/>
              </w:rPr>
            </w:pPr>
            <w:r>
              <w:rPr>
                <w:rFonts w:ascii="Arial" w:cs="Arial" w:eastAsia="Arial" w:hAnsi="Arial"/>
                <w:sz w:val="16"/>
                <w:szCs w:val="16"/>
                <w:color w:val="auto"/>
              </w:rPr>
              <w:t>Unrealized gains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919"/>
              <w:spacing w:after="0"/>
              <w:rPr>
                <w:sz w:val="20"/>
                <w:szCs w:val="20"/>
                <w:color w:val="auto"/>
              </w:rPr>
            </w:pPr>
            <w:r>
              <w:rPr>
                <w:rFonts w:ascii="Arial" w:cs="Arial" w:eastAsia="Arial" w:hAnsi="Arial"/>
                <w:sz w:val="16"/>
                <w:szCs w:val="16"/>
                <w:color w:val="auto"/>
                <w:w w:val="98"/>
              </w:rPr>
              <w:t>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9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4"/>
        </w:trPr>
        <w:tc>
          <w:tcPr>
            <w:tcW w:w="20" w:type="dxa"/>
            <w:vAlign w:val="bottom"/>
          </w:tcPr>
          <w:p>
            <w:pPr>
              <w:spacing w:after="0"/>
              <w:rPr>
                <w:sz w:val="19"/>
                <w:szCs w:val="19"/>
                <w:color w:val="auto"/>
              </w:rPr>
            </w:pPr>
          </w:p>
        </w:tc>
        <w:tc>
          <w:tcPr>
            <w:tcW w:w="6380" w:type="dxa"/>
            <w:vAlign w:val="bottom"/>
            <w:gridSpan w:val="5"/>
          </w:tcPr>
          <w:p>
            <w:pPr>
              <w:ind w:left="120"/>
              <w:spacing w:after="0"/>
              <w:rPr>
                <w:sz w:val="20"/>
                <w:szCs w:val="20"/>
                <w:color w:val="auto"/>
              </w:rPr>
            </w:pPr>
            <w:r>
              <w:rPr>
                <w:rFonts w:ascii="Arial" w:cs="Arial" w:eastAsia="Arial" w:hAnsi="Arial"/>
                <w:sz w:val="16"/>
                <w:szCs w:val="16"/>
                <w:color w:val="auto"/>
              </w:rPr>
              <w:t>Net unrealized gains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center"/>
              <w:ind w:left="919"/>
              <w:spacing w:after="0"/>
              <w:rPr>
                <w:sz w:val="20"/>
                <w:szCs w:val="20"/>
                <w:color w:val="auto"/>
              </w:rPr>
            </w:pPr>
            <w:r>
              <w:rPr>
                <w:rFonts w:ascii="Arial" w:cs="Arial" w:eastAsia="Arial" w:hAnsi="Arial"/>
                <w:sz w:val="16"/>
                <w:szCs w:val="16"/>
                <w:color w:val="auto"/>
                <w:w w:val="98"/>
              </w:rPr>
              <w:t>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380" w:type="dxa"/>
            <w:vAlign w:val="bottom"/>
            <w:gridSpan w:val="5"/>
            <w:shd w:val="clear" w:color="auto" w:fill="CCEEFF"/>
          </w:tcPr>
          <w:p>
            <w:pPr>
              <w:spacing w:after="0" w:line="156" w:lineRule="exact"/>
              <w:rPr>
                <w:sz w:val="20"/>
                <w:szCs w:val="20"/>
                <w:color w:val="auto"/>
              </w:rPr>
            </w:pPr>
            <w:r>
              <w:rPr>
                <w:rFonts w:ascii="Arial" w:cs="Arial" w:eastAsia="Arial" w:hAnsi="Arial"/>
                <w:sz w:val="16"/>
                <w:szCs w:val="16"/>
                <w:color w:val="auto"/>
              </w:rPr>
              <w:t>Accrued liabilities:</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gridSpan w:val="5"/>
          </w:tcPr>
          <w:p>
            <w:pPr>
              <w:ind w:left="120"/>
              <w:spacing w:after="0"/>
              <w:rPr>
                <w:sz w:val="20"/>
                <w:szCs w:val="20"/>
                <w:color w:val="auto"/>
              </w:rPr>
            </w:pPr>
            <w:r>
              <w:rPr>
                <w:rFonts w:ascii="Arial" w:cs="Arial" w:eastAsia="Arial" w:hAnsi="Arial"/>
                <w:sz w:val="16"/>
                <w:szCs w:val="16"/>
                <w:color w:val="auto"/>
              </w:rPr>
              <w:t>Unrealized gains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919"/>
              <w:spacing w:after="0"/>
              <w:rPr>
                <w:sz w:val="20"/>
                <w:szCs w:val="20"/>
                <w:color w:val="auto"/>
              </w:rPr>
            </w:pPr>
            <w:r>
              <w:rPr>
                <w:rFonts w:ascii="Arial" w:cs="Arial" w:eastAsia="Arial" w:hAnsi="Arial"/>
                <w:sz w:val="16"/>
                <w:szCs w:val="16"/>
                <w:color w:val="auto"/>
                <w:w w:val="98"/>
              </w:rPr>
              <w:t>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91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24"/>
        </w:trPr>
        <w:tc>
          <w:tcPr>
            <w:tcW w:w="20" w:type="dxa"/>
            <w:vAlign w:val="bottom"/>
          </w:tcPr>
          <w:p>
            <w:pPr>
              <w:spacing w:after="0"/>
              <w:rPr>
                <w:sz w:val="19"/>
                <w:szCs w:val="19"/>
                <w:color w:val="auto"/>
              </w:rPr>
            </w:pPr>
          </w:p>
        </w:tc>
        <w:tc>
          <w:tcPr>
            <w:tcW w:w="6380" w:type="dxa"/>
            <w:vAlign w:val="bottom"/>
            <w:gridSpan w:val="5"/>
          </w:tcPr>
          <w:p>
            <w:pPr>
              <w:ind w:left="120"/>
              <w:spacing w:after="0"/>
              <w:rPr>
                <w:sz w:val="20"/>
                <w:szCs w:val="20"/>
                <w:color w:val="auto"/>
              </w:rPr>
            </w:pPr>
            <w:r>
              <w:rPr>
                <w:rFonts w:ascii="Arial" w:cs="Arial" w:eastAsia="Arial" w:hAnsi="Arial"/>
                <w:sz w:val="16"/>
                <w:szCs w:val="16"/>
                <w:color w:val="auto"/>
              </w:rPr>
              <w:t>Net unrealized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9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6"/>
                <w:szCs w:val="16"/>
                <w:color w:val="auto"/>
              </w:rPr>
              <w:t>Other liabilities:</w:t>
            </w:r>
          </w:p>
        </w:tc>
        <w:tc>
          <w:tcPr>
            <w:tcW w:w="5260" w:type="dxa"/>
            <w:vAlign w:val="bottom"/>
            <w:tcBorders>
              <w:bottom w:val="single" w:sz="8" w:color="CCEEFF"/>
            </w:tcBorders>
            <w:gridSpan w:val="3"/>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6380" w:type="dxa"/>
            <w:vAlign w:val="bottom"/>
            <w:gridSpan w:val="5"/>
          </w:tcPr>
          <w:p>
            <w:pPr>
              <w:ind w:left="120"/>
              <w:spacing w:after="0"/>
              <w:rPr>
                <w:sz w:val="20"/>
                <w:szCs w:val="20"/>
                <w:color w:val="auto"/>
              </w:rPr>
            </w:pPr>
            <w:r>
              <w:rPr>
                <w:rFonts w:ascii="Arial" w:cs="Arial" w:eastAsia="Arial" w:hAnsi="Arial"/>
                <w:sz w:val="16"/>
                <w:szCs w:val="16"/>
                <w:color w:val="auto"/>
              </w:rPr>
              <w:t>Unrealized gains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919"/>
              <w:spacing w:after="0"/>
              <w:rPr>
                <w:sz w:val="20"/>
                <w:szCs w:val="20"/>
                <w:color w:val="auto"/>
              </w:rPr>
            </w:pPr>
            <w:r>
              <w:rPr>
                <w:rFonts w:ascii="Arial" w:cs="Arial" w:eastAsia="Arial" w:hAnsi="Arial"/>
                <w:sz w:val="16"/>
                <w:szCs w:val="16"/>
                <w:color w:val="auto"/>
                <w:w w:val="98"/>
              </w:rPr>
              <w:t>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9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4"/>
        </w:trPr>
        <w:tc>
          <w:tcPr>
            <w:tcW w:w="20" w:type="dxa"/>
            <w:vAlign w:val="bottom"/>
          </w:tcPr>
          <w:p>
            <w:pPr>
              <w:spacing w:after="0"/>
              <w:rPr>
                <w:sz w:val="19"/>
                <w:szCs w:val="19"/>
                <w:color w:val="auto"/>
              </w:rPr>
            </w:pPr>
          </w:p>
        </w:tc>
        <w:tc>
          <w:tcPr>
            <w:tcW w:w="6380" w:type="dxa"/>
            <w:vAlign w:val="bottom"/>
            <w:gridSpan w:val="5"/>
          </w:tcPr>
          <w:p>
            <w:pPr>
              <w:ind w:left="120"/>
              <w:spacing w:after="0"/>
              <w:rPr>
                <w:sz w:val="20"/>
                <w:szCs w:val="20"/>
                <w:color w:val="auto"/>
              </w:rPr>
            </w:pPr>
            <w:r>
              <w:rPr>
                <w:rFonts w:ascii="Arial" w:cs="Arial" w:eastAsia="Arial" w:hAnsi="Arial"/>
                <w:sz w:val="16"/>
                <w:szCs w:val="16"/>
                <w:color w:val="auto"/>
              </w:rPr>
              <w:t>Net unrealized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center"/>
              <w:ind w:left="9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20"/>
        <w:spacing w:after="0" w:line="284" w:lineRule="auto"/>
        <w:rPr>
          <w:sz w:val="20"/>
          <w:szCs w:val="20"/>
          <w:color w:val="auto"/>
        </w:rPr>
      </w:pPr>
      <w:r>
        <w:rPr>
          <w:rFonts w:ascii="Arial" w:cs="Arial" w:eastAsia="Arial" w:hAnsi="Arial"/>
          <w:sz w:val="18"/>
          <w:szCs w:val="18"/>
          <w:color w:val="auto"/>
        </w:rPr>
        <w:t>The fair values of the Company's undesignated derivative financial instruments were recorded in the Consolidated Balance Sheets as follows:</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40"/>
              <w:spacing w:after="0" w:line="164"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80" w:type="dxa"/>
            <w:vAlign w:val="bottom"/>
            <w:gridSpan w:val="2"/>
          </w:tcPr>
          <w:p>
            <w:pPr>
              <w:ind w:left="60"/>
              <w:spacing w:after="0" w:line="164" w:lineRule="exact"/>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4"/>
                <w:szCs w:val="14"/>
                <w:color w:val="auto"/>
              </w:rPr>
            </w:pPr>
          </w:p>
        </w:tc>
        <w:tc>
          <w:tcPr>
            <w:tcW w:w="1360" w:type="dxa"/>
            <w:vAlign w:val="bottom"/>
          </w:tcPr>
          <w:p>
            <w:pPr>
              <w:jc w:val="right"/>
              <w:ind w:right="159"/>
              <w:spacing w:after="0" w:line="164" w:lineRule="exact"/>
              <w:rPr>
                <w:sz w:val="20"/>
                <w:szCs w:val="20"/>
                <w:color w:val="auto"/>
              </w:rPr>
            </w:pPr>
            <w:r>
              <w:rPr>
                <w:rFonts w:ascii="Arial" w:cs="Arial" w:eastAsia="Arial" w:hAnsi="Arial"/>
                <w:sz w:val="16"/>
                <w:szCs w:val="16"/>
                <w:b w:val="1"/>
                <w:bCs w:val="1"/>
                <w:color w:val="auto"/>
              </w:rPr>
              <w:t>December 28,</w:t>
            </w:r>
          </w:p>
        </w:tc>
      </w:tr>
      <w:tr>
        <w:trPr>
          <w:trHeight w:val="216"/>
        </w:trPr>
        <w:tc>
          <w:tcPr>
            <w:tcW w:w="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Prepaid expenses and other current assets:</w:t>
            </w:r>
          </w:p>
        </w:tc>
        <w:tc>
          <w:tcPr>
            <w:tcW w:w="3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ind w:left="120"/>
              <w:spacing w:after="0"/>
              <w:rPr>
                <w:sz w:val="20"/>
                <w:szCs w:val="20"/>
                <w:color w:val="auto"/>
              </w:rPr>
            </w:pPr>
            <w:r>
              <w:rPr>
                <w:rFonts w:ascii="Arial" w:cs="Arial" w:eastAsia="Arial" w:hAnsi="Arial"/>
                <w:sz w:val="16"/>
                <w:szCs w:val="16"/>
                <w:color w:val="auto"/>
              </w:rPr>
              <w:t>Unrealized gains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30"/>
        </w:trPr>
        <w:tc>
          <w:tcPr>
            <w:tcW w:w="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197"/>
        </w:trPr>
        <w:tc>
          <w:tcPr>
            <w:tcW w:w="20" w:type="dxa"/>
            <w:vAlign w:val="bottom"/>
          </w:tcPr>
          <w:p>
            <w:pPr>
              <w:spacing w:after="0"/>
              <w:rPr>
                <w:sz w:val="17"/>
                <w:szCs w:val="17"/>
                <w:color w:val="auto"/>
              </w:rPr>
            </w:pPr>
          </w:p>
        </w:tc>
        <w:tc>
          <w:tcPr>
            <w:tcW w:w="6340" w:type="dxa"/>
            <w:vAlign w:val="bottom"/>
            <w:gridSpan w:val="3"/>
          </w:tcPr>
          <w:p>
            <w:pPr>
              <w:ind w:left="120"/>
              <w:spacing w:after="0"/>
              <w:rPr>
                <w:sz w:val="20"/>
                <w:szCs w:val="20"/>
                <w:color w:val="auto"/>
              </w:rPr>
            </w:pPr>
            <w:r>
              <w:rPr>
                <w:rFonts w:ascii="Arial" w:cs="Arial" w:eastAsia="Arial" w:hAnsi="Arial"/>
                <w:sz w:val="16"/>
                <w:szCs w:val="16"/>
                <w:color w:val="auto"/>
              </w:rPr>
              <w:t>Net unrealized gains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340" w:type="dxa"/>
            <w:vAlign w:val="bottom"/>
            <w:gridSpan w:val="3"/>
            <w:shd w:val="clear" w:color="auto" w:fill="CCEEFF"/>
          </w:tcPr>
          <w:p>
            <w:pPr>
              <w:spacing w:after="0" w:line="156" w:lineRule="exact"/>
              <w:rPr>
                <w:sz w:val="20"/>
                <w:szCs w:val="20"/>
                <w:color w:val="auto"/>
              </w:rPr>
            </w:pPr>
            <w:r>
              <w:rPr>
                <w:rFonts w:ascii="Arial" w:cs="Arial" w:eastAsia="Arial" w:hAnsi="Arial"/>
                <w:sz w:val="16"/>
                <w:szCs w:val="16"/>
                <w:color w:val="auto"/>
              </w:rPr>
              <w:t>Accrued liabilities:</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gridSpan w:val="3"/>
          </w:tcPr>
          <w:p>
            <w:pPr>
              <w:ind w:left="120"/>
              <w:spacing w:after="0"/>
              <w:rPr>
                <w:sz w:val="20"/>
                <w:szCs w:val="20"/>
                <w:color w:val="auto"/>
              </w:rPr>
            </w:pPr>
            <w:r>
              <w:rPr>
                <w:rFonts w:ascii="Arial" w:cs="Arial" w:eastAsia="Arial" w:hAnsi="Arial"/>
                <w:sz w:val="16"/>
                <w:szCs w:val="16"/>
                <w:color w:val="auto"/>
              </w:rPr>
              <w:t>Unrealized gains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20" w:type="dxa"/>
            <w:vAlign w:val="bottom"/>
          </w:tcPr>
          <w:p>
            <w:pPr>
              <w:spacing w:after="0"/>
              <w:rPr>
                <w:sz w:val="19"/>
                <w:szCs w:val="19"/>
                <w:color w:val="auto"/>
              </w:rPr>
            </w:pPr>
          </w:p>
        </w:tc>
        <w:tc>
          <w:tcPr>
            <w:tcW w:w="6340" w:type="dxa"/>
            <w:vAlign w:val="bottom"/>
            <w:gridSpan w:val="3"/>
          </w:tcPr>
          <w:p>
            <w:pPr>
              <w:ind w:left="120"/>
              <w:spacing w:after="0"/>
              <w:rPr>
                <w:sz w:val="20"/>
                <w:szCs w:val="20"/>
                <w:color w:val="auto"/>
              </w:rPr>
            </w:pPr>
            <w:r>
              <w:rPr>
                <w:rFonts w:ascii="Arial" w:cs="Arial" w:eastAsia="Arial" w:hAnsi="Arial"/>
                <w:sz w:val="16"/>
                <w:szCs w:val="16"/>
                <w:color w:val="auto"/>
              </w:rPr>
              <w:t>Net unrealized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500"/>
        <w:spacing w:after="0" w:line="284" w:lineRule="auto"/>
        <w:rPr>
          <w:sz w:val="20"/>
          <w:szCs w:val="20"/>
          <w:color w:val="auto"/>
        </w:rPr>
      </w:pPr>
      <w:r>
        <w:rPr>
          <w:rFonts w:ascii="Arial" w:cs="Arial" w:eastAsia="Arial" w:hAnsi="Arial"/>
          <w:sz w:val="18"/>
          <w:szCs w:val="18"/>
          <w:color w:val="auto"/>
        </w:rPr>
        <w:t>Net realized (losses) gains on cash flow hedging activities have been reclassified from Other comprehensive earnings, net of tax to Net earnings (loss)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54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rPr>
              <w:t>September 28,</w:t>
            </w:r>
          </w:p>
        </w:tc>
        <w:tc>
          <w:tcPr>
            <w:tcW w:w="16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80" w:type="dxa"/>
            <w:vAlign w:val="bottom"/>
          </w:tcPr>
          <w:p>
            <w:pPr>
              <w:jc w:val="center"/>
              <w:ind w:right="7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2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0"/>
        </w:trPr>
        <w:tc>
          <w:tcPr>
            <w:tcW w:w="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Statements of Operations Classification</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Cost of sales</w:t>
            </w:r>
          </w:p>
        </w:tc>
        <w:tc>
          <w:tcPr>
            <w:tcW w:w="18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tcBorders>
          </w:tcPr>
          <w:p>
            <w:pPr>
              <w:jc w:val="center"/>
              <w:ind w:left="899"/>
              <w:spacing w:after="0"/>
              <w:rPr>
                <w:sz w:val="20"/>
                <w:szCs w:val="20"/>
                <w:color w:val="auto"/>
              </w:rPr>
            </w:pPr>
            <w:r>
              <w:rPr>
                <w:rFonts w:ascii="Arial" w:cs="Arial" w:eastAsia="Arial" w:hAnsi="Arial"/>
                <w:sz w:val="16"/>
                <w:szCs w:val="16"/>
                <w:color w:val="auto"/>
                <w:w w:val="97"/>
              </w:rPr>
              <w:t>(0.6)</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tcBorders>
          </w:tcPr>
          <w:p>
            <w:pPr>
              <w:jc w:val="center"/>
              <w:ind w:left="899"/>
              <w:spacing w:after="0"/>
              <w:rPr>
                <w:sz w:val="20"/>
                <w:szCs w:val="20"/>
                <w:color w:val="auto"/>
              </w:rPr>
            </w:pPr>
            <w:r>
              <w:rPr>
                <w:rFonts w:ascii="Arial" w:cs="Arial" w:eastAsia="Arial" w:hAnsi="Arial"/>
                <w:sz w:val="16"/>
                <w:szCs w:val="16"/>
                <w:color w:val="auto"/>
                <w:w w:val="97"/>
              </w:rPr>
              <w:t>(4.3)</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CEEFF"/>
            </w:tcBorders>
          </w:tcPr>
          <w:p>
            <w:pPr>
              <w:jc w:val="center"/>
              <w:ind w:left="919"/>
              <w:spacing w:after="0"/>
              <w:rPr>
                <w:sz w:val="20"/>
                <w:szCs w:val="20"/>
                <w:color w:val="auto"/>
              </w:rPr>
            </w:pPr>
            <w:r>
              <w:rPr>
                <w:rFonts w:ascii="Arial" w:cs="Arial" w:eastAsia="Arial" w:hAnsi="Arial"/>
                <w:sz w:val="16"/>
                <w:szCs w:val="16"/>
                <w:color w:val="auto"/>
                <w:w w:val="98"/>
              </w:rPr>
              <w:t>1.2</w:t>
            </w:r>
          </w:p>
        </w:tc>
      </w:tr>
      <w:tr>
        <w:trPr>
          <w:trHeight w:val="231"/>
        </w:trPr>
        <w:tc>
          <w:tcPr>
            <w:tcW w:w="20" w:type="dxa"/>
            <w:vAlign w:val="bottom"/>
            <w:shd w:val="clear" w:color="auto" w:fill="CCEEFF"/>
          </w:tcPr>
          <w:p>
            <w:pPr>
              <w:spacing w:after="0"/>
              <w:rPr>
                <w:sz w:val="20"/>
                <w:szCs w:val="20"/>
                <w:color w:val="auto"/>
              </w:rPr>
            </w:pP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8"/>
              </w:rPr>
              <w:t>0.4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8"/>
              </w:rPr>
              <w:t>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8"/>
              </w:rPr>
              <w:t>0.3</w:t>
            </w:r>
          </w:p>
        </w:tc>
      </w:tr>
      <w:tr>
        <w:trPr>
          <w:trHeight w:val="228"/>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w w:val="97"/>
              </w:rPr>
              <w:t>(0.3)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w w:val="97"/>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9"/>
              <w:spacing w:after="0"/>
              <w:rPr>
                <w:sz w:val="20"/>
                <w:szCs w:val="20"/>
                <w:color w:val="auto"/>
              </w:rPr>
            </w:pPr>
            <w:r>
              <w:rPr>
                <w:rFonts w:ascii="Arial" w:cs="Arial" w:eastAsia="Arial" w:hAnsi="Arial"/>
                <w:sz w:val="16"/>
                <w:szCs w:val="16"/>
                <w:color w:val="auto"/>
              </w:rPr>
              <w:t>(0.3)</w:t>
            </w: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realized (losses) gains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center"/>
              <w:ind w:left="899"/>
              <w:spacing w:after="0"/>
              <w:rPr>
                <w:sz w:val="20"/>
                <w:szCs w:val="20"/>
                <w:color w:val="auto"/>
              </w:rPr>
            </w:pPr>
            <w:r>
              <w:rPr>
                <w:rFonts w:ascii="Arial" w:cs="Arial" w:eastAsia="Arial" w:hAnsi="Arial"/>
                <w:sz w:val="16"/>
                <w:szCs w:val="16"/>
                <w:color w:val="auto"/>
                <w:w w:val="97"/>
              </w:rPr>
              <w:t>(0.5)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center"/>
              <w:ind w:left="899"/>
              <w:spacing w:after="0"/>
              <w:rPr>
                <w:sz w:val="20"/>
                <w:szCs w:val="20"/>
                <w:color w:val="auto"/>
              </w:rPr>
            </w:pPr>
            <w:r>
              <w:rPr>
                <w:rFonts w:ascii="Arial" w:cs="Arial" w:eastAsia="Arial" w:hAnsi="Arial"/>
                <w:sz w:val="16"/>
                <w:szCs w:val="16"/>
                <w:color w:val="auto"/>
                <w:w w:val="97"/>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center"/>
              <w:ind w:left="919"/>
              <w:spacing w:after="0"/>
              <w:rPr>
                <w:sz w:val="20"/>
                <w:szCs w:val="20"/>
                <w:color w:val="auto"/>
              </w:rPr>
            </w:pPr>
            <w:r>
              <w:rPr>
                <w:rFonts w:ascii="Arial" w:cs="Arial" w:eastAsia="Arial" w:hAnsi="Arial"/>
                <w:sz w:val="16"/>
                <w:szCs w:val="16"/>
                <w:color w:val="auto"/>
                <w:w w:val="98"/>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Company recorded a net loss of $ 1.7 million and $5.0 million on its undesignated financial instruments for the three and nine months ended September 27, 2026, respectively, and a net gain of $4.2 million and $13.4 million for the three and nine months ended September 28, 2025, respectively, relating to the change in fair value of such derivative financial instruments, substantially offsetting gains and losses from the change in fair value of intercompany loans to which the contracts relate. Such amounts are recorded within Other expense (income), net within the Consolidated Statements of Operations.</w:t>
      </w:r>
    </w:p>
    <w:p>
      <w:pPr>
        <w:sectPr>
          <w:pgSz w:w="11900" w:h="16838" w:orient="portrait"/>
          <w:cols w:equalWidth="0" w:num="1">
            <w:col w:w="11240"/>
          </w:cols>
          <w:pgMar w:left="320" w:top="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26" w:name="page27"/>
    <w:bookmarkEnd w:id="26"/>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For additional information related to the Company's derivative financial instruments refer to Note 6, Other Comprehensive Earnings (Loss) and Note 12, Fair Value of Financial Instruments, to the consolidated financial statements.</w:t>
      </w:r>
    </w:p>
    <w:p>
      <w:pPr>
        <w:spacing w:after="0" w:line="45"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Starting in 2022, the Company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The Company currently anticipates that these changes will be substantially complete over the next three months.</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Charges related to the Program were recorded in Selling, distribution and administration expense within Corporate and other. Going forward, the Company may implement further cost-saving initiatives under the Program that could result in additional restructuring charges including severance and other employee charges.</w:t>
      </w:r>
    </w:p>
    <w:p>
      <w:pPr>
        <w:spacing w:after="0" w:line="63" w:lineRule="exact"/>
        <w:rPr>
          <w:sz w:val="20"/>
          <w:szCs w:val="20"/>
          <w:color w:val="auto"/>
        </w:rPr>
      </w:pPr>
    </w:p>
    <w:p>
      <w:pPr>
        <w:ind w:right="360"/>
        <w:spacing w:after="0" w:line="284" w:lineRule="auto"/>
        <w:rPr>
          <w:sz w:val="20"/>
          <w:szCs w:val="20"/>
          <w:color w:val="auto"/>
        </w:rPr>
      </w:pPr>
      <w:r>
        <w:rPr>
          <w:rFonts w:ascii="Arial" w:cs="Arial" w:eastAsia="Arial" w:hAnsi="Arial"/>
          <w:sz w:val="18"/>
          <w:szCs w:val="18"/>
          <w:color w:val="auto"/>
        </w:rPr>
        <w:t>The liability balance associated with the Program-related restructuring actions consisted of severance payments recorded within Accrued liabilities in the Consolidated Balance Sheets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38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28"/>
        </w:trPr>
        <w:tc>
          <w:tcPr>
            <w:tcW w:w="8060" w:type="dxa"/>
            <w:vAlign w:val="bottom"/>
          </w:tcPr>
          <w:p>
            <w:pPr>
              <w:ind w:left="20"/>
              <w:spacing w:after="0"/>
              <w:rPr>
                <w:sz w:val="20"/>
                <w:szCs w:val="20"/>
                <w:color w:val="auto"/>
              </w:rPr>
            </w:pPr>
            <w:r>
              <w:rPr>
                <w:rFonts w:ascii="Arial" w:cs="Arial" w:eastAsia="Arial" w:hAnsi="Arial"/>
                <w:sz w:val="16"/>
                <w:szCs w:val="16"/>
                <w:color w:val="auto"/>
              </w:rPr>
              <w:t>Charges</w:t>
            </w:r>
          </w:p>
        </w:tc>
        <w:tc>
          <w:tcPr>
            <w:tcW w:w="160" w:type="dxa"/>
            <w:vAlign w:val="bottom"/>
          </w:tcPr>
          <w:p>
            <w:pPr>
              <w:spacing w:after="0"/>
              <w:rPr>
                <w:sz w:val="19"/>
                <w:szCs w:val="19"/>
                <w:color w:val="auto"/>
              </w:rPr>
            </w:pPr>
          </w:p>
        </w:tc>
        <w:tc>
          <w:tcPr>
            <w:tcW w:w="1380" w:type="dxa"/>
            <w:vAlign w:val="bottom"/>
          </w:tcPr>
          <w:p>
            <w:pPr>
              <w:jc w:val="center"/>
              <w:ind w:left="8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24"/>
        </w:trPr>
        <w:tc>
          <w:tcPr>
            <w:tcW w:w="80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1"/>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Total restructuring charges incurred to date under the Program as of September 27, 2026 equals $193.9 million.</w:t>
      </w:r>
    </w:p>
    <w:p>
      <w:pPr>
        <w:spacing w:after="0" w:line="117"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Litigation and Other Claims – The Company from time to time may be subject to lawsuits and other claims related to product, commercial, employee, cybersecurity, securities,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Environmental Liabilities – The Company monitors for any estimated environmental contingencies related to its current physical locations and former owned or leased facilities in which it is responsible for environmental matters. The Company has estimated a $30.0 million environmental liability related primarily to one previously owned manufacturing facility (environmental liability assumed as part of a historical acquisition), in which the Company is solely responsible for the mitigation and remediation activities.</w:t>
      </w:r>
    </w:p>
    <w:p>
      <w:pPr>
        <w:spacing w:after="0" w:line="6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Contractual obligations and commercial commitments, as detailed in the Company's 2025 Form 10-K, did not materially change outside of certain payments made in the normal course of business, except as disclosed above and in Note 10, Long-Term Debt and Other Financing and Note 13, Leases, to the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7" w:name="page28"/>
    <w:bookmarkEnd w:id="27"/>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17"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color w:val="auto"/>
        </w:rPr>
        <w:t>The Company's reportable segments are strategic business units that offer different products and services. They are managed separately because the business requires different technology and marketing strategies. The Company's three reportable segments are as follows:</w:t>
      </w:r>
    </w:p>
    <w:p>
      <w:pPr>
        <w:spacing w:after="0" w:line="22" w:lineRule="exact"/>
        <w:rPr>
          <w:sz w:val="20"/>
          <w:szCs w:val="20"/>
          <w:color w:val="auto"/>
        </w:rPr>
      </w:pPr>
    </w:p>
    <w:p>
      <w:pPr>
        <w:ind w:left="340" w:right="180" w:hanging="332"/>
        <w:spacing w:after="0" w:line="262"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spacing w:after="0" w:line="68" w:lineRule="exact"/>
        <w:rPr>
          <w:rFonts w:ascii="Arial" w:cs="Arial" w:eastAsia="Arial" w:hAnsi="Arial"/>
          <w:sz w:val="18"/>
          <w:szCs w:val="18"/>
          <w:color w:val="auto"/>
        </w:rPr>
      </w:pPr>
    </w:p>
    <w:p>
      <w:pPr>
        <w:ind w:left="340" w:right="300" w:hanging="332"/>
        <w:spacing w:after="0" w:line="262"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spacing w:after="0" w:line="68" w:lineRule="exact"/>
        <w:rPr>
          <w:rFonts w:ascii="Arial" w:cs="Arial" w:eastAsia="Arial" w:hAnsi="Arial"/>
          <w:sz w:val="18"/>
          <w:szCs w:val="18"/>
          <w:color w:val="auto"/>
        </w:rPr>
      </w:pPr>
    </w:p>
    <w:p>
      <w:pPr>
        <w:ind w:left="340" w:right="680" w:hanging="332"/>
        <w:spacing w:after="0" w:line="28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Entertainment segment develops, produces, and monetizes Hasbro-branded entertainment content including film, television, children’s programming, digital content and live entertainment focused on Hasbro-owned properties.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Corporate and other is not an operating segment. Amounts included in Corporate and other primarily consist of corporate overhead and other costs that are not attributable to, and do not represent the results of, any operating segment or other business activity, including restructuring, severance and strategic transformation costs, as well as certain assets benefiting more than one segment. Corporate and other also includes certain intercompany revenue recorded to facilitate transactions between segments, which is fully offset by a corresponding elimination of intersegment revenue and therefore does not result in any net revenue or operating results attributable to Corporate and other. Because Corporate and other does not include the revenues or operating results of any operating segment that is not reportable, or of any other business activity, the Company does not present a separate “all other” category. Corporate and other is presented as a reconciling item in the reconciliation of the total of the reportable segments’ operating profit (loss) to consolidated earnings (loss) before income taxes.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Segment performance is measured at the operating profit level.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other. We do not present a measure of total assets for our reportable segments as this information is not used by the chief operating decision maker ("CODM") to allocate resources and assess performance.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8" w:name="page29"/>
    <w:bookmarkEnd w:id="28"/>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segment and a reconciliation to reported amounts for the three months ended September 27, 2026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Wizards of the Coast</w:t>
            </w:r>
          </w:p>
        </w:tc>
        <w:tc>
          <w:tcPr>
            <w:tcW w:w="1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Products</w:t>
            </w:r>
          </w:p>
        </w:tc>
        <w:tc>
          <w:tcPr>
            <w:tcW w:w="2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Entertainment</w:t>
            </w:r>
          </w:p>
        </w:tc>
        <w:tc>
          <w:tcPr>
            <w:tcW w:w="160" w:type="dxa"/>
            <w:vAlign w:val="bottom"/>
          </w:tcPr>
          <w:p>
            <w:pPr>
              <w:spacing w:after="0"/>
              <w:rPr>
                <w:sz w:val="14"/>
                <w:szCs w:val="14"/>
                <w:color w:val="auto"/>
              </w:rPr>
            </w:pPr>
          </w:p>
        </w:tc>
        <w:tc>
          <w:tcPr>
            <w:tcW w:w="1380" w:type="dxa"/>
            <w:vAlign w:val="bottom"/>
          </w:tcPr>
          <w:p>
            <w:pPr>
              <w:jc w:val="right"/>
              <w:ind w:right="121"/>
              <w:spacing w:after="0"/>
              <w:rPr>
                <w:sz w:val="20"/>
                <w:szCs w:val="20"/>
                <w:color w:val="auto"/>
              </w:rPr>
            </w:pPr>
            <w:r>
              <w:rPr>
                <w:rFonts w:ascii="Arial" w:cs="Arial" w:eastAsia="Arial" w:hAnsi="Arial"/>
                <w:sz w:val="14"/>
                <w:szCs w:val="14"/>
                <w:b w:val="1"/>
                <w:bCs w:val="1"/>
                <w:color w:val="auto"/>
              </w:rPr>
              <w:t>Total Reportable</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and Digital Gaming</w:t>
            </w:r>
          </w:p>
        </w:tc>
        <w:tc>
          <w:tcPr>
            <w:tcW w:w="1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34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580" w:type="dxa"/>
            <w:vAlign w:val="bottom"/>
            <w:tcBorders>
              <w:top w:val="single" w:sz="8" w:color="auto"/>
            </w:tcBorders>
            <w:shd w:val="clear" w:color="auto" w:fill="CCEEFF"/>
          </w:tcPr>
          <w:p>
            <w:pPr>
              <w:jc w:val="right"/>
              <w:ind w:right="404"/>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831.6</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1,769.0</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revenue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1,595.3</w:t>
            </w: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Program cost amortization</w:t>
            </w:r>
          </w:p>
        </w:tc>
        <w:tc>
          <w:tcPr>
            <w:tcW w:w="5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Arial" w:cs="Arial" w:eastAsia="Arial" w:hAnsi="Arial"/>
                <w:sz w:val="16"/>
                <w:szCs w:val="16"/>
                <w:color w:val="auto"/>
              </w:rPr>
              <w:t>Royalties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w:t>
            </w: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1" w:lineRule="exact"/>
              <w:rPr>
                <w:sz w:val="20"/>
                <w:szCs w:val="20"/>
                <w:color w:val="auto"/>
              </w:rPr>
            </w:pPr>
            <w:r>
              <w:rPr>
                <w:rFonts w:ascii="Arial" w:cs="Arial" w:eastAsia="Arial" w:hAnsi="Arial"/>
                <w:sz w:val="16"/>
                <w:szCs w:val="16"/>
                <w:color w:val="auto"/>
              </w:rPr>
              <w:t xml:space="preserve">Distribution </w:t>
            </w:r>
            <w:r>
              <w:rPr>
                <w:rFonts w:ascii="Arial" w:cs="Arial" w:eastAsia="Arial" w:hAnsi="Arial"/>
                <w:sz w:val="21"/>
                <w:szCs w:val="21"/>
                <w:color w:val="auto"/>
                <w:vertAlign w:val="superscript"/>
              </w:rPr>
              <w:t>(1)</w:t>
            </w: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 xml:space="preserve">Managed expense </w:t>
            </w:r>
            <w:r>
              <w:rPr>
                <w:rFonts w:ascii="Arial" w:cs="Arial" w:eastAsia="Arial" w:hAnsi="Arial"/>
                <w:sz w:val="21"/>
                <w:szCs w:val="21"/>
                <w:color w:val="auto"/>
                <w:vertAlign w:val="superscript"/>
              </w:rPr>
              <w:t>(2)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profit</w:t>
            </w:r>
          </w:p>
        </w:tc>
        <w:tc>
          <w:tcPr>
            <w:tcW w:w="58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558.3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to Earnings before income taxes: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Corporate and other expense </w:t>
            </w:r>
            <w:r>
              <w:rPr>
                <w:rFonts w:ascii="Arial" w:cs="Arial" w:eastAsia="Arial" w:hAnsi="Arial"/>
                <w:sz w:val="21"/>
                <w:szCs w:val="21"/>
                <w:color w:val="auto"/>
                <w:vertAlign w:val="superscript"/>
              </w:rPr>
              <w:t>(3)</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489.1</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Distribution expenses consist of shipping and warehousing expense and are included in Selling, distribution and administration in the Consolidated Statements of Operations.</w:t>
      </w:r>
    </w:p>
    <w:p>
      <w:pPr>
        <w:ind w:left="140" w:hanging="132"/>
        <w:spacing w:after="0"/>
        <w:tabs>
          <w:tab w:leader="none" w:pos="140" w:val="left"/>
        </w:tabs>
        <w:numPr>
          <w:ilvl w:val="0"/>
          <w:numId w:val="27"/>
        </w:numPr>
        <w:rPr>
          <w:rFonts w:ascii="Arial" w:cs="Arial" w:eastAsia="Arial" w:hAnsi="Arial"/>
          <w:sz w:val="9"/>
          <w:szCs w:val="9"/>
          <w:i w:val="1"/>
          <w:iCs w:val="1"/>
          <w:color w:val="auto"/>
        </w:rPr>
      </w:pPr>
      <w:r>
        <w:rPr>
          <w:rFonts w:ascii="Arial" w:cs="Arial" w:eastAsia="Arial" w:hAnsi="Arial"/>
          <w:sz w:val="14"/>
          <w:szCs w:val="14"/>
          <w:i w:val="1"/>
          <w:iCs w:val="1"/>
          <w:color w:val="auto"/>
        </w:rPr>
        <w:t>Managed expenses consist of product development and selling and administrative expense. Product development is included in Product Development in the Consolidated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Statements of Operations. Selling and administrative expense is included in Selling, distribution and administration in the Consolidated Statements of Operations.</w:t>
      </w:r>
    </w:p>
    <w:p>
      <w:pPr>
        <w:spacing w:after="0" w:line="6" w:lineRule="exact"/>
        <w:rPr>
          <w:sz w:val="20"/>
          <w:szCs w:val="20"/>
          <w:color w:val="auto"/>
        </w:rPr>
      </w:pPr>
    </w:p>
    <w:p>
      <w:pPr>
        <w:ind w:left="180" w:right="700" w:hanging="172"/>
        <w:spacing w:after="0" w:line="234" w:lineRule="auto"/>
        <w:tabs>
          <w:tab w:leader="none" w:pos="158"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Corporate and other expense primarily consists of unallocated corporate expenses, including restructuring, severance and strategic transformation costs, as well as intersegment eliminations and cross-charges.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segment and a reconciliation to reported amounts for the three months ended September 28, 2025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Wizards of the Coast</w:t>
            </w: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Products</w:t>
            </w:r>
          </w:p>
        </w:tc>
        <w:tc>
          <w:tcPr>
            <w:tcW w:w="18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Entertainment</w:t>
            </w:r>
          </w:p>
        </w:tc>
        <w:tc>
          <w:tcPr>
            <w:tcW w:w="160" w:type="dxa"/>
            <w:vAlign w:val="bottom"/>
          </w:tcPr>
          <w:p>
            <w:pPr>
              <w:spacing w:after="0"/>
              <w:rPr>
                <w:sz w:val="14"/>
                <w:szCs w:val="14"/>
                <w:color w:val="auto"/>
              </w:rPr>
            </w:pPr>
          </w:p>
        </w:tc>
        <w:tc>
          <w:tcPr>
            <w:tcW w:w="1360" w:type="dxa"/>
            <w:vAlign w:val="bottom"/>
          </w:tcPr>
          <w:p>
            <w:pPr>
              <w:jc w:val="right"/>
              <w:ind w:right="121"/>
              <w:spacing w:after="0"/>
              <w:rPr>
                <w:sz w:val="20"/>
                <w:szCs w:val="20"/>
                <w:color w:val="auto"/>
              </w:rPr>
            </w:pPr>
            <w:r>
              <w:rPr>
                <w:rFonts w:ascii="Arial" w:cs="Arial" w:eastAsia="Arial" w:hAnsi="Arial"/>
                <w:sz w:val="14"/>
                <w:szCs w:val="14"/>
                <w:b w:val="1"/>
                <w:bCs w:val="1"/>
                <w:color w:val="auto"/>
              </w:rPr>
              <w:t>Total Reportable</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Digital Gaming</w:t>
            </w:r>
          </w:p>
        </w:tc>
        <w:tc>
          <w:tcPr>
            <w:tcW w:w="16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34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1,529.5</w:t>
            </w:r>
          </w:p>
        </w:tc>
        <w:tc>
          <w:tcPr>
            <w:tcW w:w="0" w:type="dxa"/>
            <w:vAlign w:val="bottom"/>
          </w:tcPr>
          <w:p>
            <w:pPr>
              <w:spacing w:after="0"/>
              <w:rPr>
                <w:sz w:val="1"/>
                <w:szCs w:val="1"/>
                <w:color w:val="auto"/>
              </w:rPr>
            </w:pPr>
          </w:p>
        </w:tc>
      </w:tr>
      <w:tr>
        <w:trPr>
          <w:trHeight w:val="228"/>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revenue</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1,387.5</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Program cost amortization</w:t>
            </w:r>
          </w:p>
        </w:tc>
        <w:tc>
          <w:tcPr>
            <w:tcW w:w="5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Arial" w:cs="Arial" w:eastAsia="Arial" w:hAnsi="Arial"/>
                <w:sz w:val="16"/>
                <w:szCs w:val="16"/>
                <w:color w:val="auto"/>
              </w:rPr>
              <w:t>Royalties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line="231" w:lineRule="exact"/>
              <w:rPr>
                <w:sz w:val="20"/>
                <w:szCs w:val="20"/>
                <w:color w:val="auto"/>
              </w:rPr>
            </w:pPr>
            <w:r>
              <w:rPr>
                <w:rFonts w:ascii="Arial" w:cs="Arial" w:eastAsia="Arial" w:hAnsi="Arial"/>
                <w:sz w:val="16"/>
                <w:szCs w:val="16"/>
                <w:color w:val="auto"/>
              </w:rPr>
              <w:t xml:space="preserve">Distribution </w:t>
            </w:r>
            <w:r>
              <w:rPr>
                <w:rFonts w:ascii="Arial" w:cs="Arial" w:eastAsia="Arial" w:hAnsi="Arial"/>
                <w:sz w:val="21"/>
                <w:szCs w:val="21"/>
                <w:color w:val="auto"/>
                <w:vertAlign w:val="superscript"/>
              </w:rPr>
              <w:t>(1)</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 xml:space="preserve">Managed expense </w:t>
            </w:r>
            <w:r>
              <w:rPr>
                <w:rFonts w:ascii="Arial" w:cs="Arial" w:eastAsia="Arial" w:hAnsi="Arial"/>
                <w:sz w:val="21"/>
                <w:szCs w:val="21"/>
                <w:color w:val="auto"/>
                <w:vertAlign w:val="superscript"/>
              </w:rPr>
              <w:t>(2)</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profit</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339.1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to Earnings before income taxes: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Corporate and other income, net </w:t>
            </w:r>
            <w:r>
              <w:rPr>
                <w:rFonts w:ascii="Arial" w:cs="Arial" w:eastAsia="Arial" w:hAnsi="Arial"/>
                <w:sz w:val="21"/>
                <w:szCs w:val="21"/>
                <w:color w:val="auto"/>
                <w:vertAlign w:val="superscript"/>
              </w:rPr>
              <w:t>(3)</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28"/>
        </w:trPr>
        <w:tc>
          <w:tcPr>
            <w:tcW w:w="476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4"/>
        </w:trPr>
        <w:tc>
          <w:tcPr>
            <w:tcW w:w="476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305.2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9" w:name="page30"/>
    <w:bookmarkEnd w:id="29"/>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35"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Distribution expenses consist of shipping and warehousing expense and are included in Selling, distribution and administration in the Consolidated Statement of Operations.</w:t>
      </w:r>
    </w:p>
    <w:p>
      <w:pPr>
        <w:spacing w:after="0" w:line="3" w:lineRule="exact"/>
        <w:rPr>
          <w:rFonts w:ascii="Arial" w:cs="Arial" w:eastAsia="Arial" w:hAnsi="Arial"/>
          <w:sz w:val="16"/>
          <w:szCs w:val="16"/>
          <w:i w:val="1"/>
          <w:iCs w:val="1"/>
          <w:color w:val="auto"/>
          <w:vertAlign w:val="superscript"/>
        </w:rPr>
      </w:pPr>
    </w:p>
    <w:p>
      <w:pPr>
        <w:ind w:left="180" w:right="280" w:hanging="172"/>
        <w:spacing w:after="0" w:line="220" w:lineRule="auto"/>
        <w:tabs>
          <w:tab w:leader="none" w:pos="158"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Managed expenses consist of product development and selling and administrative expense. Product development is included in Product Development in the Consolidated Statements of Operations. Selling and administrative expense is included in Selling, distribution and administration in the Consolidated Statements of Operations.</w:t>
      </w:r>
    </w:p>
    <w:p>
      <w:pPr>
        <w:ind w:left="180" w:right="500" w:hanging="172"/>
        <w:spacing w:after="0" w:line="284" w:lineRule="auto"/>
        <w:tabs>
          <w:tab w:leader="none" w:pos="158" w:val="left"/>
        </w:tabs>
        <w:numPr>
          <w:ilvl w:val="0"/>
          <w:numId w:val="29"/>
        </w:numPr>
        <w:rPr>
          <w:rFonts w:ascii="Arial" w:cs="Arial" w:eastAsia="Arial" w:hAnsi="Arial"/>
          <w:sz w:val="9"/>
          <w:szCs w:val="9"/>
          <w:i w:val="1"/>
          <w:iCs w:val="1"/>
          <w:color w:val="auto"/>
        </w:rPr>
      </w:pPr>
      <w:r>
        <w:rPr>
          <w:rFonts w:ascii="Arial" w:cs="Arial" w:eastAsia="Arial" w:hAnsi="Arial"/>
          <w:sz w:val="14"/>
          <w:szCs w:val="14"/>
          <w:i w:val="1"/>
          <w:iCs w:val="1"/>
          <w:color w:val="auto"/>
        </w:rPr>
        <w:t>Corporate and other income, net primarily consists of unallocated corporate expenses, including restructuring, severance and strategic transformation costs, as well as intersegment eliminations and cross-charges.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segment and a reconciliation to reported amounts for the nine months ended September 27, 2026 are as follows:</w:t>
      </w:r>
    </w:p>
    <w:p>
      <w:pPr>
        <w:sectPr>
          <w:pgSz w:w="11900" w:h="16838" w:orient="portrait"/>
          <w:cols w:equalWidth="0" w:num="1">
            <w:col w:w="11240"/>
          </w:cols>
          <w:pgMar w:left="320" w:top="107"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Intersegment revenue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net 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Program cost amortization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Royalties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Advertising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intangible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Distribution </w:t>
      </w:r>
      <w:r>
        <w:rPr>
          <w:rFonts w:ascii="Arial" w:cs="Arial" w:eastAsia="Arial" w:hAnsi="Arial"/>
          <w:sz w:val="21"/>
          <w:szCs w:val="2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Managed expense </w:t>
      </w:r>
      <w:r>
        <w:rPr>
          <w:rFonts w:ascii="Arial" w:cs="Arial" w:eastAsia="Arial" w:hAnsi="Arial"/>
          <w:sz w:val="21"/>
          <w:szCs w:val="21"/>
          <w:color w:val="auto"/>
          <w:vertAlign w:val="superscript"/>
        </w:rPr>
        <w:t>(2)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Segment operating profit</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Reconciliation to Earnings before income taxes: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Corporate and other expense </w:t>
      </w:r>
      <w:r>
        <w:rPr>
          <w:rFonts w:ascii="Arial" w:cs="Arial" w:eastAsia="Arial" w:hAnsi="Arial"/>
          <w:sz w:val="21"/>
          <w:szCs w:val="21"/>
          <w:color w:val="auto"/>
          <w:vertAlign w:val="superscript"/>
        </w:rPr>
        <w:t>(3)</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expense</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expense,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before income taxes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Wizards of the Coast</w:t>
            </w:r>
          </w:p>
        </w:tc>
        <w:tc>
          <w:tcPr>
            <w:tcW w:w="1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Products</w:t>
            </w:r>
          </w:p>
        </w:tc>
        <w:tc>
          <w:tcPr>
            <w:tcW w:w="2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Entertainment</w:t>
            </w:r>
          </w:p>
        </w:tc>
        <w:tc>
          <w:tcPr>
            <w:tcW w:w="160" w:type="dxa"/>
            <w:vAlign w:val="bottom"/>
          </w:tcPr>
          <w:p>
            <w:pPr>
              <w:spacing w:after="0"/>
              <w:rPr>
                <w:sz w:val="14"/>
                <w:szCs w:val="14"/>
                <w:color w:val="auto"/>
              </w:rPr>
            </w:pPr>
          </w:p>
        </w:tc>
        <w:tc>
          <w:tcPr>
            <w:tcW w:w="1380" w:type="dxa"/>
            <w:vAlign w:val="bottom"/>
          </w:tcPr>
          <w:p>
            <w:pPr>
              <w:jc w:val="right"/>
              <w:ind w:right="121"/>
              <w:spacing w:after="0"/>
              <w:rPr>
                <w:sz w:val="20"/>
                <w:szCs w:val="20"/>
                <w:color w:val="auto"/>
              </w:rPr>
            </w:pPr>
            <w:r>
              <w:rPr>
                <w:rFonts w:ascii="Arial" w:cs="Arial" w:eastAsia="Arial" w:hAnsi="Arial"/>
                <w:sz w:val="14"/>
                <w:szCs w:val="14"/>
                <w:b w:val="1"/>
                <w:bCs w:val="1"/>
                <w:color w:val="auto"/>
              </w:rPr>
              <w:t>Total Reportable</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and Digital Gaming</w:t>
            </w:r>
          </w:p>
        </w:tc>
        <w:tc>
          <w:tcPr>
            <w:tcW w:w="1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34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2,229.5</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1,866.2</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4,184.0</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448.9</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1,993.0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3,735.1</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325.6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131.5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444.6</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935.1</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1,086.9</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vMerge w:val="restart"/>
          </w:tcPr>
          <w:p>
            <w:pPr>
              <w:jc w:val="right"/>
              <w:ind w:right="1"/>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693"/>
        </w:trPr>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941.9</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-2733675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-2433955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-2133600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-1842135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-1550670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-1259840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-916940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-624840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-333375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100" w:space="720"/>
            <w:col w:w="6420"/>
          </w:cols>
          <w:pgMar w:left="320" w:top="107" w:right="339" w:bottom="1440" w:gutter="0" w:footer="0" w:header="0"/>
          <w:type w:val="continuous"/>
        </w:sectPr>
      </w:pPr>
    </w:p>
    <w:p>
      <w:pPr>
        <w:ind w:left="140" w:hanging="132"/>
        <w:spacing w:after="0"/>
        <w:tabs>
          <w:tab w:leader="none" w:pos="140" w:val="left"/>
        </w:tabs>
        <w:numPr>
          <w:ilvl w:val="0"/>
          <w:numId w:val="3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Distribution expenses consist of shipping and warehousing expense and are included in Selling, distribution and administration in the Consolidated Statements of Operations.</w:t>
      </w:r>
    </w:p>
    <w:p>
      <w:pPr>
        <w:ind w:left="140" w:hanging="132"/>
        <w:spacing w:after="0"/>
        <w:tabs>
          <w:tab w:leader="none" w:pos="140"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Managed expenses consist of product development and selling and administrative expense. Product development is included in Product Development in the Consolidated</w:t>
      </w:r>
    </w:p>
    <w:p>
      <w:pPr>
        <w:spacing w:after="0" w:line="15" w:lineRule="exact"/>
        <w:rPr>
          <w:sz w:val="20"/>
          <w:szCs w:val="20"/>
          <w:color w:val="auto"/>
        </w:rPr>
      </w:pPr>
    </w:p>
    <w:p>
      <w:pPr>
        <w:jc w:val="both"/>
        <w:ind w:left="180" w:right="180"/>
        <w:spacing w:after="0" w:line="257" w:lineRule="auto"/>
        <w:rPr>
          <w:sz w:val="20"/>
          <w:szCs w:val="20"/>
          <w:color w:val="auto"/>
        </w:rPr>
      </w:pPr>
      <w:r>
        <w:rPr>
          <w:rFonts w:ascii="Arial" w:cs="Arial" w:eastAsia="Arial" w:hAnsi="Arial"/>
          <w:sz w:val="14"/>
          <w:szCs w:val="14"/>
          <w:i w:val="1"/>
          <w:iCs w:val="1"/>
          <w:color w:val="auto"/>
        </w:rPr>
        <w:t>Statements of Operations. Selling and administrative expense is included in Selling, distribution and administration in the Consolidated Statements of Operations. Managed expenses for the Wizards of the Coast and Digital Gaming segment included a $56.4 million non-cash impairment charge related to the Company's decision to refocus the Digital Games portfolio. Refer to Note 1, Basis of Presentation, for further information.</w:t>
      </w:r>
    </w:p>
    <w:p>
      <w:pPr>
        <w:spacing w:after="0" w:line="1" w:lineRule="exact"/>
        <w:rPr>
          <w:sz w:val="20"/>
          <w:szCs w:val="20"/>
          <w:color w:val="auto"/>
        </w:rPr>
      </w:pPr>
    </w:p>
    <w:p>
      <w:pPr>
        <w:ind w:left="180" w:right="700" w:hanging="172"/>
        <w:spacing w:after="0" w:line="226" w:lineRule="auto"/>
        <w:tabs>
          <w:tab w:leader="none" w:pos="158"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Corporate and other expense primarily consists of unallocated corporate expenses, including restructuring, severance and strategic transformation costs, as well as intersegment eliminations and cross-charges.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30" w:name="page31"/>
    <w:bookmarkEnd w:id="30"/>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segment and a reconciliation to reported amounts for the nine months ended September 28, 2025 are as follows:</w:t>
      </w:r>
    </w:p>
    <w:p>
      <w:pPr>
        <w:sectPr>
          <w:pgSz w:w="11900" w:h="16838" w:orient="portrait"/>
          <w:cols w:equalWidth="0" w:num="1">
            <w:col w:w="11240"/>
          </w:cols>
          <w:pgMar w:left="320" w:top="107"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Intersegment revenue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net 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Program cost amortization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Royalties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Advertising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intangible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Distribution </w:t>
      </w:r>
      <w:r>
        <w:rPr>
          <w:rFonts w:ascii="Arial" w:cs="Arial" w:eastAsia="Arial" w:hAnsi="Arial"/>
          <w:sz w:val="21"/>
          <w:szCs w:val="2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Managed expense </w:t>
      </w:r>
      <w:r>
        <w:rPr>
          <w:rFonts w:ascii="Arial" w:cs="Arial" w:eastAsia="Arial" w:hAnsi="Arial"/>
          <w:sz w:val="21"/>
          <w:szCs w:val="21"/>
          <w:color w:val="auto"/>
          <w:vertAlign w:val="superscript"/>
        </w:rPr>
        <w:t>(2)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Segment operating profit (loss)</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Reconciliation to Loss before income taxes: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Corporate and other expense </w:t>
      </w:r>
      <w:r>
        <w:rPr>
          <w:rFonts w:ascii="Arial" w:cs="Arial" w:eastAsia="Arial" w:hAnsi="Arial"/>
          <w:sz w:val="21"/>
          <w:szCs w:val="21"/>
          <w:color w:val="auto"/>
          <w:vertAlign w:val="superscript"/>
        </w:rPr>
        <w:t>(3)</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expense</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income,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before income taxes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Wizards of the Coast</w:t>
            </w:r>
          </w:p>
        </w:tc>
        <w:tc>
          <w:tcPr>
            <w:tcW w:w="1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Products</w:t>
            </w:r>
          </w:p>
        </w:tc>
        <w:tc>
          <w:tcPr>
            <w:tcW w:w="2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Entertainment</w:t>
            </w:r>
          </w:p>
        </w:tc>
        <w:tc>
          <w:tcPr>
            <w:tcW w:w="160" w:type="dxa"/>
            <w:vAlign w:val="bottom"/>
          </w:tcPr>
          <w:p>
            <w:pPr>
              <w:spacing w:after="0"/>
              <w:rPr>
                <w:sz w:val="14"/>
                <w:szCs w:val="14"/>
                <w:color w:val="auto"/>
              </w:rPr>
            </w:pPr>
          </w:p>
        </w:tc>
        <w:tc>
          <w:tcPr>
            <w:tcW w:w="1380" w:type="dxa"/>
            <w:vAlign w:val="bottom"/>
          </w:tcPr>
          <w:p>
            <w:pPr>
              <w:jc w:val="right"/>
              <w:ind w:right="121"/>
              <w:spacing w:after="0"/>
              <w:rPr>
                <w:sz w:val="20"/>
                <w:szCs w:val="20"/>
                <w:color w:val="auto"/>
              </w:rPr>
            </w:pPr>
            <w:r>
              <w:rPr>
                <w:rFonts w:ascii="Arial" w:cs="Arial" w:eastAsia="Arial" w:hAnsi="Arial"/>
                <w:sz w:val="14"/>
                <w:szCs w:val="14"/>
                <w:b w:val="1"/>
                <w:bCs w:val="1"/>
                <w:color w:val="auto"/>
              </w:rPr>
              <w:t>Total Reportable</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and Digital Gaming</w:t>
            </w:r>
          </w:p>
        </w:tc>
        <w:tc>
          <w:tcPr>
            <w:tcW w:w="1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34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1,708.2</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1,794.1</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3,599.3</w:t>
            </w:r>
          </w:p>
        </w:tc>
        <w:tc>
          <w:tcPr>
            <w:tcW w:w="0" w:type="dxa"/>
            <w:vAlign w:val="bottom"/>
          </w:tcPr>
          <w:p>
            <w:pPr>
              <w:spacing w:after="0"/>
              <w:rPr>
                <w:sz w:val="1"/>
                <w:szCs w:val="1"/>
                <w:color w:val="auto"/>
              </w:rPr>
            </w:pPr>
          </w:p>
        </w:tc>
      </w:tr>
      <w:tr>
        <w:trPr>
          <w:trHeight w:val="231"/>
        </w:trPr>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1,556.5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3,255.4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251.4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358.6</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723.3</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vMerge w:val="restart"/>
          </w:tcPr>
          <w:p>
            <w:pPr>
              <w:jc w:val="right"/>
              <w:ind w:right="1"/>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693"/>
        </w:trPr>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-2733675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-2433955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-2133600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-1842770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-1550670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-1259205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-916305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-624840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-334010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100" w:space="720"/>
            <w:col w:w="6420"/>
          </w:cols>
          <w:pgMar w:left="320" w:top="107" w:right="339" w:bottom="1440" w:gutter="0" w:footer="0" w:header="0"/>
          <w:type w:val="continuous"/>
        </w:sectPr>
      </w:pPr>
    </w:p>
    <w:p>
      <w:pPr>
        <w:ind w:left="140" w:hanging="132"/>
        <w:spacing w:after="0"/>
        <w:tabs>
          <w:tab w:leader="none" w:pos="14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Distribution expenses consist of shipping and warehousing expense and are included in Selling, distribution and administration in the Consolidated Statements of Operations.</w:t>
      </w:r>
    </w:p>
    <w:p>
      <w:pPr>
        <w:ind w:left="140" w:hanging="132"/>
        <w:spacing w:after="0"/>
        <w:tabs>
          <w:tab w:leader="none" w:pos="140" w:val="left"/>
        </w:tabs>
        <w:numPr>
          <w:ilvl w:val="0"/>
          <w:numId w:val="32"/>
        </w:numPr>
        <w:rPr>
          <w:rFonts w:ascii="Arial" w:cs="Arial" w:eastAsia="Arial" w:hAnsi="Arial"/>
          <w:sz w:val="9"/>
          <w:szCs w:val="9"/>
          <w:i w:val="1"/>
          <w:iCs w:val="1"/>
          <w:color w:val="auto"/>
        </w:rPr>
      </w:pPr>
      <w:r>
        <w:rPr>
          <w:rFonts w:ascii="Arial" w:cs="Arial" w:eastAsia="Arial" w:hAnsi="Arial"/>
          <w:sz w:val="14"/>
          <w:szCs w:val="14"/>
          <w:i w:val="1"/>
          <w:iCs w:val="1"/>
          <w:color w:val="auto"/>
        </w:rPr>
        <w:t>Managed expenses consist of product development, selling and administrative expense, impairment of goodwill, and loss on disposal of business. Product development is</w:t>
      </w:r>
    </w:p>
    <w:p>
      <w:pPr>
        <w:spacing w:after="0" w:line="15" w:lineRule="exact"/>
        <w:rPr>
          <w:sz w:val="20"/>
          <w:szCs w:val="20"/>
          <w:color w:val="auto"/>
        </w:rPr>
      </w:pPr>
    </w:p>
    <w:p>
      <w:pPr>
        <w:ind w:left="180" w:right="120"/>
        <w:spacing w:after="0" w:line="257" w:lineRule="auto"/>
        <w:rPr>
          <w:sz w:val="20"/>
          <w:szCs w:val="20"/>
          <w:color w:val="auto"/>
        </w:rPr>
      </w:pPr>
      <w:r>
        <w:rPr>
          <w:rFonts w:ascii="Arial" w:cs="Arial" w:eastAsia="Arial" w:hAnsi="Arial"/>
          <w:sz w:val="14"/>
          <w:szCs w:val="14"/>
          <w:i w:val="1"/>
          <w:iCs w:val="1"/>
          <w:color w:val="auto"/>
        </w:rPr>
        <w:t>included in Product Development in the Consolidated Statements of Operations. Selling and administrative expense is included in Selling, distribution and administration in the Consolidated Statements of Operations. Impairment of goodwill is included in the Impairment of goodwill in the Consolidated Statements of Operations. Loss on disposal of business is included in Loss on disposal of business in the Consolidated Statements of Operations. Managed expenses for the Consumer Products segment included a $1,021.9 million non-cash loss associated with the impairment of the reporting units within the Consumer Products segment. Managed expenses for the Entertainment segment included a $25.0 million non-cash loss associated with the sale of the eOne Film and TV business.</w:t>
      </w:r>
    </w:p>
    <w:p>
      <w:pPr>
        <w:spacing w:after="0" w:line="2" w:lineRule="exact"/>
        <w:rPr>
          <w:sz w:val="20"/>
          <w:szCs w:val="20"/>
          <w:color w:val="auto"/>
        </w:rPr>
      </w:pPr>
    </w:p>
    <w:p>
      <w:pPr>
        <w:ind w:left="180" w:right="700" w:hanging="172"/>
        <w:spacing w:after="0" w:line="284" w:lineRule="auto"/>
        <w:tabs>
          <w:tab w:leader="none" w:pos="158" w:val="left"/>
        </w:tabs>
        <w:numPr>
          <w:ilvl w:val="0"/>
          <w:numId w:val="33"/>
        </w:numPr>
        <w:rPr>
          <w:rFonts w:ascii="Arial" w:cs="Arial" w:eastAsia="Arial" w:hAnsi="Arial"/>
          <w:sz w:val="9"/>
          <w:szCs w:val="9"/>
          <w:i w:val="1"/>
          <w:iCs w:val="1"/>
          <w:color w:val="auto"/>
        </w:rPr>
      </w:pPr>
      <w:r>
        <w:rPr>
          <w:rFonts w:ascii="Arial" w:cs="Arial" w:eastAsia="Arial" w:hAnsi="Arial"/>
          <w:sz w:val="14"/>
          <w:szCs w:val="14"/>
          <w:i w:val="1"/>
          <w:iCs w:val="1"/>
          <w:color w:val="auto"/>
        </w:rPr>
        <w:t>Corporate and other expense primarily consists of unallocated corporate expenses, including restructuring, severance and strategic transformation costs, as well as intersegment eliminations and cross-charges.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31" w:name="page32"/>
    <w:bookmarkEnd w:id="31"/>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by segments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rPr>
              <w:t>September 27,</w:t>
            </w:r>
          </w:p>
        </w:tc>
        <w:tc>
          <w:tcPr>
            <w:tcW w:w="140" w:type="dxa"/>
            <w:vAlign w:val="bottom"/>
          </w:tcPr>
          <w:p>
            <w:pPr>
              <w:spacing w:after="0"/>
              <w:rPr>
                <w:sz w:val="14"/>
                <w:szCs w:val="14"/>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rPr>
              <w:t>September 28,</w:t>
            </w:r>
          </w:p>
        </w:tc>
        <w:tc>
          <w:tcPr>
            <w:tcW w:w="140" w:type="dxa"/>
            <w:vAlign w:val="bottom"/>
          </w:tcPr>
          <w:p>
            <w:pPr>
              <w:spacing w:after="0"/>
              <w:rPr>
                <w:sz w:val="14"/>
                <w:szCs w:val="14"/>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rPr>
              <w:t>September 27,</w:t>
            </w:r>
          </w:p>
        </w:tc>
        <w:tc>
          <w:tcPr>
            <w:tcW w:w="140" w:type="dxa"/>
            <w:vAlign w:val="bottom"/>
          </w:tcPr>
          <w:p>
            <w:pPr>
              <w:spacing w:after="0"/>
              <w:rPr>
                <w:sz w:val="14"/>
                <w:szCs w:val="14"/>
                <w:color w:val="auto"/>
              </w:rPr>
            </w:pPr>
          </w:p>
        </w:tc>
        <w:tc>
          <w:tcPr>
            <w:tcW w:w="130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September 28,</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Depreciation and intangible asset amortization: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28"/>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Entertainment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reportable segments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28"/>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8"/>
        </w:trPr>
        <w:tc>
          <w:tcPr>
            <w:tcW w:w="5020" w:type="dxa"/>
            <w:vAlign w:val="bottom"/>
          </w:tcPr>
          <w:p>
            <w:pPr>
              <w:ind w:left="140"/>
              <w:spacing w:after="0"/>
              <w:rPr>
                <w:sz w:val="20"/>
                <w:szCs w:val="20"/>
                <w:color w:val="auto"/>
              </w:rPr>
            </w:pPr>
            <w:r>
              <w:rPr>
                <w:rFonts w:ascii="Arial" w:cs="Arial" w:eastAsia="Arial" w:hAnsi="Arial"/>
                <w:sz w:val="16"/>
                <w:szCs w:val="16"/>
                <w:color w:val="auto"/>
              </w:rPr>
              <w:t>Consumer Products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Entertainment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3"/>
        </w:trPr>
        <w:tc>
          <w:tcPr>
            <w:tcW w:w="5020" w:type="dxa"/>
            <w:vAlign w:val="bottom"/>
          </w:tcPr>
          <w:p>
            <w:pPr>
              <w:ind w:left="140"/>
              <w:spacing w:after="0"/>
              <w:rPr>
                <w:sz w:val="20"/>
                <w:szCs w:val="20"/>
                <w:color w:val="auto"/>
              </w:rPr>
            </w:pPr>
            <w:r>
              <w:rPr>
                <w:rFonts w:ascii="Arial" w:cs="Arial" w:eastAsia="Arial" w:hAnsi="Arial"/>
                <w:sz w:val="16"/>
                <w:szCs w:val="16"/>
                <w:color w:val="auto"/>
              </w:rPr>
              <w:t>Total reportable segments</w:t>
            </w: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4"/>
        </w:trPr>
        <w:tc>
          <w:tcPr>
            <w:tcW w:w="5020" w:type="dxa"/>
            <w:vAlign w:val="bottom"/>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80" w:right="200" w:hanging="172"/>
        <w:spacing w:after="0" w:line="228" w:lineRule="auto"/>
        <w:tabs>
          <w:tab w:leader="none" w:pos="158"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amounts of depreciation disclosed by reportable segments are included within Cost of sales, Product development, and Selling, distribution and administration in the Consolidated Statements of Operations. Intangible asset amortization is included within Amortization of intangible assets in the Consolidated Statements of Operations.</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7" w:right="499" w:bottom="1440" w:gutter="0" w:footer="0" w:header="0"/>
        </w:sectPr>
      </w:pPr>
    </w:p>
    <w:bookmarkStart w:id="32" w:name="page33"/>
    <w:bookmarkEnd w:id="32"/>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(Dollar and share amounts in tables presented in millions, unless otherwise noted)</w:t>
      </w:r>
    </w:p>
    <w:p>
      <w:pPr>
        <w:spacing w:after="0" w:line="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discussion and analysis should be read together with the accompanying unaudited consolidated financial statements and the notes thereto included in this Quarterly Report and the audited consolidated financial statements and the notes thereto in the Company's 2025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Hasbro, Inc. (“Hasbro”) is a leading game, intellectual property ("IP"), and toy company whose mission is to create joy and community through the magic of play. With over 100 years of expertise, we deliver play experiences to kids, families, and fans around the world, through physical and digital games, toys, licensed consumer products, location-based entertainment, film, TV and more. </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Through our franchise-first approach, we unlock value from both new and legacy IP, including </w:t>
      </w:r>
      <w:r>
        <w:rPr>
          <w:rFonts w:ascii="Arial" w:cs="Arial" w:eastAsia="Arial" w:hAnsi="Arial"/>
          <w:sz w:val="18"/>
          <w:szCs w:val="18"/>
          <w:i w:val="1"/>
          <w:iCs w:val="1"/>
          <w:color w:val="auto"/>
        </w:rPr>
        <w:t>Magic</w:t>
      </w:r>
      <w:r>
        <w:rPr>
          <w:rFonts w:ascii="Arial" w:cs="Arial" w:eastAsia="Arial" w:hAnsi="Arial"/>
          <w:sz w:val="18"/>
          <w:szCs w:val="18"/>
          <w:color w:val="auto"/>
        </w:rPr>
        <w:t xml:space="preserve">: </w:t>
      </w:r>
      <w:r>
        <w:rPr>
          <w:rFonts w:ascii="Arial" w:cs="Arial" w:eastAsia="Arial" w:hAnsi="Arial"/>
          <w:sz w:val="18"/>
          <w:szCs w:val="18"/>
          <w:i w:val="1"/>
          <w:iCs w:val="1"/>
          <w:color w:val="auto"/>
        </w:rPr>
        <w:t>The Gathering</w:t>
      </w:r>
      <w:r>
        <w:rPr>
          <w:rFonts w:ascii="Arial" w:cs="Arial" w:eastAsia="Arial" w:hAnsi="Arial"/>
          <w:sz w:val="18"/>
          <w:szCs w:val="18"/>
          <w:color w:val="auto"/>
        </w:rPr>
        <w:t xml:space="preserve">, </w:t>
      </w:r>
      <w:r>
        <w:rPr>
          <w:rFonts w:ascii="Arial" w:cs="Arial" w:eastAsia="Arial" w:hAnsi="Arial"/>
          <w:sz w:val="18"/>
          <w:szCs w:val="18"/>
          <w:i w:val="1"/>
          <w:iCs w:val="1"/>
          <w:color w:val="auto"/>
        </w:rPr>
        <w:t>Monopoly</w:t>
      </w:r>
      <w:r>
        <w:rPr>
          <w:rFonts w:ascii="Arial" w:cs="Arial" w:eastAsia="Arial" w:hAnsi="Arial"/>
          <w:sz w:val="18"/>
          <w:szCs w:val="18"/>
          <w:color w:val="auto"/>
        </w:rPr>
        <w:t xml:space="preserve">, </w:t>
      </w:r>
      <w:r>
        <w:rPr>
          <w:rFonts w:ascii="Arial" w:cs="Arial" w:eastAsia="Arial" w:hAnsi="Arial"/>
          <w:sz w:val="18"/>
          <w:szCs w:val="18"/>
          <w:i w:val="1"/>
          <w:iCs w:val="1"/>
          <w:color w:val="auto"/>
        </w:rPr>
        <w:t>Hasbro</w:t>
      </w:r>
      <w:r>
        <w:rPr>
          <w:rFonts w:ascii="Arial" w:cs="Arial" w:eastAsia="Arial" w:hAnsi="Arial"/>
          <w:sz w:val="18"/>
          <w:szCs w:val="18"/>
          <w:color w:val="auto"/>
        </w:rPr>
        <w:t xml:space="preserve"> </w:t>
      </w:r>
      <w:r>
        <w:rPr>
          <w:rFonts w:ascii="Arial" w:cs="Arial" w:eastAsia="Arial" w:hAnsi="Arial"/>
          <w:sz w:val="18"/>
          <w:szCs w:val="18"/>
          <w:i w:val="1"/>
          <w:iCs w:val="1"/>
          <w:color w:val="auto"/>
        </w:rPr>
        <w:t>Games</w:t>
      </w:r>
      <w:r>
        <w:rPr>
          <w:rFonts w:ascii="Arial" w:cs="Arial" w:eastAsia="Arial" w:hAnsi="Arial"/>
          <w:sz w:val="18"/>
          <w:szCs w:val="18"/>
          <w:color w:val="auto"/>
        </w:rPr>
        <w:t>,</w:t>
      </w:r>
      <w:r>
        <w:rPr>
          <w:rFonts w:ascii="Arial" w:cs="Arial" w:eastAsia="Arial" w:hAnsi="Arial"/>
          <w:sz w:val="18"/>
          <w:szCs w:val="18"/>
          <w:i w:val="1"/>
          <w:iCs w:val="1"/>
          <w:color w:val="auto"/>
        </w:rPr>
        <w:t xml:space="preserve"> Play-Doh</w:t>
      </w:r>
      <w:r>
        <w:rPr>
          <w:rFonts w:ascii="Arial" w:cs="Arial" w:eastAsia="Arial" w:hAnsi="Arial"/>
          <w:sz w:val="18"/>
          <w:szCs w:val="18"/>
          <w:color w:val="auto"/>
        </w:rPr>
        <w:t>,</w:t>
      </w:r>
      <w:r>
        <w:rPr>
          <w:rFonts w:ascii="Arial" w:cs="Arial" w:eastAsia="Arial" w:hAnsi="Arial"/>
          <w:sz w:val="18"/>
          <w:szCs w:val="18"/>
          <w:i w:val="1"/>
          <w:iCs w:val="1"/>
          <w:color w:val="auto"/>
        </w:rPr>
        <w:t xml:space="preserve"> Transformers</w:t>
      </w:r>
      <w:r>
        <w:rPr>
          <w:rFonts w:ascii="Arial" w:cs="Arial" w:eastAsia="Arial" w:hAnsi="Arial"/>
          <w:sz w:val="18"/>
          <w:szCs w:val="18"/>
          <w:color w:val="auto"/>
        </w:rPr>
        <w:t>,</w:t>
      </w:r>
      <w:r>
        <w:rPr>
          <w:rFonts w:ascii="Arial" w:cs="Arial" w:eastAsia="Arial" w:hAnsi="Arial"/>
          <w:sz w:val="18"/>
          <w:szCs w:val="18"/>
          <w:i w:val="1"/>
          <w:iCs w:val="1"/>
          <w:color w:val="auto"/>
        </w:rPr>
        <w:t xml:space="preserve"> Dungeons &amp; Dragons</w:t>
      </w:r>
      <w:r>
        <w:rPr>
          <w:rFonts w:ascii="Arial" w:cs="Arial" w:eastAsia="Arial" w:hAnsi="Arial"/>
          <w:sz w:val="18"/>
          <w:szCs w:val="18"/>
          <w:color w:val="auto"/>
        </w:rPr>
        <w:t>,</w:t>
      </w:r>
      <w:r>
        <w:rPr>
          <w:rFonts w:ascii="Arial" w:cs="Arial" w:eastAsia="Arial" w:hAnsi="Arial"/>
          <w:sz w:val="18"/>
          <w:szCs w:val="18"/>
          <w:i w:val="1"/>
          <w:iCs w:val="1"/>
          <w:color w:val="auto"/>
        </w:rPr>
        <w:t xml:space="preserve"> Nerf</w:t>
      </w:r>
      <w:r>
        <w:rPr>
          <w:rFonts w:ascii="Arial" w:cs="Arial" w:eastAsia="Arial" w:hAnsi="Arial"/>
          <w:sz w:val="18"/>
          <w:szCs w:val="18"/>
          <w:color w:val="auto"/>
        </w:rPr>
        <w:t>, and</w:t>
      </w:r>
      <w:r>
        <w:rPr>
          <w:rFonts w:ascii="Arial" w:cs="Arial" w:eastAsia="Arial" w:hAnsi="Arial"/>
          <w:sz w:val="18"/>
          <w:szCs w:val="18"/>
          <w:i w:val="1"/>
          <w:iCs w:val="1"/>
          <w:color w:val="auto"/>
        </w:rPr>
        <w:t xml:space="preserve"> Peppa Pig</w:t>
      </w:r>
      <w:r>
        <w:rPr>
          <w:rFonts w:ascii="Arial" w:cs="Arial" w:eastAsia="Arial" w:hAnsi="Arial"/>
          <w:sz w:val="18"/>
          <w:szCs w:val="18"/>
          <w:color w:val="auto"/>
        </w:rPr>
        <w:t>, as well as premier partner brands. Powered by our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iconic brands and a diversified network of partners and subsidiary studios, we bring fans together wherever they are, from tabletop to screen. </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more than a decade, Hasbro has been consistently recognized for its corporate citizenship, including being named one of the 100 Best Corporate Citizens by 3BL Media, a 2026 JUST Capital Industry Leader, one of the 50 Most Community-Minded Companies in the U.S. by the Civic 50, and a Brand that Matters by Fast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 fiscal year 2025, we launched our refreshed strategy "Playing to Win" to refocus the Company on inspiring a lifetime of play across more categories, more partners, and more ways to engage. Through play fueled brand engagement and partner scaled co-investment, we plan to expand our consumer reach as a games, IP, and toy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2026, we've made exciting new steps on executing the Playing to Win strategy, including:</w:t>
      </w:r>
    </w:p>
    <w:p>
      <w:pPr>
        <w:spacing w:after="0" w:line="117"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introduction of </w:t>
      </w:r>
      <w:r>
        <w:rPr>
          <w:rFonts w:ascii="Arial" w:cs="Arial" w:eastAsia="Arial" w:hAnsi="Arial"/>
          <w:sz w:val="18"/>
          <w:szCs w:val="18"/>
          <w:i w:val="1"/>
          <w:iCs w:val="1"/>
          <w:color w:val="auto"/>
        </w:rPr>
        <w:t>Blooms by Play-Doh</w:t>
      </w:r>
      <w:r>
        <w:rPr>
          <w:rFonts w:ascii="Arial" w:cs="Arial" w:eastAsia="Arial" w:hAnsi="Arial"/>
          <w:sz w:val="18"/>
          <w:szCs w:val="18"/>
          <w:color w:val="auto"/>
        </w:rPr>
        <w:t xml:space="preserve">, the first-ever </w:t>
      </w:r>
      <w:r>
        <w:rPr>
          <w:rFonts w:ascii="Arial" w:cs="Arial" w:eastAsia="Arial" w:hAnsi="Arial"/>
          <w:sz w:val="18"/>
          <w:szCs w:val="18"/>
          <w:i w:val="1"/>
          <w:iCs w:val="1"/>
          <w:color w:val="auto"/>
        </w:rPr>
        <w:t>Play-Doh</w:t>
      </w:r>
      <w:r>
        <w:rPr>
          <w:rFonts w:ascii="Arial" w:cs="Arial" w:eastAsia="Arial" w:hAnsi="Arial"/>
          <w:sz w:val="18"/>
          <w:szCs w:val="18"/>
          <w:color w:val="auto"/>
        </w:rPr>
        <w:t xml:space="preserve"> line designed specifically for adults.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release of </w:t>
      </w:r>
      <w:r>
        <w:rPr>
          <w:rFonts w:ascii="Arial" w:cs="Arial" w:eastAsia="Arial" w:hAnsi="Arial"/>
          <w:sz w:val="18"/>
          <w:szCs w:val="18"/>
          <w:i w:val="1"/>
          <w:iCs w:val="1"/>
          <w:color w:val="auto"/>
        </w:rPr>
        <w:t>Marvel Super Heroes</w:t>
      </w:r>
      <w:r>
        <w:rPr>
          <w:rFonts w:ascii="Arial" w:cs="Arial" w:eastAsia="Arial" w:hAnsi="Arial"/>
          <w:sz w:val="18"/>
          <w:szCs w:val="18"/>
          <w:color w:val="auto"/>
        </w:rPr>
        <w:t xml:space="preserve">, along with all past and future </w:t>
      </w:r>
      <w:r>
        <w:rPr>
          <w:rFonts w:ascii="Arial" w:cs="Arial" w:eastAsia="Arial" w:hAnsi="Arial"/>
          <w:sz w:val="18"/>
          <w:szCs w:val="18"/>
          <w:i w:val="1"/>
          <w:iCs w:val="1"/>
          <w:color w:val="auto"/>
        </w:rPr>
        <w:t>Marvel</w:t>
      </w:r>
      <w:r>
        <w:rPr>
          <w:rFonts w:ascii="Arial" w:cs="Arial" w:eastAsia="Arial" w:hAnsi="Arial"/>
          <w:sz w:val="18"/>
          <w:szCs w:val="18"/>
          <w:color w:val="auto"/>
        </w:rPr>
        <w:t xml:space="preserve"> sets, within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allowing players to</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jump into the </w:t>
      </w:r>
      <w:r>
        <w:rPr>
          <w:rFonts w:ascii="Arial" w:cs="Arial" w:eastAsia="Arial" w:hAnsi="Arial"/>
          <w:sz w:val="18"/>
          <w:szCs w:val="18"/>
          <w:i w:val="1"/>
          <w:iCs w:val="1"/>
          <w:color w:val="auto"/>
        </w:rPr>
        <w:t>Marvel Universe</w:t>
      </w:r>
      <w:r>
        <w:rPr>
          <w:rFonts w:ascii="Arial" w:cs="Arial" w:eastAsia="Arial" w:hAnsi="Arial"/>
          <w:sz w:val="18"/>
          <w:szCs w:val="18"/>
          <w:color w:val="auto"/>
        </w:rPr>
        <w:t xml:space="preserve"> through Hasbro's online adaptation of the iconic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card game.</w:t>
      </w:r>
    </w:p>
    <w:p>
      <w:pPr>
        <w:spacing w:after="0" w:line="99" w:lineRule="exact"/>
        <w:rPr>
          <w:rFonts w:ascii="Arial" w:cs="Arial" w:eastAsia="Arial" w:hAnsi="Arial"/>
          <w:sz w:val="18"/>
          <w:szCs w:val="18"/>
          <w:color w:val="auto"/>
        </w:rPr>
      </w:pPr>
    </w:p>
    <w:p>
      <w:pPr>
        <w:ind w:left="340" w:right="640" w:hanging="332"/>
        <w:spacing w:after="0" w:line="318" w:lineRule="auto"/>
        <w:tabs>
          <w:tab w:leader="none" w:pos="3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announcement of a multi-year licensing partnership starting in 2027 with Warner Bros. Discovery Global Consumer Products, making Hasbro the global primary toy licensee for the world of </w:t>
      </w:r>
      <w:r>
        <w:rPr>
          <w:rFonts w:ascii="Arial" w:cs="Arial" w:eastAsia="Arial" w:hAnsi="Arial"/>
          <w:sz w:val="17"/>
          <w:szCs w:val="17"/>
          <w:i w:val="1"/>
          <w:iCs w:val="1"/>
          <w:color w:val="auto"/>
        </w:rPr>
        <w:t>Harry Potter</w:t>
      </w:r>
      <w:r>
        <w:rPr>
          <w:rFonts w:ascii="Arial" w:cs="Arial" w:eastAsia="Arial" w:hAnsi="Arial"/>
          <w:sz w:val="17"/>
          <w:szCs w:val="17"/>
          <w:color w:val="auto"/>
        </w:rPr>
        <w:t xml:space="preserve"> and the upcoming HBO Original </w:t>
      </w:r>
      <w:r>
        <w:rPr>
          <w:rFonts w:ascii="Arial" w:cs="Arial" w:eastAsia="Arial" w:hAnsi="Arial"/>
          <w:sz w:val="17"/>
          <w:szCs w:val="17"/>
          <w:i w:val="1"/>
          <w:iCs w:val="1"/>
          <w:color w:val="auto"/>
        </w:rPr>
        <w:t>Harry Potter</w:t>
      </w:r>
      <w:r>
        <w:rPr>
          <w:rFonts w:ascii="Arial" w:cs="Arial" w:eastAsia="Arial" w:hAnsi="Arial"/>
          <w:sz w:val="17"/>
          <w:szCs w:val="17"/>
          <w:color w:val="auto"/>
        </w:rPr>
        <w:t xml:space="preserve"> series.</w:t>
      </w:r>
    </w:p>
    <w:p>
      <w:pPr>
        <w:spacing w:after="0" w:line="21" w:lineRule="exact"/>
        <w:rPr>
          <w:rFonts w:ascii="Arial" w:cs="Arial" w:eastAsia="Arial" w:hAnsi="Arial"/>
          <w:sz w:val="17"/>
          <w:szCs w:val="17"/>
          <w:color w:val="auto"/>
        </w:rPr>
      </w:pPr>
    </w:p>
    <w:p>
      <w:pPr>
        <w:ind w:left="340" w:right="300" w:hanging="332"/>
        <w:spacing w:after="0" w:line="28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announcement of a licensing collaboration with Amazon MGM Studios to produce action figures, toys and roleplay for the studio’s upcoming live-action </w:t>
      </w:r>
      <w:r>
        <w:rPr>
          <w:rFonts w:ascii="Arial" w:cs="Arial" w:eastAsia="Arial" w:hAnsi="Arial"/>
          <w:sz w:val="18"/>
          <w:szCs w:val="18"/>
          <w:i w:val="1"/>
          <w:iCs w:val="1"/>
          <w:color w:val="auto"/>
        </w:rPr>
        <w:t>Voltron</w:t>
      </w:r>
      <w:r>
        <w:rPr>
          <w:rFonts w:ascii="Arial" w:cs="Arial" w:eastAsia="Arial" w:hAnsi="Arial"/>
          <w:sz w:val="18"/>
          <w:szCs w:val="18"/>
          <w:color w:val="auto"/>
        </w:rPr>
        <w:t xml:space="preserve"> movie and with Legendary Entertainment tied to the live-action </w:t>
      </w:r>
      <w:r>
        <w:rPr>
          <w:rFonts w:ascii="Arial" w:cs="Arial" w:eastAsia="Arial" w:hAnsi="Arial"/>
          <w:sz w:val="18"/>
          <w:szCs w:val="18"/>
          <w:i w:val="1"/>
          <w:iCs w:val="1"/>
          <w:color w:val="auto"/>
        </w:rPr>
        <w:t>Street Fighter</w:t>
      </w:r>
      <w:r>
        <w:rPr>
          <w:rFonts w:ascii="Arial" w:cs="Arial" w:eastAsia="Arial" w:hAnsi="Arial"/>
          <w:sz w:val="18"/>
          <w:szCs w:val="18"/>
          <w:color w:val="auto"/>
        </w:rPr>
        <w:t xml:space="preserve"> movie.</w:t>
      </w:r>
    </w:p>
    <w:p>
      <w:pPr>
        <w:spacing w:after="0" w:line="44" w:lineRule="exact"/>
        <w:rPr>
          <w:rFonts w:ascii="Arial" w:cs="Arial" w:eastAsia="Arial" w:hAnsi="Arial"/>
          <w:sz w:val="18"/>
          <w:szCs w:val="18"/>
          <w:color w:val="auto"/>
        </w:rPr>
      </w:pPr>
    </w:p>
    <w:p>
      <w:pPr>
        <w:ind w:left="340" w:right="280" w:hanging="332"/>
        <w:spacing w:after="0" w:line="28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launch of Sixth Wall Studio, a new AI studio dedicated to bringing iconic characters into the AI era through new channels, such as behavioral licensing.</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believe these strategic moves position us to accelerate innovation and drive long-term growth in line with our Playing to Win strategy which emphasizes play-driven engagement and collaboration with partners.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Tariffs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Significant changes in trade policy announced by the U.S. government could adversely impact our forward-looking financial results. The Company monitors the impact of tariffs to its business operations on an ongoing basis and may need to implement actions such as price adjustments or making changes in our supply chain sourcing strategies in order to mitigate the impact of tariffs in future periods. The impacts of tariffs may lead to reduced economic activity, increased costs, reduced demand and changes in purchasing behaviors for some or all of our products, actual or potential impairments, write-downs or unrealizability of some of our existing assets, or other economic outcomes that could have a material adverse impact on our sales volumes, prices, and our financial results.</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0" w:right="319" w:bottom="1440" w:gutter="0" w:footer="0" w:header="0"/>
        </w:sectPr>
      </w:pPr>
    </w:p>
    <w:bookmarkStart w:id="33" w:name="page34"/>
    <w:bookmarkEnd w:id="33"/>
    <w:p>
      <w:pPr>
        <w:ind w:right="200"/>
        <w:spacing w:after="0" w:line="244" w:lineRule="auto"/>
        <w:rPr>
          <w:sz w:val="20"/>
          <w:szCs w:val="20"/>
          <w:color w:val="auto"/>
        </w:rPr>
      </w:pPr>
      <w:r>
        <w:rPr>
          <w:rFonts w:ascii="Arial" w:cs="Arial" w:eastAsia="Arial" w:hAnsi="Arial"/>
          <w:sz w:val="18"/>
          <w:szCs w:val="18"/>
          <w:color w:val="auto"/>
        </w:rPr>
        <w:t>During the three and nine months ended September 27, 2026, Hasbro recorded a total of $54.5 million of tariff recoveries as a reduction to Cost of sales within the Consolidated Statements of Operations. Of this amount, $41.5 million was received as cash, with the remainder recorded as a receivable within Prepaid expenses and other current assets on the Consolidated Balance Sheets. The Company expects to receive the remaining $13.0 million of Phase 2 and Phase 3 IEEPA tariff refunds within the next six months. These amounts could further impact our results in 2026 and, to a lesser extent, 2027.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Unauthorized Network Access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In late March 2026, the Company identified unauthorized access to our network. Upon discovery, the Company promptly activated its security incident response protocols, implemented containment measures, including proactively taking certain systems offline, and launched an investigation with the assistance of third-party cybersecurity professionals. Simultaneously, the Company implemented its business continuity plans, including manual ordering and processing procedures at a reduced rate of operations in order to continue servicing its customers.</w:t>
      </w:r>
    </w:p>
    <w:p>
      <w:pPr>
        <w:spacing w:after="0" w:line="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impacts of these system disruptions included order processing, shipping, and invoicing delays, resulting in a negative impact on net sales and operating profit during the second quarter, particularly within the Consumer Products segment. For the entirety of the third quarter, the Company was able to operate under pre-incident order processing, shipping, and invoicing practices.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incurred incremental expenses of approximately $1.0 million and $11.8 million, respectively, during the three and nine months ended September 27, 2026 as a result of the unauthorized access, including for third-party IT recovery and forensic experts, professional services and other costs incurred to investigate and remediate the attack. The Company expects to incur a less significant amount of additional costs related to the incident in future periods. The Company did not recognize any insurance proceeds during the three and nine months ended September 27, 2026 related to the unauthorized network access. The timing of recognizing insurance recoveries, if any, may differ from the timing of recognizing the associated expenses.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 xml:space="preserve">The Company's net revenues were $1,595.3 million and $3,735.1 million for the three and nine months ended September 27, 2026, respectively, as compared to $1,387.5 million and $3,255.4 million for the three and nine months ended September 28, 2025, respectively. The increase in net revenues for both periods was driven primarily by growth in our Wizards of the Coast and Digital Gaming segment, specifically within Tabletop Gaming attributable to </w:t>
      </w:r>
      <w:r>
        <w:rPr>
          <w:rFonts w:ascii="Arial" w:cs="Arial" w:eastAsia="Arial" w:hAnsi="Arial"/>
          <w:sz w:val="18"/>
          <w:szCs w:val="18"/>
          <w:i w:val="1"/>
          <w:iCs w:val="1"/>
          <w:color w:val="auto"/>
        </w:rPr>
        <w:t>Magic: The Gathering</w:t>
      </w:r>
      <w:r>
        <w:rPr>
          <w:rFonts w:ascii="Arial" w:cs="Arial" w:eastAsia="Arial" w:hAnsi="Arial"/>
          <w:sz w:val="18"/>
          <w:szCs w:val="18"/>
          <w:color w:val="auto"/>
        </w:rPr>
        <w:t>.</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recorded an operating profit of $517.3 million and $1,040.1 million for the three and nine months ended September 27, 2026, respectively, as compared to an operating profit of $341.1 million and an operating loss of $ 286.4 million for the three and nine months ended September 28, 2025, respectively. The increase in operating profit for both periods was the result of revenue growth discussed above, as well as the recording of $54.5 million of IEEPA tariff refunds during the third quarter of 2026. The increase in Operating profit for the nine months ended September 27, 2026 was also impacted by a one-time $1,021.9 million non-cash goodwill impairment recorded in the Consumer Products segment in the second quarter of 2025 which did not recur in 2026, partially offset by a one-time $56.4 million non-cash impairment charge in the second quarter of 2026 related to the Company's decision to refocus the Digital Games portfolio.</w:t>
      </w:r>
    </w:p>
    <w:p>
      <w:pPr>
        <w:spacing w:after="0" w:line="7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See below for further discussion on the consolidated and segment results of operations for the three and nine months ended September 27, 2026 and September 28, 2025.</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ind w:right="480"/>
        <w:spacing w:after="0" w:line="284" w:lineRule="auto"/>
        <w:rPr>
          <w:sz w:val="20"/>
          <w:szCs w:val="20"/>
          <w:color w:val="auto"/>
        </w:rPr>
      </w:pPr>
      <w:r>
        <w:rPr>
          <w:rFonts w:ascii="Arial" w:cs="Arial" w:eastAsia="Arial" w:hAnsi="Arial"/>
          <w:sz w:val="18"/>
          <w:szCs w:val="18"/>
          <w:color w:val="auto"/>
        </w:rPr>
        <w:t>The following table presents the consolidated results of operations for the three months ended September 27, 2026 and September 28,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tcBorders>
              <w:bottom w:val="single" w:sz="8" w:color="auto"/>
            </w:tcBorders>
          </w:tcPr>
          <w:p>
            <w:pPr>
              <w:spacing w:after="0"/>
              <w:rPr>
                <w:sz w:val="18"/>
                <w:szCs w:val="18"/>
                <w:color w:val="auto"/>
              </w:rPr>
            </w:pPr>
          </w:p>
        </w:tc>
      </w:tr>
      <w:tr>
        <w:trPr>
          <w:trHeight w:val="223"/>
        </w:trPr>
        <w:tc>
          <w:tcPr>
            <w:tcW w:w="4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September 27, 2026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September 28, 2025</w:t>
            </w:r>
          </w:p>
        </w:tc>
      </w:tr>
      <w:tr>
        <w:trPr>
          <w:trHeight w:val="223"/>
        </w:trPr>
        <w:tc>
          <w:tcPr>
            <w:tcW w:w="4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 of Net Revenues</w:t>
            </w: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 of Net Revenues</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1,234.9</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89.0 %</w:t>
            </w:r>
          </w:p>
        </w:tc>
      </w:tr>
      <w:tr>
        <w:trPr>
          <w:trHeight w:val="22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Licensing revenue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11.0 %</w:t>
            </w:r>
          </w:p>
        </w:tc>
      </w:tr>
      <w:tr>
        <w:trPr>
          <w:trHeight w:val="224"/>
        </w:trPr>
        <w:tc>
          <w:tcPr>
            <w:tcW w:w="4880" w:type="dxa"/>
            <w:vAlign w:val="bottom"/>
            <w:shd w:val="clear" w:color="auto" w:fill="CCEEFF"/>
          </w:tcPr>
          <w:p>
            <w:pPr>
              <w:ind w:left="140"/>
              <w:spacing w:after="0" w:line="224" w:lineRule="exact"/>
              <w:rPr>
                <w:sz w:val="20"/>
                <w:szCs w:val="20"/>
                <w:color w:val="auto"/>
              </w:rPr>
            </w:pPr>
            <w:r>
              <w:rPr>
                <w:rFonts w:ascii="Arial" w:cs="Arial" w:eastAsia="Arial" w:hAnsi="Arial"/>
                <w:sz w:val="16"/>
                <w:szCs w:val="16"/>
                <w:color w:val="auto"/>
              </w:rPr>
              <w:t>Net revenues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1,387.5</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8"/>
        </w:trPr>
        <w:tc>
          <w:tcPr>
            <w:tcW w:w="48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1"/>
        </w:trPr>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sales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29.9 %</w:t>
            </w:r>
          </w:p>
        </w:tc>
      </w:tr>
      <w:tr>
        <w:trPr>
          <w:trHeight w:val="229"/>
        </w:trPr>
        <w:tc>
          <w:tcPr>
            <w:tcW w:w="4880" w:type="dxa"/>
            <w:vAlign w:val="bottom"/>
          </w:tcPr>
          <w:p>
            <w:pPr>
              <w:ind w:left="180"/>
              <w:spacing w:after="0"/>
              <w:rPr>
                <w:sz w:val="20"/>
                <w:szCs w:val="20"/>
                <w:color w:val="auto"/>
              </w:rPr>
            </w:pPr>
            <w:r>
              <w:rPr>
                <w:rFonts w:ascii="Arial" w:cs="Arial" w:eastAsia="Arial" w:hAnsi="Arial"/>
                <w:sz w:val="16"/>
                <w:szCs w:val="16"/>
                <w:color w:val="auto"/>
              </w:rPr>
              <w:t>Program cost amortization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30"/>
        </w:trPr>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Royalties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28"/>
        </w:trPr>
        <w:tc>
          <w:tcPr>
            <w:tcW w:w="488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31"/>
        </w:trPr>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28"/>
        </w:trPr>
        <w:tc>
          <w:tcPr>
            <w:tcW w:w="48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30"/>
        </w:trPr>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Selling, distribution and administration</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r>
      <w:tr>
        <w:trPr>
          <w:trHeight w:val="223"/>
        </w:trPr>
        <w:tc>
          <w:tcPr>
            <w:tcW w:w="48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75.4 %</w:t>
            </w: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24.6 %</w:t>
            </w:r>
          </w:p>
        </w:tc>
      </w:tr>
      <w:tr>
        <w:trPr>
          <w:trHeight w:val="208"/>
        </w:trPr>
        <w:tc>
          <w:tcPr>
            <w:tcW w:w="488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1"/>
        </w:trPr>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28"/>
        </w:trPr>
        <w:tc>
          <w:tcPr>
            <w:tcW w:w="48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29"/>
        </w:trPr>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23"/>
        </w:trPr>
        <w:tc>
          <w:tcPr>
            <w:tcW w:w="48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non-operating expense, net</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2.6 %</w:t>
            </w: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r>
      <w:tr>
        <w:trPr>
          <w:trHeight w:val="22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5.1 %</w:t>
            </w: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29"/>
        </w:trPr>
        <w:tc>
          <w:tcPr>
            <w:tcW w:w="4880" w:type="dxa"/>
            <w:vAlign w:val="bottom"/>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49"/>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attributable to Hasbro, Inc.</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common share: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880" w:type="dxa"/>
            <w:vAlign w:val="bottom"/>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87" w:lineRule="exact"/>
        <w:rPr>
          <w:sz w:val="20"/>
          <w:szCs w:val="20"/>
          <w:color w:val="auto"/>
        </w:rPr>
      </w:pPr>
    </w:p>
    <w:p>
      <w:pPr>
        <w:ind w:right="60" w:firstLine="8"/>
        <w:spacing w:after="0" w:line="289" w:lineRule="auto"/>
        <w:tabs>
          <w:tab w:leader="none" w:pos="140" w:val="left"/>
        </w:tabs>
        <w:numPr>
          <w:ilvl w:val="0"/>
          <w:numId w:val="3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Prior period amounts have been reclassified to present licensing revenue separately from net sales in the Consolidated Statements of Operations. The reclassification had no effect on total net revenues, operating profit (loss), net earnings (loss) or shareholders’ equity. Refer to Note 1, Basis of Presentation, for additional information.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 Net sales for the third quarter of 2026 increased 17.5% to $1,451.0 million from $1,234.9 million for the third quarter of 2025</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primarily driven by growth in the Wizards of the Coast and Digital Gaming segment, which experienced a $156.7 million increase in net sales related to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This growth within the Wizards of the Coast and Digital Gaming segment was supplemented by an increase in net sales within the Consumer Products segment, driven by an increase in toy and game sales for </w:t>
      </w:r>
      <w:r>
        <w:rPr>
          <w:rFonts w:ascii="Arial" w:cs="Arial" w:eastAsia="Arial" w:hAnsi="Arial"/>
          <w:sz w:val="18"/>
          <w:szCs w:val="18"/>
          <w:i w:val="1"/>
          <w:iCs w:val="1"/>
          <w:color w:val="auto"/>
        </w:rPr>
        <w:t>Marvel</w:t>
      </w:r>
      <w:r>
        <w:rPr>
          <w:rFonts w:ascii="Arial" w:cs="Arial" w:eastAsia="Arial" w:hAnsi="Arial"/>
          <w:sz w:val="18"/>
          <w:szCs w:val="18"/>
          <w:color w:val="auto"/>
        </w:rPr>
        <w:t xml:space="preserve"> of $46.8 million as a result of a strong content slate, along with the introduction of new toys and games for the recently acquired </w:t>
      </w:r>
      <w:r>
        <w:rPr>
          <w:rFonts w:ascii="Arial" w:cs="Arial" w:eastAsia="Arial" w:hAnsi="Arial"/>
          <w:sz w:val="18"/>
          <w:szCs w:val="18"/>
          <w:i w:val="1"/>
          <w:iCs w:val="1"/>
          <w:color w:val="auto"/>
        </w:rPr>
        <w:t>KPop Demon Hunters</w:t>
      </w:r>
      <w:r>
        <w:rPr>
          <w:rFonts w:ascii="Arial" w:cs="Arial" w:eastAsia="Arial" w:hAnsi="Arial"/>
          <w:sz w:val="18"/>
          <w:szCs w:val="18"/>
          <w:color w:val="auto"/>
        </w:rPr>
        <w:t xml:space="preserve"> license, which drove an increase of $13.3 million.</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Licensing revenue </w:t>
      </w:r>
      <w:r>
        <w:rPr>
          <w:rFonts w:ascii="Arial" w:cs="Arial" w:eastAsia="Arial" w:hAnsi="Arial"/>
          <w:sz w:val="18"/>
          <w:szCs w:val="18"/>
          <w:color w:val="auto"/>
        </w:rPr>
        <w:t>– Licensing revenue for the third quarter of 2026 was $144.3 million, or 9.0% of total net revenues, compared to $152.6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million, or 11.0% of total net revenues, for the third quarter of 2025. The change was primarily driven by lower consumer products licensing revenue, particularly related to </w:t>
      </w:r>
      <w:r>
        <w:rPr>
          <w:rFonts w:ascii="Arial" w:cs="Arial" w:eastAsia="Arial" w:hAnsi="Arial"/>
          <w:sz w:val="18"/>
          <w:szCs w:val="18"/>
          <w:i w:val="1"/>
          <w:iCs w:val="1"/>
          <w:color w:val="auto"/>
        </w:rPr>
        <w:t>Peppa Pig</w:t>
      </w:r>
      <w:r>
        <w:rPr>
          <w:rFonts w:ascii="Arial" w:cs="Arial" w:eastAsia="Arial" w:hAnsi="Arial"/>
          <w:sz w:val="18"/>
          <w:szCs w:val="18"/>
          <w:color w:val="auto"/>
        </w:rPr>
        <w:t xml:space="preserve"> and </w:t>
      </w:r>
      <w:r>
        <w:rPr>
          <w:rFonts w:ascii="Arial" w:cs="Arial" w:eastAsia="Arial" w:hAnsi="Arial"/>
          <w:sz w:val="18"/>
          <w:szCs w:val="18"/>
          <w:i w:val="1"/>
          <w:iCs w:val="1"/>
          <w:color w:val="auto"/>
        </w:rPr>
        <w:t>Nerf</w:t>
      </w:r>
      <w:r>
        <w:rPr>
          <w:rFonts w:ascii="Arial" w:cs="Arial" w:eastAsia="Arial" w:hAnsi="Arial"/>
          <w:sz w:val="18"/>
          <w:szCs w:val="18"/>
          <w:color w:val="auto"/>
        </w:rPr>
        <w:t xml:space="preserve">, partially offset by growth in </w:t>
      </w:r>
      <w:r>
        <w:rPr>
          <w:rFonts w:ascii="Arial" w:cs="Arial" w:eastAsia="Arial" w:hAnsi="Arial"/>
          <w:sz w:val="18"/>
          <w:szCs w:val="18"/>
          <w:i w:val="1"/>
          <w:iCs w:val="1"/>
          <w:color w:val="auto"/>
        </w:rPr>
        <w:t>Transformers</w:t>
      </w:r>
      <w:r>
        <w:rPr>
          <w:rFonts w:ascii="Arial" w:cs="Arial" w:eastAsia="Arial" w:hAnsi="Arial"/>
          <w:sz w:val="18"/>
          <w:szCs w:val="18"/>
          <w:color w:val="auto"/>
        </w:rPr>
        <w:t>. Licensing revenue consists of royalties earned from the out-licensing of our trademarks, characters and other brand and intellectual property rights.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part of our Playing to Win strategy, we have aligned our brand portfolios as follows:</w:t>
      </w:r>
    </w:p>
    <w:p>
      <w:pPr>
        <w:spacing w:after="0" w:line="117" w:lineRule="exact"/>
        <w:rPr>
          <w:sz w:val="20"/>
          <w:szCs w:val="20"/>
          <w:color w:val="auto"/>
        </w:rPr>
      </w:pPr>
    </w:p>
    <w:p>
      <w:pPr>
        <w:ind w:left="340" w:right="80" w:hanging="332"/>
        <w:spacing w:after="0" w:line="28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Grow Brands</w:t>
      </w:r>
      <w:r>
        <w:rPr>
          <w:rFonts w:ascii="Arial" w:cs="Arial" w:eastAsia="Arial" w:hAnsi="Arial"/>
          <w:sz w:val="18"/>
          <w:szCs w:val="18"/>
          <w:color w:val="auto"/>
        </w:rPr>
        <w:t>: Brands representing the highest margin, highest growth opportunities in categories where we see significant share and/or</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market growth.</w:t>
      </w:r>
    </w:p>
    <w:p>
      <w:pPr>
        <w:spacing w:after="0" w:line="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Optimize Brands</w:t>
      </w:r>
      <w:r>
        <w:rPr>
          <w:rFonts w:ascii="Arial" w:cs="Arial" w:eastAsia="Arial" w:hAnsi="Arial"/>
          <w:sz w:val="18"/>
          <w:szCs w:val="18"/>
          <w:color w:val="auto"/>
        </w:rPr>
        <w:t>: Brands representing opportunities to maintain or grow share while improving operating profit returns.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Reinvent Brands</w:t>
      </w:r>
      <w:r>
        <w:rPr>
          <w:rFonts w:ascii="Arial" w:cs="Arial" w:eastAsia="Arial" w:hAnsi="Arial"/>
          <w:sz w:val="18"/>
          <w:szCs w:val="18"/>
          <w:color w:val="auto"/>
        </w:rPr>
        <w:t>: Brands representing opportunities to reinvent or restructure to drive innovation and improved operating profit returns.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brand portfolio category: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640" w:type="dxa"/>
            <w:vAlign w:val="bottom"/>
            <w:tcBorders>
              <w:bottom w:val="single" w:sz="8" w:color="auto"/>
            </w:tcBorders>
          </w:tcPr>
          <w:p>
            <w:pPr>
              <w:spacing w:after="0"/>
              <w:rPr>
                <w:sz w:val="18"/>
                <w:szCs w:val="18"/>
                <w:color w:val="auto"/>
              </w:rPr>
            </w:pPr>
          </w:p>
        </w:tc>
      </w:tr>
      <w:tr>
        <w:trPr>
          <w:trHeight w:val="169"/>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8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640" w:type="dxa"/>
            <w:vAlign w:val="bottom"/>
          </w:tcPr>
          <w:p>
            <w:pPr>
              <w:jc w:val="right"/>
              <w:ind w:right="65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39"/>
              <w:spacing w:after="0" w:line="216" w:lineRule="exact"/>
              <w:rPr>
                <w:sz w:val="20"/>
                <w:szCs w:val="20"/>
                <w:color w:val="auto"/>
              </w:rPr>
            </w:pPr>
            <w:r>
              <w:rPr>
                <w:rFonts w:ascii="Arial" w:cs="Arial" w:eastAsia="Arial" w:hAnsi="Arial"/>
                <w:sz w:val="16"/>
                <w:szCs w:val="16"/>
                <w:b w:val="1"/>
                <w:bCs w:val="1"/>
                <w:color w:val="auto"/>
              </w:rPr>
              <w:t xml:space="preserve">2025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Grow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r>
      <w:tr>
        <w:trPr>
          <w:trHeight w:val="228"/>
        </w:trPr>
        <w:tc>
          <w:tcPr>
            <w:tcW w:w="6260" w:type="dxa"/>
            <w:vAlign w:val="bottom"/>
          </w:tcPr>
          <w:p>
            <w:pPr>
              <w:ind w:left="20"/>
              <w:spacing w:after="0"/>
              <w:rPr>
                <w:sz w:val="20"/>
                <w:szCs w:val="20"/>
                <w:color w:val="auto"/>
              </w:rPr>
            </w:pPr>
            <w:r>
              <w:rPr>
                <w:rFonts w:ascii="Arial" w:cs="Arial" w:eastAsia="Arial" w:hAnsi="Arial"/>
                <w:sz w:val="16"/>
                <w:szCs w:val="16"/>
                <w:color w:val="auto"/>
              </w:rPr>
              <w:t>Optimize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Reinvent Brands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1,595.3</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1,387.5</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15.0 %</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right="380" w:firstLine="8"/>
        <w:spacing w:after="0" w:line="248" w:lineRule="auto"/>
        <w:tabs>
          <w:tab w:leader="none" w:pos="154" w:val="left"/>
        </w:tabs>
        <w:numPr>
          <w:ilvl w:val="0"/>
          <w:numId w:val="38"/>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During the first quarter of 2026, the classification of brands within these categories was reviewed and certain brands were reclassified based on changes in growth, profitability or other characteristics. As such, the respective historical revenues associated within these brands have been reclassified into the brands' new brand category.</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GROW BRANDS: </w:t>
      </w:r>
      <w:r>
        <w:rPr>
          <w:rFonts w:ascii="Arial" w:cs="Arial" w:eastAsia="Arial" w:hAnsi="Arial"/>
          <w:sz w:val="18"/>
          <w:szCs w:val="18"/>
          <w:color w:val="auto"/>
        </w:rPr>
        <w:t>Net revenues in the Grow Brands portfolio increased $222.9 million, or 23.0%, in the third quarter of 2026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third quarter of 2025. The net revenue increase primarily reflects higher net revenues from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which grew by $156.7 million, or 34.1%, driven by strong performance of the Universes Beyond </w:t>
      </w:r>
      <w:r>
        <w:rPr>
          <w:rFonts w:ascii="Arial" w:cs="Arial" w:eastAsia="Arial" w:hAnsi="Arial"/>
          <w:sz w:val="18"/>
          <w:szCs w:val="18"/>
          <w:i w:val="1"/>
          <w:iCs w:val="1"/>
          <w:color w:val="auto"/>
        </w:rPr>
        <w:t>The Hobbit</w:t>
      </w:r>
      <w:r>
        <w:rPr>
          <w:rFonts w:ascii="Arial" w:cs="Arial" w:eastAsia="Arial" w:hAnsi="Arial"/>
          <w:sz w:val="18"/>
          <w:szCs w:val="18"/>
          <w:color w:val="auto"/>
        </w:rPr>
        <w:t xml:space="preserve"> set released during the quarter, as well as </w:t>
      </w:r>
      <w:r>
        <w:rPr>
          <w:rFonts w:ascii="Arial" w:cs="Arial" w:eastAsia="Arial" w:hAnsi="Arial"/>
          <w:sz w:val="18"/>
          <w:szCs w:val="18"/>
          <w:i w:val="1"/>
          <w:iCs w:val="1"/>
          <w:color w:val="auto"/>
        </w:rPr>
        <w:t>Reality</w:t>
      </w:r>
      <w:r>
        <w:rPr>
          <w:rFonts w:ascii="Arial" w:cs="Arial" w:eastAsia="Arial" w:hAnsi="Arial"/>
          <w:sz w:val="18"/>
          <w:szCs w:val="18"/>
          <w:color w:val="auto"/>
        </w:rPr>
        <w:t xml:space="preserve"> </w:t>
      </w:r>
      <w:r>
        <w:rPr>
          <w:rFonts w:ascii="Arial" w:cs="Arial" w:eastAsia="Arial" w:hAnsi="Arial"/>
          <w:sz w:val="18"/>
          <w:szCs w:val="18"/>
          <w:i w:val="1"/>
          <w:iCs w:val="1"/>
          <w:color w:val="auto"/>
        </w:rPr>
        <w:t>Fracture</w:t>
      </w:r>
      <w:r>
        <w:rPr>
          <w:rFonts w:ascii="Arial" w:cs="Arial" w:eastAsia="Arial" w:hAnsi="Arial"/>
          <w:sz w:val="18"/>
          <w:szCs w:val="18"/>
          <w:color w:val="auto"/>
        </w:rPr>
        <w:t>. Growth in this category was also impacted by increased demand in toys and games associated with</w:t>
      </w:r>
      <w:r>
        <w:rPr>
          <w:rFonts w:ascii="Arial" w:cs="Arial" w:eastAsia="Arial" w:hAnsi="Arial"/>
          <w:sz w:val="18"/>
          <w:szCs w:val="18"/>
          <w:i w:val="1"/>
          <w:iCs w:val="1"/>
          <w:color w:val="auto"/>
        </w:rPr>
        <w:t xml:space="preserve"> Marvel </w:t>
      </w:r>
      <w:r>
        <w:rPr>
          <w:rFonts w:ascii="Arial" w:cs="Arial" w:eastAsia="Arial" w:hAnsi="Arial"/>
          <w:sz w:val="18"/>
          <w:szCs w:val="18"/>
          <w:color w:val="auto"/>
        </w:rPr>
        <w:t>of $46.8 million,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a strong content slate in 2026 with no comparable releases in the prior year.</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OPTIMIZE BRANDS: </w:t>
      </w:r>
      <w:r>
        <w:rPr>
          <w:rFonts w:ascii="Arial" w:cs="Arial" w:eastAsia="Arial" w:hAnsi="Arial"/>
          <w:sz w:val="18"/>
          <w:szCs w:val="18"/>
          <w:color w:val="auto"/>
        </w:rPr>
        <w:t>Net revenues in the Optimize Brands portfolio increased $10.8 million, or 4.2%, in the third quarter of 2026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third quarter of 2025, driven by higher net revenues from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and </w:t>
      </w:r>
      <w:r>
        <w:rPr>
          <w:rFonts w:ascii="Arial" w:cs="Arial" w:eastAsia="Arial" w:hAnsi="Arial"/>
          <w:sz w:val="18"/>
          <w:szCs w:val="18"/>
          <w:i w:val="1"/>
          <w:iCs w:val="1"/>
          <w:color w:val="auto"/>
        </w:rPr>
        <w:t>Duel Masters</w:t>
      </w:r>
      <w:r>
        <w:rPr>
          <w:rFonts w:ascii="Arial" w:cs="Arial" w:eastAsia="Arial" w:hAnsi="Arial"/>
          <w:sz w:val="18"/>
          <w:szCs w:val="18"/>
          <w:color w:val="auto"/>
        </w:rPr>
        <w:t xml:space="preserve">, partially offset with a decrease in net revenues from </w:t>
      </w:r>
      <w:r>
        <w:rPr>
          <w:rFonts w:ascii="Arial" w:cs="Arial" w:eastAsia="Arial" w:hAnsi="Arial"/>
          <w:sz w:val="18"/>
          <w:szCs w:val="18"/>
          <w:i w:val="1"/>
          <w:iCs w:val="1"/>
          <w:color w:val="auto"/>
        </w:rPr>
        <w:t>G.I. Joe</w:t>
      </w:r>
      <w:r>
        <w:rPr>
          <w:rFonts w:ascii="Arial" w:cs="Arial" w:eastAsia="Arial" w:hAnsi="Arial"/>
          <w:sz w:val="18"/>
          <w:szCs w:val="18"/>
          <w:color w:val="auto"/>
        </w:rPr>
        <w:t>.</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REINVENT BRANDS: </w:t>
      </w:r>
      <w:r>
        <w:rPr>
          <w:rFonts w:ascii="Arial" w:cs="Arial" w:eastAsia="Arial" w:hAnsi="Arial"/>
          <w:sz w:val="18"/>
          <w:szCs w:val="18"/>
          <w:color w:val="auto"/>
        </w:rPr>
        <w:t>Net revenues in the Reinvent Brands portfolio decreased $25.9 million, or 15.8%, in the third quarter of 2026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the third quarter of 2025. The net revenue decrease is primarily driven by lower product sales for </w:t>
      </w:r>
      <w:r>
        <w:rPr>
          <w:rFonts w:ascii="Arial" w:cs="Arial" w:eastAsia="Arial" w:hAnsi="Arial"/>
          <w:sz w:val="18"/>
          <w:szCs w:val="18"/>
          <w:i w:val="1"/>
          <w:iCs w:val="1"/>
          <w:color w:val="auto"/>
        </w:rPr>
        <w:t>Nerf, Furby, and Nanomals</w:t>
      </w:r>
      <w:r>
        <w:rPr>
          <w:rFonts w:ascii="Arial" w:cs="Arial" w:eastAsia="Arial" w:hAnsi="Arial"/>
          <w:sz w:val="18"/>
          <w:szCs w:val="18"/>
          <w:color w:val="auto"/>
        </w:rPr>
        <w:t xml:space="preserve">, partially offset by higher sales for </w:t>
      </w:r>
      <w:r>
        <w:rPr>
          <w:rFonts w:ascii="Arial" w:cs="Arial" w:eastAsia="Arial" w:hAnsi="Arial"/>
          <w:sz w:val="18"/>
          <w:szCs w:val="18"/>
          <w:i w:val="1"/>
          <w:iCs w:val="1"/>
          <w:color w:val="auto"/>
        </w:rPr>
        <w:t>Beyblade</w:t>
      </w:r>
      <w:r>
        <w:rPr>
          <w:rFonts w:ascii="Arial" w:cs="Arial" w:eastAsia="Arial" w:hAnsi="Arial"/>
          <w:sz w:val="18"/>
          <w:szCs w:val="18"/>
          <w:color w:val="auto"/>
        </w:rPr>
        <w:t xml:space="preserve"> and other Vault brands.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11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color w:val="auto"/>
        </w:rPr>
        <w:t xml:space="preserve">Cost of sales </w:t>
      </w:r>
      <w:r>
        <w:rPr>
          <w:rFonts w:ascii="Arial" w:cs="Arial" w:eastAsia="Arial" w:hAnsi="Arial"/>
          <w:sz w:val="17"/>
          <w:szCs w:val="17"/>
          <w:color w:val="auto"/>
        </w:rPr>
        <w:t>– Cost of sales for the third quarter of 2026 was $384.8 million, or 24.1% of net revenues, compared to $414.3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29.9% of net revenues, for the third quarter of 2025. Cost of sales decreased overall and as a percentage of net revenues as a result of a decrease of approximately $64.6 million of cost related to the impacts of tariffs, inclusive of both the recording of $54.5 million of IEEPA tariff refunds during the quarter, as well as a decrease in recurring tariff expense of approximately $10.1 million when compared to the prior year. The Cost of sales decrease was partially offset by an increase in Cost of sales attributable to the increase in net revenues period over period.</w:t>
      </w:r>
    </w:p>
    <w:p>
      <w:pPr>
        <w:spacing w:after="0" w:line="5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Program cost amortization </w:t>
      </w:r>
      <w:r>
        <w:rPr>
          <w:rFonts w:ascii="Arial" w:cs="Arial" w:eastAsia="Arial" w:hAnsi="Arial"/>
          <w:sz w:val="18"/>
          <w:szCs w:val="18"/>
          <w:color w:val="auto"/>
        </w:rPr>
        <w:t>– Program cost amortization decreased to $5.4 million, or 0.3% of net revenues, for the third quarter of 2026</w:t>
      </w:r>
      <w:r>
        <w:rPr>
          <w:rFonts w:ascii="Arial" w:cs="Arial" w:eastAsia="Arial" w:hAnsi="Arial"/>
          <w:sz w:val="18"/>
          <w:szCs w:val="18"/>
          <w:b w:val="1"/>
          <w:bCs w:val="1"/>
          <w:color w:val="auto"/>
        </w:rPr>
        <w:t xml:space="preserve"> </w:t>
      </w:r>
      <w:r>
        <w:rPr>
          <w:rFonts w:ascii="Arial" w:cs="Arial" w:eastAsia="Arial" w:hAnsi="Arial"/>
          <w:sz w:val="18"/>
          <w:szCs w:val="18"/>
          <w:color w:val="auto"/>
        </w:rPr>
        <w:t>from $7.4 million, or 0.5% of net revenues, for the third quarter of 2025. Program costs are capitalized as incurred and amortized primarily using the individual-film-forecast method which matches costs to the related recognized revenue and is based upon the current slate of entertainment projects.</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Royalties </w:t>
      </w:r>
      <w:r>
        <w:rPr>
          <w:rFonts w:ascii="Arial" w:cs="Arial" w:eastAsia="Arial" w:hAnsi="Arial"/>
          <w:sz w:val="18"/>
          <w:szCs w:val="18"/>
          <w:color w:val="auto"/>
        </w:rPr>
        <w:t>– Royalties for the third quarter of 2026 increased to $142.1 million, or 8.9% of net revenues, compared to $114.3 million, or 8.2%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net revenues, for the third quarter of 2025. The increase in Royalties during the third quarter of 2026 was directly driven by an increase in sales relating to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Universes Beyond sets, such as </w:t>
      </w:r>
      <w:r>
        <w:rPr>
          <w:rFonts w:ascii="Arial" w:cs="Arial" w:eastAsia="Arial" w:hAnsi="Arial"/>
          <w:sz w:val="18"/>
          <w:szCs w:val="18"/>
          <w:i w:val="1"/>
          <w:iCs w:val="1"/>
          <w:color w:val="auto"/>
        </w:rPr>
        <w:t>The Hobbit</w:t>
      </w:r>
      <w:r>
        <w:rPr>
          <w:rFonts w:ascii="Arial" w:cs="Arial" w:eastAsia="Arial" w:hAnsi="Arial"/>
          <w:sz w:val="18"/>
          <w:szCs w:val="18"/>
          <w:color w:val="auto"/>
        </w:rPr>
        <w:t xml:space="preserve">, as well as increased toy and game sales on licensed brands such as </w:t>
      </w:r>
      <w:r>
        <w:rPr>
          <w:rFonts w:ascii="Arial" w:cs="Arial" w:eastAsia="Arial" w:hAnsi="Arial"/>
          <w:sz w:val="18"/>
          <w:szCs w:val="18"/>
          <w:i w:val="1"/>
          <w:iCs w:val="1"/>
          <w:color w:val="auto"/>
        </w:rPr>
        <w:t>Marvel</w:t>
      </w:r>
      <w:r>
        <w:rPr>
          <w:rFonts w:ascii="Arial" w:cs="Arial" w:eastAsia="Arial" w:hAnsi="Arial"/>
          <w:sz w:val="18"/>
          <w:szCs w:val="18"/>
          <w:color w:val="auto"/>
        </w:rPr>
        <w:t>.</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Product development </w:t>
      </w:r>
      <w:r>
        <w:rPr>
          <w:rFonts w:ascii="Arial" w:cs="Arial" w:eastAsia="Arial" w:hAnsi="Arial"/>
          <w:sz w:val="18"/>
          <w:szCs w:val="18"/>
          <w:color w:val="auto"/>
        </w:rPr>
        <w:t>– Product development expense for the third quarter of 2026 was $103.4 million, or 6.5% of net revenues,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$97.6 million, or 7.0% of net revenues, for the third quarter of 2025. The increase in Product development expense during the third quarter of 2026 was primarily due to the higher incremental investment in the development of Grow Brands under the Company's Playing to Win strategy.</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 Advertising expense for the third quarter of 2026 was $96.2 million, or 6.0% of net revenues, compared to $108.3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7.8% of net revenues, for the third quarter of 2025. The Advertising expense decrease during the third quarter of 2026 was driven by declines in both the Wizards of the Coast and Digital Gaming and Consumer Products segments based on the timing of advertising campaigns.</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color w:val="auto"/>
        </w:rPr>
        <w:t xml:space="preserve">Amortization of intangible assets </w:t>
      </w:r>
      <w:r>
        <w:rPr>
          <w:rFonts w:ascii="Arial" w:cs="Arial" w:eastAsia="Arial" w:hAnsi="Arial"/>
          <w:sz w:val="18"/>
          <w:szCs w:val="18"/>
          <w:color w:val="auto"/>
        </w:rPr>
        <w:t>– Amortization of intangible assets decreased to $14.6 million, or 0.9% of net revenues,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2026, compared to $ 17.2 million, or 1.2% of net revenues, for the third quarter of 2025. The amortization expense was driven by the straight-line amortization of the Company's definite-lived intangible assets.</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color w:val="auto"/>
        </w:rPr>
        <w:t xml:space="preserve">Selling, distribution and administration </w:t>
      </w:r>
      <w:r>
        <w:rPr>
          <w:rFonts w:ascii="Arial" w:cs="Arial" w:eastAsia="Arial" w:hAnsi="Arial"/>
          <w:sz w:val="18"/>
          <w:szCs w:val="18"/>
          <w:color w:val="auto"/>
        </w:rPr>
        <w:t>– Selling, distribution and administration expenses increased to $ 331.5 million, or 20.8% of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for the third quarter of 2026, from $287.3 million, or 20.7% of net revenues, for the third quarter of 2025. The increase in Selling, distribution and administration expenses during the third quarter of 2026 is primarily the result of increases in personnel related costs, including increased severance expense corresponding to our Operational Excellence program, partially offset by a nonrecurring $4.7 million gain on the sale of a facility.</w:t>
      </w:r>
    </w:p>
    <w:p>
      <w:pPr>
        <w:spacing w:after="0" w:line="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 Operating profit for the third quarter of 2026 was $517.3 million, or 32.4% of net revenues, compared to Operating profit</w:t>
      </w:r>
      <w:r>
        <w:rPr>
          <w:rFonts w:ascii="Arial" w:cs="Arial" w:eastAsia="Arial" w:hAnsi="Arial"/>
          <w:sz w:val="18"/>
          <w:szCs w:val="18"/>
          <w:b w:val="1"/>
          <w:bCs w:val="1"/>
          <w:color w:val="auto"/>
        </w:rPr>
        <w:t xml:space="preserve"> </w:t>
      </w:r>
      <w:r>
        <w:rPr>
          <w:rFonts w:ascii="Arial" w:cs="Arial" w:eastAsia="Arial" w:hAnsi="Arial"/>
          <w:sz w:val="18"/>
          <w:szCs w:val="18"/>
          <w:color w:val="auto"/>
        </w:rPr>
        <w:t>of $341.1 million, or 24.6% of net revenues, for the third quarter of 2025 driven by the factors discussed above.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 Interest expense was $ 42.7 million for the third quarter of 2026, compared to $40.8 million in the third quarter of 2025.</w:t>
      </w:r>
      <w:r>
        <w:rPr>
          <w:rFonts w:ascii="Arial" w:cs="Arial" w:eastAsia="Arial" w:hAnsi="Arial"/>
          <w:sz w:val="18"/>
          <w:szCs w:val="18"/>
          <w:b w:val="1"/>
          <w:bCs w:val="1"/>
          <w:color w:val="auto"/>
        </w:rPr>
        <w:t xml:space="preserve"> </w:t>
      </w:r>
      <w:r>
        <w:rPr>
          <w:rFonts w:ascii="Arial" w:cs="Arial" w:eastAsia="Arial" w:hAnsi="Arial"/>
          <w:sz w:val="18"/>
          <w:szCs w:val="18"/>
          <w:color w:val="auto"/>
        </w:rPr>
        <w:t>Higher Interest expense in 2026 is primarily the result of an increase in outstanding debt driven by issuance of the 2031 Notes, partially offset by debt repurchases of the Company's outstanding 2027, 2040, and 2044 Notes.</w:t>
      </w:r>
    </w:p>
    <w:p>
      <w:pPr>
        <w:spacing w:after="0" w:line="6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 Interest income was $14.6 million for the third quarter of 2026, compared to $6.3 million in the third quarter of 2025.</w:t>
      </w:r>
      <w:r>
        <w:rPr>
          <w:rFonts w:ascii="Arial" w:cs="Arial" w:eastAsia="Arial" w:hAnsi="Arial"/>
          <w:sz w:val="18"/>
          <w:szCs w:val="18"/>
          <w:b w:val="1"/>
          <w:bCs w:val="1"/>
          <w:color w:val="auto"/>
        </w:rPr>
        <w:t xml:space="preserve"> </w:t>
      </w:r>
      <w:r>
        <w:rPr>
          <w:rFonts w:ascii="Arial" w:cs="Arial" w:eastAsia="Arial" w:hAnsi="Arial"/>
          <w:sz w:val="18"/>
          <w:szCs w:val="18"/>
          <w:color w:val="auto"/>
        </w:rPr>
        <w:t>Higher Interest income in 2026 primarily reflects the Company's cash balance and investments in treasury securities, which were substantially higher in 2026 as compared to 2025, as well as $1.9 million of Interest income earned on previously paid IEEPA tariffs.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color w:val="auto"/>
        </w:rPr>
        <w:t xml:space="preserve">Other expense, net </w:t>
      </w:r>
      <w:r>
        <w:rPr>
          <w:rFonts w:ascii="Arial" w:cs="Arial" w:eastAsia="Arial" w:hAnsi="Arial"/>
          <w:sz w:val="18"/>
          <w:szCs w:val="18"/>
          <w:color w:val="auto"/>
        </w:rPr>
        <w:t>– Other expense, net was $0.1 million for the third quarter of 2026, compared to $1.4 million in the third quarter of 2025.</w:t>
      </w:r>
      <w:r>
        <w:rPr>
          <w:rFonts w:ascii="Arial" w:cs="Arial" w:eastAsia="Arial" w:hAnsi="Arial"/>
          <w:sz w:val="18"/>
          <w:szCs w:val="18"/>
          <w:b w:val="1"/>
          <w:bCs w:val="1"/>
          <w:color w:val="auto"/>
        </w:rPr>
        <w:t xml:space="preserve"> </w:t>
      </w:r>
      <w:r>
        <w:rPr>
          <w:rFonts w:ascii="Arial" w:cs="Arial" w:eastAsia="Arial" w:hAnsi="Arial"/>
          <w:sz w:val="18"/>
          <w:szCs w:val="18"/>
          <w:color w:val="auto"/>
        </w:rPr>
        <w:t>The change in Other expense, net during 2026 was driven primarily by variations in the movement of foreign currencies in the third quarter of 2026 when compared to the third quarter of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7" w:name="page38"/>
    <w:bookmarkEnd w:id="37"/>
    <w:p>
      <w:pPr>
        <w:ind w:right="100"/>
        <w:spacing w:after="0" w:line="287" w:lineRule="auto"/>
        <w:rPr>
          <w:sz w:val="20"/>
          <w:szCs w:val="20"/>
          <w:color w:val="auto"/>
        </w:rPr>
      </w:pPr>
      <w:r>
        <w:rPr>
          <w:rFonts w:ascii="Arial" w:cs="Arial" w:eastAsia="Arial" w:hAnsi="Arial"/>
          <w:sz w:val="18"/>
          <w:szCs w:val="18"/>
          <w:color w:val="auto"/>
        </w:rPr>
        <w:t>Income tax expense totaled $94.1 million on a pre-tax income of $489.1 million in the third quarter of 2026 compared to an income tax expense of $71.3 million on pre-tax income of $305.2 million in the third quarter of 2025. Both periods were impacted by discrete tax events.</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third quarter of 2026, the Company recorded a net discrete tax benefit of $16.8 million primarily associated with the release of uncertain tax positions resulting from a settlement of an IRS audit. During the third quarter of 2025, the Company recorded a net discrete tax benefit of $5.7 million primarily associated with a benefit related to the impairment of goodwill recorded in the second quarter of 2025.</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Absent discrete items, the tax rates for the third quarter of 2026 and 2025 were 22.7% and 25.2%, respectively. The decrease in the base rate for the third quarter of 2026 relative to the third quarter of 2025 is primarily due to the mix of jurisdictions where the Company earned its profits and an increased Foreign-Derived Deduction-Eligible Income ("FDDEI") benefit.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external revenues and operating profit for the Company's reportable segments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2026 and September 28,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Three Months Ended</w:t>
            </w:r>
          </w:p>
        </w:tc>
        <w:tc>
          <w:tcPr>
            <w:tcW w:w="1660" w:type="dxa"/>
            <w:vAlign w:val="bottom"/>
            <w:tcBorders>
              <w:bottom w:val="single" w:sz="8" w:color="auto"/>
            </w:tcBorders>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60" w:type="dxa"/>
            <w:vAlign w:val="bottom"/>
          </w:tcPr>
          <w:p>
            <w:pPr>
              <w:jc w:val="right"/>
              <w:ind w:right="67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8"/>
        </w:trPr>
        <w:tc>
          <w:tcPr>
            <w:tcW w:w="6320" w:type="dxa"/>
            <w:vAlign w:val="bottom"/>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747.2</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572.0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30.6 %</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28"/>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Entertainment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r>
      <w:tr>
        <w:trPr>
          <w:trHeight w:val="249"/>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46.1 %</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117.0 %</w:t>
            </w:r>
          </w:p>
        </w:tc>
      </w:tr>
      <w:tr>
        <w:trPr>
          <w:trHeight w:val="228"/>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Entertainment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128.0 %</w:t>
            </w:r>
          </w:p>
        </w:tc>
      </w:tr>
      <w:tr>
        <w:trPr>
          <w:trHeight w:val="224"/>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reportable segments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64.6 %</w:t>
            </w:r>
          </w:p>
        </w:tc>
      </w:tr>
      <w:tr>
        <w:trPr>
          <w:trHeight w:val="229"/>
        </w:trPr>
        <w:tc>
          <w:tcPr>
            <w:tcW w:w="6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140" w:hanging="132"/>
        <w:spacing w:after="0"/>
        <w:tabs>
          <w:tab w:leader="none" w:pos="140" w:val="left"/>
        </w:tabs>
        <w:numPr>
          <w:ilvl w:val="0"/>
          <w:numId w:val="3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 Change is not meaningful ("NM")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Wizards of the Coast and Digital Gaming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Wizards of the Coast and Digital Gaming segment net revenues by category: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Three Months Ended</w:t>
            </w:r>
          </w:p>
        </w:tc>
        <w:tc>
          <w:tcPr>
            <w:tcW w:w="1660" w:type="dxa"/>
            <w:vAlign w:val="bottom"/>
            <w:tcBorders>
              <w:bottom w:val="single" w:sz="8" w:color="auto"/>
            </w:tcBorders>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60" w:type="dxa"/>
            <w:vAlign w:val="bottom"/>
          </w:tcPr>
          <w:p>
            <w:pPr>
              <w:jc w:val="right"/>
              <w:ind w:right="67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Tabletop Gaming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38.8 %</w:t>
            </w:r>
          </w:p>
        </w:tc>
      </w:tr>
      <w:tr>
        <w:trPr>
          <w:trHeight w:val="22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Digital and Licensed Gaming</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Wizards of the Coast and Digital Gaming segment net revenues increased 30.6% in the third quarter of 2026 to $747.2 million from $572.0 million in the third quarter of 2025. The net revenue increase in the Wizards of the Coast and Digital Gaming segment during the third quarter of 2026 was primarily attributable to growth in Tabletop Gaming revenue of $171.3 million, or 38.8%, behind demand for </w:t>
      </w:r>
      <w:r>
        <w:rPr>
          <w:rFonts w:ascii="Arial" w:cs="Arial" w:eastAsia="Arial" w:hAnsi="Arial"/>
          <w:sz w:val="18"/>
          <w:szCs w:val="18"/>
          <w:i w:val="1"/>
          <w:iCs w:val="1"/>
          <w:color w:val="auto"/>
        </w:rPr>
        <w:t>Magic: The</w:t>
      </w:r>
      <w:r>
        <w:rPr>
          <w:rFonts w:ascii="Arial" w:cs="Arial" w:eastAsia="Arial" w:hAnsi="Arial"/>
          <w:sz w:val="18"/>
          <w:szCs w:val="18"/>
          <w:color w:val="auto"/>
        </w:rPr>
        <w:t xml:space="preserve"> </w:t>
      </w:r>
      <w:r>
        <w:rPr>
          <w:rFonts w:ascii="Arial" w:cs="Arial" w:eastAsia="Arial" w:hAnsi="Arial"/>
          <w:sz w:val="18"/>
          <w:szCs w:val="18"/>
          <w:i w:val="1"/>
          <w:iCs w:val="1"/>
          <w:color w:val="auto"/>
        </w:rPr>
        <w:t>Gathering</w:t>
      </w:r>
      <w:r>
        <w:rPr>
          <w:rFonts w:ascii="Arial" w:cs="Arial" w:eastAsia="Arial" w:hAnsi="Arial"/>
          <w:sz w:val="18"/>
          <w:szCs w:val="18"/>
          <w:color w:val="auto"/>
        </w:rPr>
        <w:t>, which exceeded $600 million of quarterly revenue for the first time in brand history, fueled by</w:t>
      </w:r>
      <w:r>
        <w:rPr>
          <w:rFonts w:ascii="Arial" w:cs="Arial" w:eastAsia="Arial" w:hAnsi="Arial"/>
          <w:sz w:val="18"/>
          <w:szCs w:val="18"/>
          <w:i w:val="1"/>
          <w:iCs w:val="1"/>
          <w:color w:val="auto"/>
        </w:rPr>
        <w:t xml:space="preserve"> The Hobbit </w:t>
      </w:r>
      <w:r>
        <w:rPr>
          <w:rFonts w:ascii="Arial" w:cs="Arial" w:eastAsia="Arial" w:hAnsi="Arial"/>
          <w:sz w:val="18"/>
          <w:szCs w:val="18"/>
          <w:color w:val="auto"/>
        </w:rPr>
        <w:t>and</w:t>
      </w:r>
      <w:r>
        <w:rPr>
          <w:rFonts w:ascii="Arial" w:cs="Arial" w:eastAsia="Arial" w:hAnsi="Arial"/>
          <w:sz w:val="18"/>
          <w:szCs w:val="18"/>
          <w:i w:val="1"/>
          <w:iCs w:val="1"/>
          <w:color w:val="auto"/>
        </w:rPr>
        <w:t xml:space="preserve"> Reality Fracture</w:t>
      </w:r>
      <w:r>
        <w:rPr>
          <w:rFonts w:ascii="Arial" w:cs="Arial" w:eastAsia="Arial" w:hAnsi="Arial"/>
          <w:sz w:val="18"/>
          <w:szCs w:val="18"/>
          <w:color w:val="auto"/>
        </w:rPr>
        <w:t>.</w:t>
      </w:r>
    </w:p>
    <w:p>
      <w:pPr>
        <w:spacing w:after="0" w:line="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Wizards of the Coast and Digital Gaming segment Operating profit was $ 367.4 million, or 49.2% of segment net revenues for the third quarter of 2026, compared to Operating profit of $251.5 million, or 44.0% of segment net revenues, for the third quarter of 2025. Operating profit increased during the third quarter of 2026 primarily due to increased net revenues, as discussed above, as well as a decrease in advertising expense and the recording of $6.6 million of IEEPA tariff refunds during the period, partially offset by an increase in royalty expense as a result of increased sales for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Universes Beyond sets.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Consumer Products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Consumer Products segment net revenues by major geographic region: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Three Months Ended</w:t>
            </w:r>
          </w:p>
        </w:tc>
        <w:tc>
          <w:tcPr>
            <w:tcW w:w="1660" w:type="dxa"/>
            <w:vAlign w:val="bottom"/>
            <w:tcBorders>
              <w:bottom w:val="single" w:sz="8" w:color="auto"/>
            </w:tcBorders>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60" w:type="dxa"/>
            <w:vAlign w:val="bottom"/>
          </w:tcPr>
          <w:p>
            <w:pPr>
              <w:jc w:val="right"/>
              <w:ind w:right="67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29"/>
        </w:trPr>
        <w:tc>
          <w:tcPr>
            <w:tcW w:w="6320" w:type="dxa"/>
            <w:vAlign w:val="bottom"/>
          </w:tcPr>
          <w:p>
            <w:pPr>
              <w:ind w:left="20"/>
              <w:spacing w:after="0"/>
              <w:rPr>
                <w:sz w:val="20"/>
                <w:szCs w:val="20"/>
                <w:color w:val="auto"/>
              </w:rPr>
            </w:pPr>
            <w:r>
              <w:rPr>
                <w:rFonts w:ascii="Arial" w:cs="Arial" w:eastAsia="Arial" w:hAnsi="Arial"/>
                <w:sz w:val="16"/>
                <w:szCs w:val="16"/>
                <w:color w:val="auto"/>
              </w:rPr>
              <w:t>Europe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2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Consumer Products segment net revenues increased to $827.9 million for the third quarter of 2026 compared to $796.9 million for the third quarter of 2025. The net revenue increase primarily reflects higher net revenues for toys and games, particularly for certain Grow Brands such as </w:t>
      </w:r>
      <w:r>
        <w:rPr>
          <w:rFonts w:ascii="Arial" w:cs="Arial" w:eastAsia="Arial" w:hAnsi="Arial"/>
          <w:sz w:val="18"/>
          <w:szCs w:val="18"/>
          <w:i w:val="1"/>
          <w:iCs w:val="1"/>
          <w:color w:val="auto"/>
        </w:rPr>
        <w:t>Marvel</w:t>
      </w:r>
      <w:r>
        <w:rPr>
          <w:rFonts w:ascii="Arial" w:cs="Arial" w:eastAsia="Arial" w:hAnsi="Arial"/>
          <w:sz w:val="18"/>
          <w:szCs w:val="18"/>
          <w:color w:val="auto"/>
        </w:rPr>
        <w:t xml:space="preserve">, which was positively impacted by an uptick in demand driven by major theatrical releases, such as </w:t>
      </w:r>
      <w:r>
        <w:rPr>
          <w:rFonts w:ascii="Arial" w:cs="Arial" w:eastAsia="Arial" w:hAnsi="Arial"/>
          <w:sz w:val="18"/>
          <w:szCs w:val="18"/>
          <w:i w:val="1"/>
          <w:iCs w:val="1"/>
          <w:color w:val="auto"/>
        </w:rPr>
        <w:t>Spider-Man: Brand New</w:t>
      </w:r>
      <w:r>
        <w:rPr>
          <w:rFonts w:ascii="Arial" w:cs="Arial" w:eastAsia="Arial" w:hAnsi="Arial"/>
          <w:sz w:val="18"/>
          <w:szCs w:val="18"/>
          <w:color w:val="auto"/>
        </w:rPr>
        <w:t xml:space="preserve"> </w:t>
      </w:r>
      <w:r>
        <w:rPr>
          <w:rFonts w:ascii="Arial" w:cs="Arial" w:eastAsia="Arial" w:hAnsi="Arial"/>
          <w:sz w:val="18"/>
          <w:szCs w:val="18"/>
          <w:i w:val="1"/>
          <w:iCs w:val="1"/>
          <w:color w:val="auto"/>
        </w:rPr>
        <w:t>Day</w:t>
      </w:r>
      <w:r>
        <w:rPr>
          <w:rFonts w:ascii="Arial" w:cs="Arial" w:eastAsia="Arial" w:hAnsi="Arial"/>
          <w:sz w:val="18"/>
          <w:szCs w:val="18"/>
          <w:color w:val="auto"/>
        </w:rPr>
        <w:t>, occurring throughout 2026, with no comparable releases in the prior year. Growth in Consumer Products was also driven by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toys and games for </w:t>
      </w:r>
      <w:r>
        <w:rPr>
          <w:rFonts w:ascii="Arial" w:cs="Arial" w:eastAsia="Arial" w:hAnsi="Arial"/>
          <w:sz w:val="18"/>
          <w:szCs w:val="18"/>
          <w:i w:val="1"/>
          <w:iCs w:val="1"/>
          <w:color w:val="auto"/>
        </w:rPr>
        <w:t>KPop Demon Hunters</w:t>
      </w:r>
      <w:r>
        <w:rPr>
          <w:rFonts w:ascii="Arial" w:cs="Arial" w:eastAsia="Arial" w:hAnsi="Arial"/>
          <w:sz w:val="18"/>
          <w:szCs w:val="18"/>
          <w:color w:val="auto"/>
        </w:rPr>
        <w:t xml:space="preserve">, which were released for the first time in 2026. Consumer Products net revenues also benefitted from growth in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The increase in toy and game revenues was partially offset by a decrease in licensing revenues, primarily attributable to </w:t>
      </w:r>
      <w:r>
        <w:rPr>
          <w:rFonts w:ascii="Arial" w:cs="Arial" w:eastAsia="Arial" w:hAnsi="Arial"/>
          <w:sz w:val="18"/>
          <w:szCs w:val="18"/>
          <w:i w:val="1"/>
          <w:iCs w:val="1"/>
          <w:color w:val="auto"/>
        </w:rPr>
        <w:t>Peppa Pig</w:t>
      </w:r>
      <w:r>
        <w:rPr>
          <w:rFonts w:ascii="Arial" w:cs="Arial" w:eastAsia="Arial" w:hAnsi="Arial"/>
          <w:sz w:val="18"/>
          <w:szCs w:val="18"/>
          <w:color w:val="auto"/>
        </w:rPr>
        <w:t xml:space="preserve"> and </w:t>
      </w:r>
      <w:r>
        <w:rPr>
          <w:rFonts w:ascii="Arial" w:cs="Arial" w:eastAsia="Arial" w:hAnsi="Arial"/>
          <w:sz w:val="18"/>
          <w:szCs w:val="18"/>
          <w:i w:val="1"/>
          <w:iCs w:val="1"/>
          <w:color w:val="auto"/>
        </w:rPr>
        <w:t>Nerf.</w:t>
      </w:r>
    </w:p>
    <w:p>
      <w:pPr>
        <w:spacing w:after="0" w:line="7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Consumer Products segment Operating profit for the third quarter of 2026 was $173.8 million, or 21.0% of segment net revenues, compared to a segment Operating profit of $80.1 million, or 10.1% of segment net revenues, for the third quarter of 2025. The change in Operating profit in the third quarter of 2026 was driven by the increase in net revenues, as discussed above, as well as a decrease of approximately $59.2 million of cost related to the impacts of tariffs, inclusive of both the recording of $47.9 million of IEEPA tariff benefit during the quarter, as well as a decrease in recurring tariff expense of approximately $11.3 million when compared to the prior year. Operating profit for the third quarter of 2026 was also impacted by a nonrecurring $4.7 million gain on the sale of a facility. In addition, Operating profit also benefitted from lower managed expenses and advertising expense, reflecting productivity initiatives.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Entertainment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Entertainment segment net revenues by category: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720" w:type="dxa"/>
            <w:vAlign w:val="bottom"/>
            <w:gridSpan w:val="3"/>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400" w:type="dxa"/>
            <w:vAlign w:val="bottom"/>
          </w:tcPr>
          <w:p>
            <w:pPr>
              <w:jc w:val="right"/>
              <w:ind w:right="67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Family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2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Film and TV</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Entertainment segment net revenues increased 8.6% to $20.2 million for the third quarter of 2026, compared to $18.6 million for the third quarter of 2025. The net revenue increase in the Entertainment segment during the third quarter of 2026 was driven primarily by growth in Family Brands, reflecting the timing of entertainment streaming renewals and other content deals.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Entertainment segment Operating profit was $17.1 million, or 84.7% of segment net revenues for the third quarter of 2026, compared to an Operating profit of $7.5 million, or 40.3% of segment net revenues for the third quarter of 2025. The increase in Operating profit in the Entertainment segment during the third quarter of 2026 was primarily driven by the increase in revenue, as discussed above, and a favorable licensing mix, as well as a decrease in program cost amortization and the amortization of intangible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Corporate and other expense, net was $41.0 million for the third quarter of 2026 compared to Corporate and other income, net of $2.0 million for the third quarter of 2025. The change in Corporate and other in the third quarter of 2026 as compared to the third quarter of 2025 primarily reflects the impacts of increases in personnel related costs, including increased severance expense corresponding to our Operational Excellence program.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consolidated results of operations for the nine months ended September 27, 2026 and September 28, 2025: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840"/>
              <w:spacing w:after="0"/>
              <w:rPr>
                <w:sz w:val="20"/>
                <w:szCs w:val="20"/>
                <w:color w:val="auto"/>
              </w:rPr>
            </w:pPr>
            <w:r>
              <w:rPr>
                <w:rFonts w:ascii="Arial" w:cs="Arial" w:eastAsia="Arial" w:hAnsi="Arial"/>
                <w:sz w:val="16"/>
                <w:szCs w:val="16"/>
                <w:b w:val="1"/>
                <w:bCs w:val="1"/>
                <w:color w:val="auto"/>
              </w:rPr>
              <w:t>Nine Months Ended</w:t>
            </w:r>
          </w:p>
        </w:tc>
        <w:tc>
          <w:tcPr>
            <w:tcW w:w="1560" w:type="dxa"/>
            <w:vAlign w:val="bottom"/>
            <w:tcBorders>
              <w:bottom w:val="single" w:sz="8" w:color="auto"/>
            </w:tcBorders>
          </w:tcPr>
          <w:p>
            <w:pPr>
              <w:spacing w:after="0"/>
              <w:rPr>
                <w:sz w:val="18"/>
                <w:szCs w:val="18"/>
                <w:color w:val="auto"/>
              </w:rPr>
            </w:pPr>
          </w:p>
        </w:tc>
      </w:tr>
      <w:tr>
        <w:trPr>
          <w:trHeight w:val="223"/>
        </w:trPr>
        <w:tc>
          <w:tcPr>
            <w:tcW w:w="4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September 27, 2026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September 28, 2025</w:t>
            </w:r>
          </w:p>
        </w:tc>
      </w:tr>
      <w:tr>
        <w:trPr>
          <w:trHeight w:val="223"/>
        </w:trPr>
        <w:tc>
          <w:tcPr>
            <w:tcW w:w="4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 of Net Revenues</w:t>
            </w: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 of Net Revenues</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2,821.1</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86.7 %</w:t>
            </w:r>
          </w:p>
        </w:tc>
      </w:tr>
      <w:tr>
        <w:trPr>
          <w:trHeight w:val="22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Licensing revenue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13.3 %</w:t>
            </w:r>
          </w:p>
        </w:tc>
      </w:tr>
      <w:tr>
        <w:trPr>
          <w:trHeight w:val="224"/>
        </w:trPr>
        <w:tc>
          <w:tcPr>
            <w:tcW w:w="4880" w:type="dxa"/>
            <w:vAlign w:val="bottom"/>
            <w:shd w:val="clear" w:color="auto" w:fill="CCEEFF"/>
          </w:tcPr>
          <w:p>
            <w:pPr>
              <w:ind w:left="140"/>
              <w:spacing w:after="0" w:line="224" w:lineRule="exact"/>
              <w:rPr>
                <w:sz w:val="20"/>
                <w:szCs w:val="20"/>
                <w:color w:val="auto"/>
              </w:rPr>
            </w:pPr>
            <w:r>
              <w:rPr>
                <w:rFonts w:ascii="Arial" w:cs="Arial" w:eastAsia="Arial" w:hAnsi="Arial"/>
                <w:sz w:val="16"/>
                <w:szCs w:val="16"/>
                <w:color w:val="auto"/>
              </w:rPr>
              <w:t>Net revenues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28"/>
        </w:trPr>
        <w:tc>
          <w:tcPr>
            <w:tcW w:w="48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25.9 %</w:t>
            </w:r>
          </w:p>
        </w:tc>
      </w:tr>
      <w:tr>
        <w:trPr>
          <w:trHeight w:val="228"/>
        </w:trPr>
        <w:tc>
          <w:tcPr>
            <w:tcW w:w="4880" w:type="dxa"/>
            <w:vAlign w:val="bottom"/>
          </w:tcPr>
          <w:p>
            <w:pPr>
              <w:ind w:left="140"/>
              <w:spacing w:after="0"/>
              <w:rPr>
                <w:sz w:val="20"/>
                <w:szCs w:val="20"/>
                <w:color w:val="auto"/>
              </w:rPr>
            </w:pPr>
            <w:r>
              <w:rPr>
                <w:rFonts w:ascii="Arial" w:cs="Arial" w:eastAsia="Arial" w:hAnsi="Arial"/>
                <w:sz w:val="16"/>
                <w:szCs w:val="16"/>
                <w:color w:val="auto"/>
              </w:rPr>
              <w:t>Program cost amortization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31"/>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Royalties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29"/>
        </w:trPr>
        <w:tc>
          <w:tcPr>
            <w:tcW w:w="488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Advertising</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28"/>
        </w:trPr>
        <w:tc>
          <w:tcPr>
            <w:tcW w:w="48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31"/>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r>
      <w:tr>
        <w:trPr>
          <w:trHeight w:val="228"/>
        </w:trPr>
        <w:tc>
          <w:tcPr>
            <w:tcW w:w="4880" w:type="dxa"/>
            <w:vAlign w:val="bottom"/>
          </w:tcPr>
          <w:p>
            <w:pPr>
              <w:ind w:left="140"/>
              <w:spacing w:after="0"/>
              <w:rPr>
                <w:sz w:val="20"/>
                <w:szCs w:val="20"/>
                <w:color w:val="auto"/>
              </w:rPr>
            </w:pPr>
            <w:r>
              <w:rPr>
                <w:rFonts w:ascii="Arial" w:cs="Arial" w:eastAsia="Arial" w:hAnsi="Arial"/>
                <w:sz w:val="16"/>
                <w:szCs w:val="16"/>
                <w:color w:val="auto"/>
              </w:rPr>
              <w:t>Loss on disposal of business</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distribution and administration</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25.8 %</w:t>
            </w:r>
          </w:p>
        </w:tc>
      </w:tr>
      <w:tr>
        <w:trPr>
          <w:trHeight w:val="223"/>
        </w:trPr>
        <w:tc>
          <w:tcPr>
            <w:tcW w:w="4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3,541.8</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108.8 %</w:t>
            </w: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(loss)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8"/>
        </w:trPr>
        <w:tc>
          <w:tcPr>
            <w:tcW w:w="488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1"/>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29"/>
        </w:trPr>
        <w:tc>
          <w:tcPr>
            <w:tcW w:w="48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3"/>
        </w:trPr>
        <w:tc>
          <w:tcPr>
            <w:tcW w:w="4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non-operating expense, net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2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4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Hasbro, Inc.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per common share: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8"/>
        </w:trPr>
        <w:tc>
          <w:tcPr>
            <w:tcW w:w="4880" w:type="dxa"/>
            <w:vAlign w:val="bottom"/>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87" w:lineRule="exact"/>
        <w:rPr>
          <w:sz w:val="20"/>
          <w:szCs w:val="20"/>
          <w:color w:val="auto"/>
        </w:rPr>
      </w:pPr>
    </w:p>
    <w:p>
      <w:pPr>
        <w:ind w:right="60" w:firstLine="8"/>
        <w:spacing w:after="0" w:line="289" w:lineRule="auto"/>
        <w:tabs>
          <w:tab w:leader="none" w:pos="140" w:val="left"/>
        </w:tabs>
        <w:numPr>
          <w:ilvl w:val="0"/>
          <w:numId w:val="4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Prior period amounts have been reclassified to present licensing revenue separately from net sales in the Consolidated Statements of Operations. The reclassification had no effect on total net revenues, operating profit (loss), net earnings (loss) or shareholders’ equity. Refer to Note 1, Basis of Presentation, for additional information.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 Net sales for the first nine months of 2026 increased 17.6% to $3,317.9 million from $2,821.1 million for the first nine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2025 primarily driven by growth in the Wizards of the Coast and Digital Gaming segment, most notably an increase of $413.2 million related to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particularly stemming from increased demand for sets such as </w:t>
      </w:r>
      <w:r>
        <w:rPr>
          <w:rFonts w:ascii="Arial" w:cs="Arial" w:eastAsia="Arial" w:hAnsi="Arial"/>
          <w:sz w:val="18"/>
          <w:szCs w:val="18"/>
          <w:i w:val="1"/>
          <w:iCs w:val="1"/>
          <w:color w:val="auto"/>
        </w:rPr>
        <w:t>Secrets of Strixhaven</w:t>
      </w:r>
      <w:r>
        <w:rPr>
          <w:rFonts w:ascii="Arial" w:cs="Arial" w:eastAsia="Arial" w:hAnsi="Arial"/>
          <w:sz w:val="18"/>
          <w:szCs w:val="18"/>
          <w:color w:val="auto"/>
        </w:rPr>
        <w:t xml:space="preserve">, as well as Universes Beyond sets such as </w:t>
      </w:r>
      <w:r>
        <w:rPr>
          <w:rFonts w:ascii="Arial" w:cs="Arial" w:eastAsia="Arial" w:hAnsi="Arial"/>
          <w:sz w:val="18"/>
          <w:szCs w:val="18"/>
          <w:i w:val="1"/>
          <w:iCs w:val="1"/>
          <w:color w:val="auto"/>
        </w:rPr>
        <w:t>Marvel Super Heroes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Hobbit.</w:t>
      </w:r>
      <w:r>
        <w:rPr>
          <w:rFonts w:ascii="Arial" w:cs="Arial" w:eastAsia="Arial" w:hAnsi="Arial"/>
          <w:sz w:val="18"/>
          <w:szCs w:val="18"/>
          <w:color w:val="auto"/>
        </w:rPr>
        <w:t xml:space="preserve"> This growth within the Wizards of the Coast and Digital Gaming segment was supplemented by an increase in net sales within the Consumer Products segment, driven by an increase in toy and game sales for </w:t>
      </w:r>
      <w:r>
        <w:rPr>
          <w:rFonts w:ascii="Arial" w:cs="Arial" w:eastAsia="Arial" w:hAnsi="Arial"/>
          <w:sz w:val="18"/>
          <w:szCs w:val="18"/>
          <w:i w:val="1"/>
          <w:iCs w:val="1"/>
          <w:color w:val="auto"/>
        </w:rPr>
        <w:t>Marvel</w:t>
      </w:r>
      <w:r>
        <w:rPr>
          <w:rFonts w:ascii="Arial" w:cs="Arial" w:eastAsia="Arial" w:hAnsi="Arial"/>
          <w:sz w:val="18"/>
          <w:szCs w:val="18"/>
          <w:color w:val="auto"/>
        </w:rPr>
        <w:t xml:space="preserve"> of $55.3 million and </w:t>
      </w:r>
      <w:r>
        <w:rPr>
          <w:rFonts w:ascii="Arial" w:cs="Arial" w:eastAsia="Arial" w:hAnsi="Arial"/>
          <w:sz w:val="18"/>
          <w:szCs w:val="18"/>
          <w:i w:val="1"/>
          <w:iCs w:val="1"/>
          <w:color w:val="auto"/>
        </w:rPr>
        <w:t>Star Wars</w:t>
      </w:r>
      <w:r>
        <w:rPr>
          <w:rFonts w:ascii="Arial" w:cs="Arial" w:eastAsia="Arial" w:hAnsi="Arial"/>
          <w:sz w:val="18"/>
          <w:szCs w:val="18"/>
          <w:color w:val="auto"/>
        </w:rPr>
        <w:t xml:space="preserve"> of $23.7 million as a result of a strong content slate, along with the introduction of new toys and games for the recently acquired </w:t>
      </w:r>
      <w:r>
        <w:rPr>
          <w:rFonts w:ascii="Arial" w:cs="Arial" w:eastAsia="Arial" w:hAnsi="Arial"/>
          <w:sz w:val="18"/>
          <w:szCs w:val="18"/>
          <w:i w:val="1"/>
          <w:iCs w:val="1"/>
          <w:color w:val="auto"/>
        </w:rPr>
        <w:t>KPop Demon Hunters</w:t>
      </w:r>
      <w:r>
        <w:rPr>
          <w:rFonts w:ascii="Arial" w:cs="Arial" w:eastAsia="Arial" w:hAnsi="Arial"/>
          <w:sz w:val="18"/>
          <w:szCs w:val="18"/>
          <w:color w:val="auto"/>
        </w:rPr>
        <w:t xml:space="preserve"> license of $14.2 million. These increases were partially offset by an $8.0 million, or 13.1%, decrease in the Entertainment segment.</w:t>
      </w:r>
    </w:p>
    <w:p>
      <w:pPr>
        <w:spacing w:after="0" w:line="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Licensing revenue </w:t>
      </w:r>
      <w:r>
        <w:rPr>
          <w:rFonts w:ascii="Arial" w:cs="Arial" w:eastAsia="Arial" w:hAnsi="Arial"/>
          <w:sz w:val="18"/>
          <w:szCs w:val="18"/>
          <w:color w:val="auto"/>
        </w:rPr>
        <w:t>– Licensing revenue for the first nine months of 2026 was $ 417.2 million, or 11.2% of net revenues, compared to $434.3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million, or 13.3% of net revenues, for the first nine months of 2025. The change was primarily driven by lower consumer products licensing revenue, including the lapping of licensing revenue related to </w:t>
      </w:r>
      <w:r>
        <w:rPr>
          <w:rFonts w:ascii="Arial" w:cs="Arial" w:eastAsia="Arial" w:hAnsi="Arial"/>
          <w:sz w:val="18"/>
          <w:szCs w:val="18"/>
          <w:i w:val="1"/>
          <w:iCs w:val="1"/>
          <w:color w:val="auto"/>
        </w:rPr>
        <w:t>My Little Pony</w:t>
      </w:r>
      <w:r>
        <w:rPr>
          <w:rFonts w:ascii="Arial" w:cs="Arial" w:eastAsia="Arial" w:hAnsi="Arial"/>
          <w:sz w:val="18"/>
          <w:szCs w:val="18"/>
          <w:color w:val="auto"/>
        </w:rPr>
        <w:t xml:space="preserve"> of approximately $11.1 million, partially offset by growth in digital licensing revenue.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brand portfolio category: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Nine Months Ended</w:t>
            </w:r>
          </w:p>
        </w:tc>
        <w:tc>
          <w:tcPr>
            <w:tcW w:w="1660" w:type="dxa"/>
            <w:vAlign w:val="bottom"/>
            <w:tcBorders>
              <w:bottom w:val="single" w:sz="8" w:color="auto"/>
            </w:tcBorders>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60" w:type="dxa"/>
            <w:vAlign w:val="bottom"/>
          </w:tcPr>
          <w:p>
            <w:pPr>
              <w:jc w:val="right"/>
              <w:ind w:right="67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39"/>
              <w:spacing w:after="0" w:line="216" w:lineRule="exact"/>
              <w:rPr>
                <w:sz w:val="20"/>
                <w:szCs w:val="20"/>
                <w:color w:val="auto"/>
              </w:rPr>
            </w:pPr>
            <w:r>
              <w:rPr>
                <w:rFonts w:ascii="Arial" w:cs="Arial" w:eastAsia="Arial" w:hAnsi="Arial"/>
                <w:sz w:val="16"/>
                <w:szCs w:val="16"/>
                <w:b w:val="1"/>
                <w:bCs w:val="1"/>
                <w:color w:val="auto"/>
              </w:rPr>
              <w:t>2025</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Grow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21.7 %</w:t>
            </w:r>
          </w:p>
        </w:tc>
      </w:tr>
      <w:tr>
        <w:trPr>
          <w:trHeight w:val="228"/>
        </w:trPr>
        <w:tc>
          <w:tcPr>
            <w:tcW w:w="6320" w:type="dxa"/>
            <w:vAlign w:val="bottom"/>
          </w:tcPr>
          <w:p>
            <w:pPr>
              <w:ind w:left="20"/>
              <w:spacing w:after="0"/>
              <w:rPr>
                <w:sz w:val="20"/>
                <w:szCs w:val="20"/>
                <w:color w:val="auto"/>
              </w:rPr>
            </w:pPr>
            <w:r>
              <w:rPr>
                <w:rFonts w:ascii="Arial" w:cs="Arial" w:eastAsia="Arial" w:hAnsi="Arial"/>
                <w:sz w:val="16"/>
                <w:szCs w:val="16"/>
                <w:color w:val="auto"/>
              </w:rPr>
              <w:t>Optimize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546.0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Reinvent Brands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24"/>
        </w:trPr>
        <w:tc>
          <w:tcPr>
            <w:tcW w:w="632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14.7 %</w:t>
            </w:r>
          </w:p>
        </w:tc>
      </w:tr>
      <w:tr>
        <w:trPr>
          <w:trHeight w:val="21"/>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firstLine="8"/>
        <w:spacing w:after="0" w:line="289" w:lineRule="auto"/>
        <w:tabs>
          <w:tab w:leader="none" w:pos="140" w:val="left"/>
        </w:tabs>
        <w:numPr>
          <w:ilvl w:val="0"/>
          <w:numId w:val="41"/>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During the first quarter of 2026, the classification of brands within these categories was reviewed and certain brands were reclassified based on changes in growth, profitability or other characteristics. As such, the respective historical revenues associated within these brands have been reclassified into the brands' new brand category.</w:t>
      </w:r>
    </w:p>
    <w:p>
      <w:pPr>
        <w:spacing w:after="0" w:line="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GROW BRANDS: </w:t>
      </w:r>
      <w:r>
        <w:rPr>
          <w:rFonts w:ascii="Arial" w:cs="Arial" w:eastAsia="Arial" w:hAnsi="Arial"/>
          <w:sz w:val="18"/>
          <w:szCs w:val="18"/>
          <w:color w:val="auto"/>
        </w:rPr>
        <w:t>Net revenues in the Grow Brands portfolio increased $513.9 million, or 21.7%, in the first nine months of 2026,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first nine months of 2025. The net revenue increase primarily reflects higher net revenues from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which grew by $413.2 million, or 33.9%, driven by strong performance of </w:t>
      </w:r>
      <w:r>
        <w:rPr>
          <w:rFonts w:ascii="Arial" w:cs="Arial" w:eastAsia="Arial" w:hAnsi="Arial"/>
          <w:sz w:val="18"/>
          <w:szCs w:val="18"/>
          <w:i w:val="1"/>
          <w:iCs w:val="1"/>
          <w:color w:val="auto"/>
        </w:rPr>
        <w:t>Lorwyn Eclipsed</w:t>
      </w:r>
      <w:r>
        <w:rPr>
          <w:rFonts w:ascii="Arial" w:cs="Arial" w:eastAsia="Arial" w:hAnsi="Arial"/>
          <w:sz w:val="18"/>
          <w:szCs w:val="18"/>
          <w:color w:val="auto"/>
        </w:rPr>
        <w:t xml:space="preserve"> and </w:t>
      </w:r>
      <w:r>
        <w:rPr>
          <w:rFonts w:ascii="Arial" w:cs="Arial" w:eastAsia="Arial" w:hAnsi="Arial"/>
          <w:sz w:val="18"/>
          <w:szCs w:val="18"/>
          <w:i w:val="1"/>
          <w:iCs w:val="1"/>
          <w:color w:val="auto"/>
        </w:rPr>
        <w:t>Secrets of Strixhaven</w:t>
      </w:r>
      <w:r>
        <w:rPr>
          <w:rFonts w:ascii="Arial" w:cs="Arial" w:eastAsia="Arial" w:hAnsi="Arial"/>
          <w:sz w:val="18"/>
          <w:szCs w:val="18"/>
          <w:color w:val="auto"/>
        </w:rPr>
        <w:t xml:space="preserve">, as well as Universes Beyond sets such as </w:t>
      </w:r>
      <w:r>
        <w:rPr>
          <w:rFonts w:ascii="Arial" w:cs="Arial" w:eastAsia="Arial" w:hAnsi="Arial"/>
          <w:sz w:val="18"/>
          <w:szCs w:val="18"/>
          <w:i w:val="1"/>
          <w:iCs w:val="1"/>
          <w:color w:val="auto"/>
        </w:rPr>
        <w:t>Teenage Mutant Ninja Turtles, Marvel Super Heroes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Hobbit</w:t>
      </w:r>
      <w:r>
        <w:rPr>
          <w:rFonts w:ascii="Arial" w:cs="Arial" w:eastAsia="Arial" w:hAnsi="Arial"/>
          <w:sz w:val="18"/>
          <w:szCs w:val="18"/>
          <w:color w:val="auto"/>
        </w:rPr>
        <w:t xml:space="preserve">, which released within the first nine months of 2026. Growth in this category was also impacted by increased demand in toys and games associated with the licensed </w:t>
      </w:r>
      <w:r>
        <w:rPr>
          <w:rFonts w:ascii="Arial" w:cs="Arial" w:eastAsia="Arial" w:hAnsi="Arial"/>
          <w:sz w:val="18"/>
          <w:szCs w:val="18"/>
          <w:i w:val="1"/>
          <w:iCs w:val="1"/>
          <w:color w:val="auto"/>
        </w:rPr>
        <w:t>Marvel</w:t>
      </w:r>
      <w:r>
        <w:rPr>
          <w:rFonts w:ascii="Arial" w:cs="Arial" w:eastAsia="Arial" w:hAnsi="Arial"/>
          <w:sz w:val="18"/>
          <w:szCs w:val="18"/>
          <w:color w:val="auto"/>
        </w:rPr>
        <w:t xml:space="preserve"> and </w:t>
      </w:r>
      <w:r>
        <w:rPr>
          <w:rFonts w:ascii="Arial" w:cs="Arial" w:eastAsia="Arial" w:hAnsi="Arial"/>
          <w:sz w:val="18"/>
          <w:szCs w:val="18"/>
          <w:i w:val="1"/>
          <w:iCs w:val="1"/>
          <w:color w:val="auto"/>
        </w:rPr>
        <w:t>Star Wars</w:t>
      </w:r>
      <w:r>
        <w:rPr>
          <w:rFonts w:ascii="Arial" w:cs="Arial" w:eastAsia="Arial" w:hAnsi="Arial"/>
          <w:sz w:val="18"/>
          <w:szCs w:val="18"/>
          <w:color w:val="auto"/>
        </w:rPr>
        <w:t xml:space="preserve"> brands, driven by a strong content slate in 2026 with no comparable releases in the prior year.</w:t>
      </w:r>
    </w:p>
    <w:p>
      <w:pPr>
        <w:spacing w:after="0" w:line="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OPTIMIZE BRANDS: </w:t>
      </w:r>
      <w:r>
        <w:rPr>
          <w:rFonts w:ascii="Arial" w:cs="Arial" w:eastAsia="Arial" w:hAnsi="Arial"/>
          <w:sz w:val="18"/>
          <w:szCs w:val="18"/>
          <w:color w:val="auto"/>
        </w:rPr>
        <w:t>Net revenues in the Optimize Brands portfolio were relatively flat, decreasing $1.3 million, or 0.2%, in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of 2026, compared to the first nine months of 2025. Net revenues in this category include brands such as </w:t>
      </w:r>
      <w:r>
        <w:rPr>
          <w:rFonts w:ascii="Arial" w:cs="Arial" w:eastAsia="Arial" w:hAnsi="Arial"/>
          <w:sz w:val="18"/>
          <w:szCs w:val="18"/>
          <w:i w:val="1"/>
          <w:iCs w:val="1"/>
          <w:color w:val="auto"/>
        </w:rPr>
        <w:t>Play-Doh</w:t>
      </w:r>
      <w:r>
        <w:rPr>
          <w:rFonts w:ascii="Arial" w:cs="Arial" w:eastAsia="Arial" w:hAnsi="Arial"/>
          <w:sz w:val="18"/>
          <w:szCs w:val="18"/>
          <w:color w:val="auto"/>
        </w:rPr>
        <w:t xml:space="preserv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Duel Masters </w:t>
      </w:r>
      <w:r>
        <w:rPr>
          <w:rFonts w:ascii="Arial" w:cs="Arial" w:eastAsia="Arial" w:hAnsi="Arial"/>
          <w:sz w:val="18"/>
          <w:szCs w:val="18"/>
          <w:color w:val="auto"/>
        </w:rPr>
        <w:t>and</w:t>
      </w:r>
      <w:r>
        <w:rPr>
          <w:rFonts w:ascii="Arial" w:cs="Arial" w:eastAsia="Arial" w:hAnsi="Arial"/>
          <w:sz w:val="18"/>
          <w:szCs w:val="18"/>
          <w:i w:val="1"/>
          <w:iCs w:val="1"/>
          <w:color w:val="auto"/>
        </w:rPr>
        <w:t xml:space="preserve"> G.I. Joe.</w:t>
      </w:r>
    </w:p>
    <w:p>
      <w:pPr>
        <w:spacing w:after="0" w:line="6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REINVENT BRANDS: </w:t>
      </w:r>
      <w:r>
        <w:rPr>
          <w:rFonts w:ascii="Arial" w:cs="Arial" w:eastAsia="Arial" w:hAnsi="Arial"/>
          <w:sz w:val="18"/>
          <w:szCs w:val="18"/>
          <w:color w:val="auto"/>
        </w:rPr>
        <w:t>Net revenues in the Reinvent Brands portfolio decreased $ 32.9 million, or 9.7%, in the first nine months of 2026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the first nine months of 2025. The net revenue decrease is primarily driven by lower product sales for </w:t>
      </w:r>
      <w:r>
        <w:rPr>
          <w:rFonts w:ascii="Arial" w:cs="Arial" w:eastAsia="Arial" w:hAnsi="Arial"/>
          <w:sz w:val="18"/>
          <w:szCs w:val="18"/>
          <w:i w:val="1"/>
          <w:iCs w:val="1"/>
          <w:color w:val="auto"/>
        </w:rPr>
        <w:t>Furby, Nerf</w:t>
      </w:r>
      <w:r>
        <w:rPr>
          <w:rFonts w:ascii="Arial" w:cs="Arial" w:eastAsia="Arial" w:hAnsi="Arial"/>
          <w:sz w:val="18"/>
          <w:szCs w:val="18"/>
          <w:color w:val="auto"/>
        </w:rPr>
        <w:t xml:space="preserve"> and </w:t>
      </w:r>
      <w:r>
        <w:rPr>
          <w:rFonts w:ascii="Arial" w:cs="Arial" w:eastAsia="Arial" w:hAnsi="Arial"/>
          <w:sz w:val="18"/>
          <w:szCs w:val="18"/>
          <w:i w:val="1"/>
          <w:iCs w:val="1"/>
          <w:color w:val="auto"/>
        </w:rPr>
        <w:t>Baby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Alive, </w:t>
      </w:r>
      <w:r>
        <w:rPr>
          <w:rFonts w:ascii="Arial" w:cs="Arial" w:eastAsia="Arial" w:hAnsi="Arial"/>
          <w:sz w:val="18"/>
          <w:szCs w:val="18"/>
          <w:color w:val="auto"/>
        </w:rPr>
        <w:t>partially offset by higher sales relating to</w:t>
      </w:r>
      <w:r>
        <w:rPr>
          <w:rFonts w:ascii="Arial" w:cs="Arial" w:eastAsia="Arial" w:hAnsi="Arial"/>
          <w:sz w:val="18"/>
          <w:szCs w:val="18"/>
          <w:i w:val="1"/>
          <w:iCs w:val="1"/>
          <w:color w:val="auto"/>
        </w:rPr>
        <w:t xml:space="preserve"> Beyblade</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 Cost of sales for the first nine months of 2026 was $893.3 million, or 23.9% of net revenues, compared to $844.1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25.9% of net revenues, for the first nine months of 2025. The increase in Cost of sales was primarily the result of an increase in net revenues period over period. Cost of sales decreased as a percentage of net revenues as a result of the recording of $54.5 million of IEEPA tariff refunds during the period.</w:t>
      </w:r>
    </w:p>
    <w:p>
      <w:pPr>
        <w:spacing w:after="0" w:line="5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Program cost amortization </w:t>
      </w:r>
      <w:r>
        <w:rPr>
          <w:rFonts w:ascii="Arial" w:cs="Arial" w:eastAsia="Arial" w:hAnsi="Arial"/>
          <w:sz w:val="18"/>
          <w:szCs w:val="18"/>
          <w:color w:val="auto"/>
        </w:rPr>
        <w:t>– Program cost amortization decreased to $12.5 million, or 0.3% of net revenues, for the first nine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2026 from $21.0 million, or 0.6% of net revenues, for the first nine months of 2025. Program costs are capitalized as incurred and amortized primarily using the individual-film-forecast method which matches costs to the related recognized revenue and is based upon the current slate of entertainment projects.</w:t>
      </w:r>
    </w:p>
    <w:p>
      <w:pPr>
        <w:spacing w:after="0" w:line="79"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 xml:space="preserve">Royalties </w:t>
      </w:r>
      <w:r>
        <w:rPr>
          <w:rFonts w:ascii="Arial" w:cs="Arial" w:eastAsia="Arial" w:hAnsi="Arial"/>
          <w:sz w:val="18"/>
          <w:szCs w:val="18"/>
          <w:color w:val="auto"/>
        </w:rPr>
        <w:t>– Royalties for the first nine months of 2026 increased to $ 309.7 million, or 8.3% of net revenues, compared to $255.8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7.9% of net revenues, for the first nine months of 2025. The increase in Royalties for the first nine months of 2026 was directly driven by an increase in sales relating to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Universes Beyond sets, such as </w:t>
      </w:r>
      <w:r>
        <w:rPr>
          <w:rFonts w:ascii="Arial" w:cs="Arial" w:eastAsia="Arial" w:hAnsi="Arial"/>
          <w:sz w:val="18"/>
          <w:szCs w:val="18"/>
          <w:i w:val="1"/>
          <w:iCs w:val="1"/>
          <w:color w:val="auto"/>
        </w:rPr>
        <w:t>Teenage Mutant Ninja Turtles, Marvel Super Heroes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Hobbit</w:t>
      </w:r>
      <w:r>
        <w:rPr>
          <w:rFonts w:ascii="Arial" w:cs="Arial" w:eastAsia="Arial" w:hAnsi="Arial"/>
          <w:sz w:val="18"/>
          <w:szCs w:val="18"/>
          <w:color w:val="auto"/>
        </w:rPr>
        <w:t>, as well as increased toy and game sales on licensed brands such as</w:t>
      </w:r>
      <w:r>
        <w:rPr>
          <w:rFonts w:ascii="Arial" w:cs="Arial" w:eastAsia="Arial" w:hAnsi="Arial"/>
          <w:sz w:val="18"/>
          <w:szCs w:val="18"/>
          <w:i w:val="1"/>
          <w:iCs w:val="1"/>
          <w:color w:val="auto"/>
        </w:rPr>
        <w:t xml:space="preserve"> Marvel </w:t>
      </w:r>
      <w:r>
        <w:rPr>
          <w:rFonts w:ascii="Arial" w:cs="Arial" w:eastAsia="Arial" w:hAnsi="Arial"/>
          <w:sz w:val="18"/>
          <w:szCs w:val="18"/>
          <w:color w:val="auto"/>
        </w:rPr>
        <w:t>and</w:t>
      </w:r>
      <w:r>
        <w:rPr>
          <w:rFonts w:ascii="Arial" w:cs="Arial" w:eastAsia="Arial" w:hAnsi="Arial"/>
          <w:sz w:val="18"/>
          <w:szCs w:val="18"/>
          <w:i w:val="1"/>
          <w:iCs w:val="1"/>
          <w:color w:val="auto"/>
        </w:rPr>
        <w:t xml:space="preserve"> Star Wars</w:t>
      </w:r>
      <w:r>
        <w:rPr>
          <w:rFonts w:ascii="Arial" w:cs="Arial" w:eastAsia="Arial" w:hAnsi="Arial"/>
          <w:sz w:val="18"/>
          <w:szCs w:val="18"/>
          <w:color w:val="auto"/>
        </w:rPr>
        <w: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ind w:right="20"/>
        <w:spacing w:after="0" w:line="262" w:lineRule="auto"/>
        <w:rPr>
          <w:sz w:val="20"/>
          <w:szCs w:val="20"/>
          <w:color w:val="auto"/>
        </w:rPr>
      </w:pPr>
      <w:r>
        <w:rPr>
          <w:rFonts w:ascii="Arial" w:cs="Arial" w:eastAsia="Arial" w:hAnsi="Arial"/>
          <w:sz w:val="18"/>
          <w:szCs w:val="18"/>
          <w:b w:val="1"/>
          <w:bCs w:val="1"/>
          <w:color w:val="auto"/>
        </w:rPr>
        <w:t xml:space="preserve">Product development </w:t>
      </w:r>
      <w:r>
        <w:rPr>
          <w:rFonts w:ascii="Arial" w:cs="Arial" w:eastAsia="Arial" w:hAnsi="Arial"/>
          <w:sz w:val="18"/>
          <w:szCs w:val="18"/>
          <w:color w:val="auto"/>
        </w:rPr>
        <w:t>– Product development expense for the first nine months of 2026 was $275.0 million, or 7.4% of net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$255.6 million, or 7.9% of net revenues, for the first nine months of 2025. The increase in Product development expense during the first nine months of 2026 was primarily due to the Company's higher incremental investment in the developments of Grow Brands under the Company's Playing to Win strategy.</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 Advertising expense for the first nine months of 2026 was $231.4 million, or 6.2% of net revenues, compared to $227.3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7.0% of net revenues, for the first nine months of 2025. The increase in Advertising expense during the first nine months of 2026 was primarily driven by additional spend necessary to support top line growth opportunities within the Grow Brands category, specifically within the Wizards of the Coast and Digital Gaming segment. Advertising expense decreased as a percentage of net revenues based on the timing of advertising campaigns and initiatives.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 xml:space="preserve">Amortization of intangible assets </w:t>
      </w:r>
      <w:r>
        <w:rPr>
          <w:rFonts w:ascii="Arial" w:cs="Arial" w:eastAsia="Arial" w:hAnsi="Arial"/>
          <w:sz w:val="18"/>
          <w:szCs w:val="18"/>
          <w:color w:val="auto"/>
        </w:rPr>
        <w:t>– Amortization of intangible assets decreased to $43.8 million, or 1.2% of net revenues, for the first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2026, as compared to $51.4 million, or 1.6% of net revenues, for the first nine months of 2025. The amortization expense was driven by the straight-line amortization of the Company's definite-lived intangible assets.</w:t>
      </w:r>
    </w:p>
    <w:p>
      <w:pPr>
        <w:spacing w:after="0" w:line="6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auto"/>
        </w:rPr>
        <w:t xml:space="preserve">Impairment of goodwill </w:t>
      </w:r>
      <w:r>
        <w:rPr>
          <w:rFonts w:ascii="Arial" w:cs="Arial" w:eastAsia="Arial" w:hAnsi="Arial"/>
          <w:sz w:val="18"/>
          <w:szCs w:val="18"/>
          <w:color w:val="auto"/>
        </w:rPr>
        <w:t>– During the first nine months of 2025, the Company recorded a $1,021.9 million non-cash goodwill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charge associated with goodwill assigned to reporting units within the Company's Consumer Products segment. There was no such impairment charge recorded during the first nine months of 2026.</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 xml:space="preserve">Loss on disposal of business </w:t>
      </w:r>
      <w:r>
        <w:rPr>
          <w:rFonts w:ascii="Arial" w:cs="Arial" w:eastAsia="Arial" w:hAnsi="Arial"/>
          <w:sz w:val="18"/>
          <w:szCs w:val="18"/>
          <w:color w:val="auto"/>
        </w:rPr>
        <w:t>– During the first nine months of 2025, the Company recorded a $25.0 million loss on disposal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divestiture of the Company's non-core film and TV business (the "eOne Film and TV business") within the Entertainment segment. No such charges were recorded during the first nine months of 2026.</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Selling, distribution and administration </w:t>
      </w:r>
      <w:r>
        <w:rPr>
          <w:rFonts w:ascii="Arial" w:cs="Arial" w:eastAsia="Arial" w:hAnsi="Arial"/>
          <w:sz w:val="18"/>
          <w:szCs w:val="18"/>
          <w:color w:val="auto"/>
        </w:rPr>
        <w:t>– Selling, distribution and administration expenses increased to $929.3 million, or 24.9% of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for the first nine months of 2026, from $839.7 million, or 25.8% of net revenues, for the first nine months of 2025. The increase in Selling, distribution and administration expenses during the first nine months of 2026 was primarily the result of a one-time $56.4 million non-cash impairment charge related to the Company's decision to refocus the Digital Games portfolio, which included the cancellation of certain titles scheduled for release in 2028 and beyond, $11.8 million of incremental operating costs incurred as a result of the unauthorized network access, and an increase in personnel related costs, including increased severance expense corresponding to our Operational Excellence program, partially offset by a nonrecurring $4.7 million gain on the sale of a facility.</w:t>
      </w:r>
    </w:p>
    <w:p>
      <w:pPr>
        <w:spacing w:after="0" w:line="7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 xml:space="preserve">Operating profit (loss) </w:t>
      </w:r>
      <w:r>
        <w:rPr>
          <w:rFonts w:ascii="Arial" w:cs="Arial" w:eastAsia="Arial" w:hAnsi="Arial"/>
          <w:sz w:val="18"/>
          <w:szCs w:val="18"/>
          <w:color w:val="auto"/>
        </w:rPr>
        <w:t>– Operating profit for the first nine months of 2026 was $1,040.1 million, or 27.8% of net revenues, compared to an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loss of $286.4 million, or 8.8% of net revenues, for the first nine months of 2025 driven by the factors discussed above.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 Interest expense for the first nine months of 2026 totaled $131.0 million compared to $123.0 million in the first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2025. Higher Interest expense in 2026 is primarily the result of an increase in outstanding debt driven by issuance of the 2031 Notes, partially offset by debt repurchases of the Company's outstanding 2027, 2040, and 2044 Notes.</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 Interest income was $37.6 million for the first nine months of 2026, compared to $20.6 million in the first nine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2025. Higher Interest income in 2026 primarily reflects the Company's cash balance and investments in treasury securities, which were substantially higher in 2026 as compared to 2025, as well as $1.9 million of Interest income earned on previously paid IEEPA tariffs.</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Other expense (income), net </w:t>
      </w:r>
      <w:r>
        <w:rPr>
          <w:rFonts w:ascii="Arial" w:cs="Arial" w:eastAsia="Arial" w:hAnsi="Arial"/>
          <w:sz w:val="18"/>
          <w:szCs w:val="18"/>
          <w:color w:val="auto"/>
        </w:rPr>
        <w:t>– Other expense (income), net resulted in expense of $4.8 million for the first nine months of 2026,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income of $15.9 million in the first nine months of 2025. The change in Other expense (income), net during 2026 was driven primarily by variations in the movement of foreign currencies in the first nine months of 2026 when compared to the first nine months of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Income tax expense totaled $186.1 million on pre-tax income of $941.9 million in the first nine months of 2026 compared to an income tax expense of $148.4 million on pre-tax loss of $372.9 million in the first nine months of 2025. Both periods were impacted by discrete tax events.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During the first nine months of 2026, the Company recorded a net discrete tax benefit of $26.6 million primarily associated with share-based compensation and the release of uncertain tax positions resulting from a settlement of</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42" w:name="page43"/>
    <w:bookmarkEnd w:id="42"/>
    <w:p>
      <w:pPr>
        <w:ind w:right="40"/>
        <w:spacing w:after="0" w:line="262" w:lineRule="auto"/>
        <w:rPr>
          <w:sz w:val="20"/>
          <w:szCs w:val="20"/>
          <w:color w:val="auto"/>
        </w:rPr>
      </w:pPr>
      <w:r>
        <w:rPr>
          <w:rFonts w:ascii="Arial" w:cs="Arial" w:eastAsia="Arial" w:hAnsi="Arial"/>
          <w:sz w:val="18"/>
          <w:szCs w:val="18"/>
          <w:color w:val="auto"/>
        </w:rPr>
        <w:t>an IRS audit. During the first nine months of 2025, the Company recorded a non-cash goodwill impairment within the Consumer Products segment of $1,021.9 million with a tax benefit of $5.4 million and an unfavorable adjustment to the Loss on disposal of the eOne Film and TV business of $25.0 million with no tax benefit. The Company also recorded a net discrete tax benefit of $6.5 million, primarily associated with the release of a valuation allowance.</w:t>
      </w:r>
    </w:p>
    <w:p>
      <w:pPr>
        <w:spacing w:after="0" w:line="190"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Absent discrete items, the tax rates for the first nine months of 2026 and 2025 were 22.6% and 23.8%, respectively. The decrease in the base rate for the first nine months of 2026 relative to the first nine months of 2025 is primarily due to the mix of jurisdictions where the Company earned its profits and an increased FDDEI benefit.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17" w:lineRule="exact"/>
        <w:rPr>
          <w:sz w:val="20"/>
          <w:szCs w:val="20"/>
          <w:color w:val="auto"/>
        </w:rPr>
      </w:pPr>
    </w:p>
    <w:p>
      <w:pPr>
        <w:ind w:right="340"/>
        <w:spacing w:after="0" w:line="284" w:lineRule="auto"/>
        <w:rPr>
          <w:sz w:val="20"/>
          <w:szCs w:val="20"/>
          <w:color w:val="auto"/>
        </w:rPr>
      </w:pPr>
      <w:r>
        <w:rPr>
          <w:rFonts w:ascii="Arial" w:cs="Arial" w:eastAsia="Arial" w:hAnsi="Arial"/>
          <w:sz w:val="18"/>
          <w:szCs w:val="18"/>
          <w:color w:val="auto"/>
        </w:rPr>
        <w:t>The following table presents net external revenues and operating profit (loss) for the Company's reportable segments for the nine months ended September 27, 2026 and September 28,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Nine Months Ended</w:t>
            </w:r>
          </w:p>
        </w:tc>
        <w:tc>
          <w:tcPr>
            <w:tcW w:w="164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28,</w:t>
            </w:r>
          </w:p>
        </w:tc>
        <w:tc>
          <w:tcPr>
            <w:tcW w:w="1640" w:type="dxa"/>
            <w:vAlign w:val="bottom"/>
          </w:tcPr>
          <w:p>
            <w:pPr>
              <w:jc w:val="right"/>
              <w:ind w:right="65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Net revenues:</w:t>
            </w:r>
          </w:p>
        </w:tc>
        <w:tc>
          <w:tcPr>
            <w:tcW w:w="524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ind w:left="120"/>
              <w:spacing w:after="0"/>
              <w:rPr>
                <w:sz w:val="20"/>
                <w:szCs w:val="20"/>
                <w:color w:val="auto"/>
              </w:rPr>
            </w:pPr>
            <w:r>
              <w:rPr>
                <w:rFonts w:ascii="Arial" w:cs="Arial" w:eastAsia="Arial" w:hAnsi="Arial"/>
                <w:sz w:val="16"/>
                <w:szCs w:val="16"/>
                <w:color w:val="auto"/>
              </w:rPr>
              <w:t>Wizards of the Coast and Digital Gaming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1,993.0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1,556.5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28.0 %</w:t>
            </w:r>
          </w:p>
        </w:tc>
      </w:tr>
      <w:tr>
        <w:trPr>
          <w:trHeight w:val="230"/>
        </w:trPr>
        <w:tc>
          <w:tcPr>
            <w:tcW w:w="20" w:type="dxa"/>
            <w:vAlign w:val="bottom"/>
            <w:shd w:val="clear" w:color="auto" w:fill="CCEEFF"/>
          </w:tcPr>
          <w:p>
            <w:pPr>
              <w:spacing w:after="0"/>
              <w:rPr>
                <w:sz w:val="20"/>
                <w:szCs w:val="20"/>
                <w:color w:val="auto"/>
              </w:rPr>
            </w:pPr>
          </w:p>
        </w:tc>
        <w:tc>
          <w:tcPr>
            <w:tcW w:w="62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Consumer Products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1,637.6</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28"/>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Entertainment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Total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profit (loss):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gridSpan w:val="3"/>
          </w:tcPr>
          <w:p>
            <w:pPr>
              <w:ind w:left="120"/>
              <w:spacing w:after="0"/>
              <w:rPr>
                <w:sz w:val="20"/>
                <w:szCs w:val="20"/>
                <w:color w:val="auto"/>
              </w:rPr>
            </w:pPr>
            <w:r>
              <w:rPr>
                <w:rFonts w:ascii="Arial" w:cs="Arial" w:eastAsia="Arial" w:hAnsi="Arial"/>
                <w:sz w:val="16"/>
                <w:szCs w:val="16"/>
                <w:color w:val="auto"/>
              </w:rPr>
              <w:t>Wizards of the Coast and Digital Gaming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935.1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723.3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29.3 %</w:t>
            </w:r>
          </w:p>
        </w:tc>
      </w:tr>
      <w:tr>
        <w:trPr>
          <w:trHeight w:val="231"/>
        </w:trPr>
        <w:tc>
          <w:tcPr>
            <w:tcW w:w="20" w:type="dxa"/>
            <w:vAlign w:val="bottom"/>
            <w:shd w:val="clear" w:color="auto" w:fill="CCEEFF"/>
          </w:tcPr>
          <w:p>
            <w:pPr>
              <w:spacing w:after="0"/>
              <w:rPr>
                <w:sz w:val="20"/>
                <w:szCs w:val="20"/>
                <w:color w:val="auto"/>
              </w:rPr>
            </w:pPr>
          </w:p>
        </w:tc>
        <w:tc>
          <w:tcPr>
            <w:tcW w:w="6260" w:type="dxa"/>
            <w:vAlign w:val="bottom"/>
            <w:gridSpan w:val="3"/>
            <w:shd w:val="clear" w:color="auto" w:fill="CCEEFF"/>
          </w:tcPr>
          <w:p>
            <w:pPr>
              <w:ind w:left="120"/>
              <w:spacing w:after="0" w:line="231" w:lineRule="exact"/>
              <w:rPr>
                <w:sz w:val="20"/>
                <w:szCs w:val="20"/>
                <w:color w:val="auto"/>
              </w:rPr>
            </w:pPr>
            <w:r>
              <w:rPr>
                <w:rFonts w:ascii="Arial" w:cs="Arial" w:eastAsia="Arial" w:hAnsi="Arial"/>
                <w:sz w:val="16"/>
                <w:szCs w:val="16"/>
                <w:color w:val="auto"/>
              </w:rPr>
              <w:t xml:space="preserve">Consumer Products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(993.4)</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29"/>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ind w:left="120"/>
              <w:spacing w:after="0" w:line="230" w:lineRule="exact"/>
              <w:rPr>
                <w:sz w:val="20"/>
                <w:szCs w:val="20"/>
                <w:color w:val="auto"/>
              </w:rPr>
            </w:pPr>
            <w:r>
              <w:rPr>
                <w:rFonts w:ascii="Arial" w:cs="Arial" w:eastAsia="Arial" w:hAnsi="Arial"/>
                <w:sz w:val="16"/>
                <w:szCs w:val="16"/>
                <w:color w:val="auto"/>
              </w:rPr>
              <w:t xml:space="preserve">Entertainment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23"/>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ind w:left="120"/>
              <w:spacing w:after="0" w:line="223" w:lineRule="exact"/>
              <w:rPr>
                <w:sz w:val="20"/>
                <w:szCs w:val="20"/>
                <w:color w:val="auto"/>
              </w:rPr>
            </w:pPr>
            <w:r>
              <w:rPr>
                <w:rFonts w:ascii="Arial" w:cs="Arial" w:eastAsia="Arial" w:hAnsi="Arial"/>
                <w:sz w:val="16"/>
                <w:szCs w:val="16"/>
                <w:color w:val="auto"/>
              </w:rPr>
              <w:t xml:space="preserve">Total reportable segments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29"/>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Corporate and 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147.6 %</w:t>
            </w: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ind w:left="120"/>
              <w:spacing w:after="0" w:line="224" w:lineRule="exact"/>
              <w:rPr>
                <w:sz w:val="20"/>
                <w:szCs w:val="20"/>
                <w:color w:val="auto"/>
              </w:rPr>
            </w:pPr>
            <w:r>
              <w:rPr>
                <w:rFonts w:ascii="Arial" w:cs="Arial" w:eastAsia="Arial" w:hAnsi="Arial"/>
                <w:sz w:val="16"/>
                <w:szCs w:val="16"/>
                <w:color w:val="auto"/>
              </w:rPr>
              <w:t xml:space="preserve">Total Operating profit (loss)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9"/>
          <w:szCs w:val="9"/>
          <w:i w:val="1"/>
          <w:iCs w:val="1"/>
          <w:color w:val="auto"/>
        </w:rPr>
      </w:pPr>
      <w:r>
        <w:rPr>
          <w:rFonts w:ascii="Arial" w:cs="Arial" w:eastAsia="Arial" w:hAnsi="Arial"/>
          <w:sz w:val="14"/>
          <w:szCs w:val="14"/>
          <w:i w:val="1"/>
          <w:iCs w:val="1"/>
          <w:color w:val="auto"/>
        </w:rPr>
        <w:t>% Change is not meaningful ("NM")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Wizards of the Coast and Digital Gaming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Wizards of the Coast and Digital Gaming segment net revenues by category: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Nine Months Ended</w:t>
            </w:r>
          </w:p>
        </w:tc>
        <w:tc>
          <w:tcPr>
            <w:tcW w:w="1660" w:type="dxa"/>
            <w:vAlign w:val="bottom"/>
            <w:tcBorders>
              <w:bottom w:val="single" w:sz="8" w:color="auto"/>
            </w:tcBorders>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660" w:type="dxa"/>
            <w:vAlign w:val="bottom"/>
          </w:tcPr>
          <w:p>
            <w:pPr>
              <w:jc w:val="right"/>
              <w:ind w:right="67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Tabletop Gaming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34.4 %</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Digital and Licensed Gaming</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Wizards of the Coast and Digital Gaming segment net revenues increased 28.0% in the first nine months of 2026 to $1,993.0 million from</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$1,556.5 million in the first nine months of 2025. Tabletop Gaming revenue increased $410.2 million, or 34.4%, behind growth in </w:t>
      </w:r>
      <w:r>
        <w:rPr>
          <w:rFonts w:ascii="Arial" w:cs="Arial" w:eastAsia="Arial" w:hAnsi="Arial"/>
          <w:sz w:val="18"/>
          <w:szCs w:val="18"/>
          <w:i w:val="1"/>
          <w:iCs w:val="1"/>
          <w:color w:val="auto"/>
        </w:rPr>
        <w:t>Magic: The</w:t>
      </w:r>
      <w:r>
        <w:rPr>
          <w:rFonts w:ascii="Arial" w:cs="Arial" w:eastAsia="Arial" w:hAnsi="Arial"/>
          <w:sz w:val="18"/>
          <w:szCs w:val="18"/>
          <w:color w:val="auto"/>
        </w:rPr>
        <w:t xml:space="preserve"> </w:t>
      </w:r>
      <w:r>
        <w:rPr>
          <w:rFonts w:ascii="Arial" w:cs="Arial" w:eastAsia="Arial" w:hAnsi="Arial"/>
          <w:sz w:val="18"/>
          <w:szCs w:val="18"/>
          <w:i w:val="1"/>
          <w:iCs w:val="1"/>
          <w:color w:val="auto"/>
        </w:rPr>
        <w:t>Gathering</w:t>
      </w:r>
      <w:r>
        <w:rPr>
          <w:rFonts w:ascii="Arial" w:cs="Arial" w:eastAsia="Arial" w:hAnsi="Arial"/>
          <w:sz w:val="18"/>
          <w:szCs w:val="18"/>
          <w:color w:val="auto"/>
        </w:rPr>
        <w:t>, primarily due to strong demand for</w:t>
      </w:r>
      <w:r>
        <w:rPr>
          <w:rFonts w:ascii="Arial" w:cs="Arial" w:eastAsia="Arial" w:hAnsi="Arial"/>
          <w:sz w:val="18"/>
          <w:szCs w:val="18"/>
          <w:i w:val="1"/>
          <w:iCs w:val="1"/>
          <w:color w:val="auto"/>
        </w:rPr>
        <w:t xml:space="preserve"> Lorwyn Eclipsed </w:t>
      </w:r>
      <w:r>
        <w:rPr>
          <w:rFonts w:ascii="Arial" w:cs="Arial" w:eastAsia="Arial" w:hAnsi="Arial"/>
          <w:sz w:val="18"/>
          <w:szCs w:val="18"/>
          <w:color w:val="auto"/>
        </w:rPr>
        <w:t>and</w:t>
      </w:r>
      <w:r>
        <w:rPr>
          <w:rFonts w:ascii="Arial" w:cs="Arial" w:eastAsia="Arial" w:hAnsi="Arial"/>
          <w:sz w:val="18"/>
          <w:szCs w:val="18"/>
          <w:i w:val="1"/>
          <w:iCs w:val="1"/>
          <w:color w:val="auto"/>
        </w:rPr>
        <w:t xml:space="preserve"> Secrets of Strixhaven</w:t>
      </w:r>
      <w:r>
        <w:rPr>
          <w:rFonts w:ascii="Arial" w:cs="Arial" w:eastAsia="Arial" w:hAnsi="Arial"/>
          <w:sz w:val="18"/>
          <w:szCs w:val="18"/>
          <w:color w:val="auto"/>
        </w:rPr>
        <w:t>, as well as Universes Beyond sets such as</w:t>
      </w:r>
      <w:r>
        <w:rPr>
          <w:rFonts w:ascii="Arial" w:cs="Arial" w:eastAsia="Arial" w:hAnsi="Arial"/>
          <w:sz w:val="18"/>
          <w:szCs w:val="18"/>
          <w:i w:val="1"/>
          <w:iCs w:val="1"/>
          <w:color w:val="auto"/>
        </w:rPr>
        <w:t xml:space="preserve"> Teenage Mutant Ninja Turtles, Marvel Super Heroes</w:t>
      </w:r>
      <w:r>
        <w:rPr>
          <w:rFonts w:ascii="Arial" w:cs="Arial" w:eastAsia="Arial" w:hAnsi="Arial"/>
          <w:sz w:val="18"/>
          <w:szCs w:val="18"/>
          <w:color w:val="auto"/>
        </w:rPr>
        <w:t>, and</w:t>
      </w:r>
      <w:r>
        <w:rPr>
          <w:rFonts w:ascii="Arial" w:cs="Arial" w:eastAsia="Arial" w:hAnsi="Arial"/>
          <w:sz w:val="18"/>
          <w:szCs w:val="18"/>
          <w:i w:val="1"/>
          <w:iCs w:val="1"/>
          <w:color w:val="auto"/>
        </w:rPr>
        <w:t xml:space="preserve"> The Hobbit</w:t>
      </w:r>
      <w:r>
        <w:rPr>
          <w:rFonts w:ascii="Arial" w:cs="Arial" w:eastAsia="Arial" w:hAnsi="Arial"/>
          <w:sz w:val="18"/>
          <w:szCs w:val="18"/>
          <w:color w:val="auto"/>
        </w:rPr>
        <w:t>. This growth was accompanied by an increase in digital and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gaming, particularly an increase in revenue related to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Wizards of the Coast and Digital Gaming segment Operating profit was $935.1 million, or 46.9% of segment net revenues for the first nine months of 2026, compared to Operating profit of $723.3 million, or 46.5% of segment net revenues, for the first nine months of 2025. The Operating profit increase during the first nine months of 2026 was primarily driven by increased net revenues, as discussed above, as well as the recording of $ 6.6 million of IEEPA tariff refunds during the period, offset by a one-time $56.4 million non-cash impairment charge related to the Company's decision to refocus the Digital Games portfolio, which included the cancellation of certain titles scheduled for release in 2028 and beyond.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Consumer Products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Consumer Products segment net revenues by major geographic region: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Nine Months Ended</w:t>
            </w:r>
          </w:p>
        </w:tc>
        <w:tc>
          <w:tcPr>
            <w:tcW w:w="1660" w:type="dxa"/>
            <w:vAlign w:val="bottom"/>
            <w:tcBorders>
              <w:bottom w:val="single" w:sz="8" w:color="auto"/>
            </w:tcBorders>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660" w:type="dxa"/>
            <w:vAlign w:val="bottom"/>
          </w:tcPr>
          <w:p>
            <w:pPr>
              <w:jc w:val="right"/>
              <w:ind w:right="67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28"/>
        </w:trPr>
        <w:tc>
          <w:tcPr>
            <w:tcW w:w="6320" w:type="dxa"/>
            <w:vAlign w:val="bottom"/>
          </w:tcPr>
          <w:p>
            <w:pPr>
              <w:ind w:left="20"/>
              <w:spacing w:after="0"/>
              <w:rPr>
                <w:sz w:val="20"/>
                <w:szCs w:val="20"/>
                <w:color w:val="auto"/>
              </w:rPr>
            </w:pPr>
            <w:r>
              <w:rPr>
                <w:rFonts w:ascii="Arial" w:cs="Arial" w:eastAsia="Arial" w:hAnsi="Arial"/>
                <w:sz w:val="16"/>
                <w:szCs w:val="16"/>
                <w:color w:val="auto"/>
              </w:rPr>
              <w:t>Europe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The Consumer Products segment net revenues increased 3.1% to $1,688.8 million for the first nine months of 2026 compared to $1,637.6 million for the first nine months of 2025. The net revenue increase primarily reflects higher toy and game revenues, particularly for certain</w:t>
      </w:r>
    </w:p>
    <w:p>
      <w:pPr>
        <w:ind w:right="60"/>
        <w:spacing w:after="0"/>
        <w:rPr>
          <w:sz w:val="20"/>
          <w:szCs w:val="20"/>
          <w:color w:val="auto"/>
        </w:rPr>
      </w:pPr>
      <w:r>
        <w:rPr>
          <w:rFonts w:ascii="Arial" w:cs="Arial" w:eastAsia="Arial" w:hAnsi="Arial"/>
          <w:sz w:val="17"/>
          <w:szCs w:val="17"/>
          <w:color w:val="auto"/>
        </w:rPr>
        <w:t xml:space="preserve">Grow Brands such as </w:t>
      </w:r>
      <w:r>
        <w:rPr>
          <w:rFonts w:ascii="Arial" w:cs="Arial" w:eastAsia="Arial" w:hAnsi="Arial"/>
          <w:sz w:val="17"/>
          <w:szCs w:val="17"/>
          <w:i w:val="1"/>
          <w:iCs w:val="1"/>
          <w:color w:val="auto"/>
        </w:rPr>
        <w:t>Marvel</w:t>
      </w:r>
      <w:r>
        <w:rPr>
          <w:rFonts w:ascii="Arial" w:cs="Arial" w:eastAsia="Arial" w:hAnsi="Arial"/>
          <w:sz w:val="17"/>
          <w:szCs w:val="17"/>
          <w:color w:val="auto"/>
        </w:rPr>
        <w:t xml:space="preserve"> and </w:t>
      </w:r>
      <w:r>
        <w:rPr>
          <w:rFonts w:ascii="Arial" w:cs="Arial" w:eastAsia="Arial" w:hAnsi="Arial"/>
          <w:sz w:val="17"/>
          <w:szCs w:val="17"/>
          <w:i w:val="1"/>
          <w:iCs w:val="1"/>
          <w:color w:val="auto"/>
        </w:rPr>
        <w:t>Star Wars</w:t>
      </w:r>
      <w:r>
        <w:rPr>
          <w:rFonts w:ascii="Arial" w:cs="Arial" w:eastAsia="Arial" w:hAnsi="Arial"/>
          <w:sz w:val="17"/>
          <w:szCs w:val="17"/>
          <w:color w:val="auto"/>
        </w:rPr>
        <w:t>, which were positively impacted by a rise in demand in advance of major theatrical releases throughout 2026 with no comparable releases in the prior year. Growth in Consumer Products was also driven by the sale of toys and games</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KPop Demon Hunters</w:t>
      </w:r>
      <w:r>
        <w:rPr>
          <w:rFonts w:ascii="Arial" w:cs="Arial" w:eastAsia="Arial" w:hAnsi="Arial"/>
          <w:sz w:val="18"/>
          <w:szCs w:val="18"/>
          <w:color w:val="auto"/>
        </w:rPr>
        <w:t xml:space="preserve">, which were released for the first time in 2026, as well as higher sales of </w:t>
      </w:r>
      <w:r>
        <w:rPr>
          <w:rFonts w:ascii="Arial" w:cs="Arial" w:eastAsia="Arial" w:hAnsi="Arial"/>
          <w:sz w:val="18"/>
          <w:szCs w:val="18"/>
          <w:i w:val="1"/>
          <w:iCs w:val="1"/>
          <w:color w:val="auto"/>
        </w:rPr>
        <w:t>Beyblade</w:t>
      </w:r>
      <w:r>
        <w:rPr>
          <w:rFonts w:ascii="Arial" w:cs="Arial" w:eastAsia="Arial" w:hAnsi="Arial"/>
          <w:sz w:val="18"/>
          <w:szCs w:val="18"/>
          <w:color w:val="auto"/>
        </w:rPr>
        <w:t xml:space="preserve">. The increase in toy and game revenues was partially offset by a decrease in licensing revenues, primarily attributable to the lapping of licensing revenue related to </w:t>
      </w:r>
      <w:r>
        <w:rPr>
          <w:rFonts w:ascii="Arial" w:cs="Arial" w:eastAsia="Arial" w:hAnsi="Arial"/>
          <w:sz w:val="18"/>
          <w:szCs w:val="18"/>
          <w:i w:val="1"/>
          <w:iCs w:val="1"/>
          <w:color w:val="auto"/>
        </w:rPr>
        <w:t>My Little</w:t>
      </w:r>
      <w:r>
        <w:rPr>
          <w:rFonts w:ascii="Arial" w:cs="Arial" w:eastAsia="Arial" w:hAnsi="Arial"/>
          <w:sz w:val="18"/>
          <w:szCs w:val="18"/>
          <w:color w:val="auto"/>
        </w:rPr>
        <w:t xml:space="preserve"> </w:t>
      </w:r>
      <w:r>
        <w:rPr>
          <w:rFonts w:ascii="Arial" w:cs="Arial" w:eastAsia="Arial" w:hAnsi="Arial"/>
          <w:sz w:val="18"/>
          <w:szCs w:val="18"/>
          <w:i w:val="1"/>
          <w:iCs w:val="1"/>
          <w:color w:val="auto"/>
        </w:rPr>
        <w:t>Pony</w:t>
      </w:r>
      <w:r>
        <w:rPr>
          <w:rFonts w:ascii="Arial" w:cs="Arial" w:eastAsia="Arial" w:hAnsi="Arial"/>
          <w:sz w:val="18"/>
          <w:szCs w:val="18"/>
          <w:color w:val="auto"/>
        </w:rPr>
        <w:t>, which decreased $11.1 million. Consumer Products net revenues were also negatively impacted by order processing,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invoicing disruptions during the second quarter resulting from the unauthorized network access, as described in Note 2, Unauthorized Network Access.</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Consumer Products segment Operating profit for the first nine months of 2026 was $111.8 million, or 6.6% of segment net revenues, compared to a segment Operating loss of $993.4 million, or 60.7% of segment net revenues, for the first nine months of 2025. The change in Operating profit in the first nine months of 2026 was primarily driven by the non-cash goodwill impairment charge of $1,021.9 million recorded during 2025, as well as the recording of $47.9 million of IEEPA tariff benefit during the period and productivity improvements.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Entertainment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Entertainment segment net revenues by category: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Nine Months Ended</w:t>
            </w:r>
          </w:p>
        </w:tc>
        <w:tc>
          <w:tcPr>
            <w:tcW w:w="1660" w:type="dxa"/>
            <w:vAlign w:val="bottom"/>
            <w:tcBorders>
              <w:bottom w:val="single" w:sz="8" w:color="auto"/>
            </w:tcBorders>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28,</w:t>
            </w:r>
          </w:p>
        </w:tc>
        <w:tc>
          <w:tcPr>
            <w:tcW w:w="1660" w:type="dxa"/>
            <w:vAlign w:val="bottom"/>
          </w:tcPr>
          <w:p>
            <w:pPr>
              <w:jc w:val="right"/>
              <w:ind w:right="679"/>
              <w:spacing w:after="0" w:line="169"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Family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2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Film and TV</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Entertainment segment net revenues decreased 13.1% to $53.3 million for the first nine months of 2026, compared to $ 61.3 million for the first nine months of 2025. The net revenue decrease in the Entertainment segment during the first nine months of 2026 was driven primarily by timing of entertainment streaming renewals and other content deals.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Entertainment segment Operating profit was $40.0 million, or 75.0% of segment net revenues, for the first nine months of 2026, compared to an Operating profit of $2.6 million, or 4.2% of segment net revenues, for the first nine months of 2025. The increase in Operating profit in the Entertainment segment during the first nine months of 2026 was driven by the non-recurring $25.0 million Loss on disposal of business that was recorded in 2025, as well as a decrease in program cost amortization and the amortization of intangible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Corporate and other expense was $46.8 million for the first nine months of 2026 compared to Corporate and other expense of $18.9 million for the first nine months of 2025. Corporate and other expense in the first nine months of 2026 was higher when compared to the first nine months of 2025 as a result of incremental costs incurred related to the unauthorized network access described above, as well as increases in personnel related costs, including increased severance expense corresponding to our Operational Excellence program.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 and Contingencies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 to Item 7 of our 2025 Form 10-K for additional information regarding the Company’s cash obligations and commitments as of the end of fiscal year 2025. Additionally, refer to Note 16, Commitments and Contingencies, to the consolidated financial statements for a discussion of the Company’s commitments and contingencies. Contractual obligations and commercial commitments, as detailed in the Company's 2025 Form 10-K, did not materially change outside of certain payments made in the normal course of business and as otherwise set forth in this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1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has historically generated a significant amount of cash from operations. The Company primarily funds its operations and liquidity needs through cash on hand and from cash flows from operations, and when needed, borrowings under its commercial paper program and available lines of credit.</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w:t>
      </w:r>
    </w:p>
    <w:p>
      <w:pPr>
        <w:spacing w:after="0" w:line="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three and nine months ended September 27, 2026, Hasbro recorded a total of $54.5 million of tariff recoveries as a reduction to Cost of sales within the Consolidated Statements of Operations. Of this amount, $41.5 million was received as cash, with the remainder recorded as a receivable within Prepaid expenses and other current assets on the Consolidated Balance Sheets. The Company expects to receive the remaining $13.0 million of Phase 2 and Phase 3 IEEPA tariff refunds within the next six months. Significant changes in trade policy announced by the U.S. government could adversely impact our forward-looking financial results, including the timing and extent of cash flows based upon timing in customer buying patterns and changes in our supply chain sourcing strategies. The ultimate amount and timing of these remaining recoveries remain subject to CBP's administrative processing and resolution of related CIT proceedings. These amounts could further impact our results in 2026 and, to a lesser extent, 2027.</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September 27, 2026, the Company's cash and cash equivalents totaled $850.7 million and the Company's Short-term investments totaled $576.2 million. The majority of the Company’s cash and cash equivalents held outside of the United States as of September 27, 2026 are denominated in the U.S. dollar.</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September 27, 2026, the Company had no outstanding borrowings related to the commercial paper program.</w:t>
      </w:r>
    </w:p>
    <w:p>
      <w:pPr>
        <w:spacing w:after="0" w:line="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February 20, 2026, the Company entered into a Fourth Amended and Restated Revolving Credit Agreement which amended and restated the third amended and restated revolving credit agreement to extend the maturity date through February 20, 2031 and reduce the aggregate principal amount to $ 1.1 billion. The revolving credit facility also provides for a potential additional incremental commitment increase of up to $550.0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September 27, 2026. The Company had no borrowings outstanding under its revolving credit facility as of September 27, 2026. However, letters of credit outstanding under this facility as of September 27, 2026 were approximately $ 3.3 million. Amounts available and unused under the revolving credit facility at September 27, 2026 were approximately $1.1 billion, inclusive of borrowings under the Company’s commercial paper program. The Company also has other uncommitted lines from various banks, of which approximately $ 7.5 million was utilized as of September 27, 2026. Of the amount utilized under, or supported by, the uncommitted lines, the full $7.5 million represented letters of credit.</w:t>
      </w:r>
    </w:p>
    <w:p>
      <w:pPr>
        <w:spacing w:after="0" w:line="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of September 27, 2026, the Company had $3.5 billion of long-term debt due at varying times from 2026 through 2044. Of the total principal amount of long-term debt, $893.9 million is current as of September 27, 2026 which represents the Company's 3.55% fixed-rate notes due November 2026 (the "2026 Notes") and the Company's 3.50% fixed-rate notes due September 2027 (the "2027 Notes").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p>
      <w:pPr>
        <w:ind w:right="100"/>
        <w:spacing w:after="0" w:line="256" w:lineRule="auto"/>
        <w:rPr>
          <w:sz w:val="20"/>
          <w:szCs w:val="20"/>
          <w:color w:val="auto"/>
        </w:rPr>
      </w:pPr>
      <w:r>
        <w:rPr>
          <w:rFonts w:ascii="Arial" w:cs="Arial" w:eastAsia="Arial" w:hAnsi="Arial"/>
          <w:sz w:val="18"/>
          <w:szCs w:val="18"/>
          <w:color w:val="auto"/>
        </w:rPr>
        <w:t>In March 2026, the Company issued an aggregate of $400.0 million in senior unsecured debt securities that bear a fixed interest rate of 4.65% due 2031 (the "2031 Notes"). The 2031 Notes were issued with an original issuance discount of $0.6 million and the Company capitalized $ 3.7 million of debt issuance costs. The original issuance discount and debt issuance costs will be amortized over the term of the 2031 Notes. As of September 27, 2026, the Company has invested the proceeds from the 2031 Notes into Short-term investments that are expected to be utilized to repay the 2026 Notes, while simultaneously using any excess funds to repurchase longer-dated outstanding debt. In addition, the Company has also invested incremental cash on-hand to further pre-fund a portion of the impending maturity of the 2027 Notes.</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 During 2026, the Company has repurchased $154.1 million of outstanding debt.</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obligations confirmed under the supplier finance program that remain unpaid by the Company were $118.8 million,</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$100.1 million, and $ 45.7 million as of September 27, 2026, September 28, 2025 and December 28, 2025, respectively. These obligations are presented within Accounts payable in the Company's Consolidated Balance Sheets. The activity related to this program is reflected within the operating activities section of the Consolidated Statements of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7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line="169" w:lineRule="exact"/>
              <w:rPr>
                <w:sz w:val="20"/>
                <w:szCs w:val="20"/>
                <w:color w:val="auto"/>
              </w:rPr>
            </w:pPr>
            <w:r>
              <w:rPr>
                <w:rFonts w:ascii="Arial" w:cs="Arial" w:eastAsia="Arial" w:hAnsi="Arial"/>
                <w:sz w:val="16"/>
                <w:szCs w:val="16"/>
                <w:b w:val="1"/>
                <w:bCs w:val="1"/>
                <w:color w:val="auto"/>
              </w:rPr>
              <w:t>September 27,</w:t>
            </w:r>
          </w:p>
        </w:tc>
        <w:tc>
          <w:tcPr>
            <w:tcW w:w="180" w:type="dxa"/>
            <w:vAlign w:val="bottom"/>
          </w:tcPr>
          <w:p>
            <w:pPr>
              <w:spacing w:after="0"/>
              <w:rPr>
                <w:sz w:val="14"/>
                <w:szCs w:val="14"/>
                <w:color w:val="auto"/>
              </w:rPr>
            </w:pPr>
          </w:p>
        </w:tc>
        <w:tc>
          <w:tcPr>
            <w:tcW w:w="1420" w:type="dxa"/>
            <w:vAlign w:val="bottom"/>
          </w:tcPr>
          <w:p>
            <w:pPr>
              <w:jc w:val="center"/>
              <w:ind w:right="9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7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(utilized) by: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8"/>
        </w:trPr>
        <w:tc>
          <w:tcPr>
            <w:tcW w:w="792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center"/>
              <w:ind w:left="799"/>
              <w:spacing w:after="0"/>
              <w:rPr>
                <w:sz w:val="20"/>
                <w:szCs w:val="20"/>
                <w:color w:val="auto"/>
              </w:rPr>
            </w:pPr>
            <w:r>
              <w:rPr>
                <w:rFonts w:ascii="Arial" w:cs="Arial" w:eastAsia="Arial" w:hAnsi="Arial"/>
                <w:sz w:val="16"/>
                <w:szCs w:val="16"/>
                <w:color w:val="auto"/>
              </w:rPr>
              <w:t>907.3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center"/>
              <w:ind w:left="779"/>
              <w:spacing w:after="0"/>
              <w:rPr>
                <w:sz w:val="20"/>
                <w:szCs w:val="20"/>
                <w:color w:val="auto"/>
              </w:rPr>
            </w:pPr>
            <w:r>
              <w:rPr>
                <w:rFonts w:ascii="Arial" w:cs="Arial" w:eastAsia="Arial" w:hAnsi="Arial"/>
                <w:sz w:val="16"/>
                <w:szCs w:val="16"/>
                <w:color w:val="auto"/>
                <w:w w:val="99"/>
              </w:rPr>
              <w:t>490.0</w:t>
            </w:r>
          </w:p>
        </w:tc>
      </w:tr>
      <w:tr>
        <w:trPr>
          <w:trHeight w:val="231"/>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(618.4)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(191.8)</w:t>
            </w:r>
          </w:p>
        </w:tc>
      </w:tr>
      <w:tr>
        <w:trPr>
          <w:trHeight w:val="228"/>
        </w:trPr>
        <w:tc>
          <w:tcPr>
            <w:tcW w:w="792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center"/>
              <w:ind w:left="779"/>
              <w:spacing w:after="0"/>
              <w:rPr>
                <w:sz w:val="20"/>
                <w:szCs w:val="20"/>
                <w:color w:val="auto"/>
              </w:rPr>
            </w:pPr>
            <w:r>
              <w:rPr>
                <w:rFonts w:ascii="Arial" w:cs="Arial" w:eastAsia="Arial" w:hAnsi="Arial"/>
                <w:sz w:val="16"/>
                <w:szCs w:val="16"/>
                <w:color w:val="auto"/>
              </w:rPr>
              <w:t>(214.5)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center"/>
              <w:ind w:left="779"/>
              <w:spacing w:after="0"/>
              <w:rPr>
                <w:sz w:val="20"/>
                <w:szCs w:val="20"/>
                <w:color w:val="auto"/>
              </w:rPr>
            </w:pPr>
            <w:r>
              <w:rPr>
                <w:rFonts w:ascii="Arial" w:cs="Arial" w:eastAsia="Arial" w:hAnsi="Arial"/>
                <w:sz w:val="16"/>
                <w:szCs w:val="16"/>
                <w:color w:val="auto"/>
              </w:rPr>
              <w:t>(375.1)</w:t>
            </w:r>
          </w:p>
        </w:tc>
      </w:tr>
    </w:tbl>
    <w:p>
      <w:pPr>
        <w:spacing w:after="0" w:line="18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Net cash provided by Operating activities in the first nine months of 2026 was $ 907.3 million compared to $490.0 million in the first nine months of 2025. The $417.3 million increase in net cash provided by Operating activities after adjusting for non-cash items, was primarily attributable to improved operating results, $43.4 million of proceeds received in 2026 relating to IEEPA tariff refunds, and a non-recurring $57.4 million repatriation tax payment that occurred in 2025.</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utilized by Investing activities was $618.4 million in the first nine months of 2026 compared to $191.8 million in the first nine months of 2025. Additions to property, plant and equipment and software were $ 70.7 million and $77.8 million in the first nine months of 2026, respectively, compared to $49.6 million and $98.6 million in the first nine months of 2025, respectively. Additionally, purchases of Short-term investments of $ 472.7 million, which represent prefunding of future debt maturities with U.S. Treasury securities, occurred in the first nine months of 2026, compared to net purchases of $ 55.2 million in the first nine months of 2025. The level of purchases during 2026 was impacted by the intent to utilize the investments, together with available cash, to repay indebtedness of the Company that is due in November 2026 and September 2027.</w:t>
      </w:r>
    </w:p>
    <w:p>
      <w:pPr>
        <w:spacing w:after="0" w:line="7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cash utilized by Financing activities was $214.5 million in the first nine months of 2026 compared to net cash utilized by Financing activities of $375.1 million in the first nine months of 2025. The primary source of cash inflows during first nine months of 2026 was $399.4 million of proceeds from the issuance of the 2031 Notes, offset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6" w:name="page47"/>
    <w:bookmarkEnd w:id="46"/>
    <w:p>
      <w:pPr>
        <w:spacing w:after="0" w:line="255" w:lineRule="auto"/>
        <w:rPr>
          <w:sz w:val="20"/>
          <w:szCs w:val="20"/>
          <w:color w:val="auto"/>
        </w:rPr>
      </w:pPr>
      <w:r>
        <w:rPr>
          <w:rFonts w:ascii="Arial" w:cs="Arial" w:eastAsia="Arial" w:hAnsi="Arial"/>
          <w:sz w:val="18"/>
          <w:szCs w:val="18"/>
          <w:color w:val="auto"/>
        </w:rPr>
        <w:t>dividends paid of $296.1 million, repayments of long-term debt of $152.5 million, and $46.9 million of payments related to tax withholdings for share compensation coinciding with equity award vesting activity. Share repurchases during the first nine months of 2026 include $149.3 million of Common Stock under a share repurchase authorization approved by the Company's Board of Directors in February 2026. As of September 27, 2026, there is $ 848 million remaining on the share repurchase authorization. Based on the continued strength of its cash flow, the Company has increased its 2026 share repurchase target to $ 400 million and expects to continue repurchasing shares throughout the balance of the year. Financing activities in the first nine months of 2025 included dividends paid of $294.2 million, repayments of long-term debt of $63.5 million, and $21.8 million of payments related to tax withholdings for share compensation coinciding with equity award vesting activity.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prepared the consolidated financial statements in accordance with accounting principles generally accepted in the United States, which require us to make estimates and assumptions that affect the reported amounts of assets and liabilities at the date of the consolidated financial statements and revenues and expenses during the periods reported. These estimates are based on our best judgment about current and future conditions, but actual results could differ from those estimates. Information with respect to accounting estimates that are the most critical to the understanding of our financial statements as they could have the most significant effect on our reported results and require subjective or complex judgments by management is contained in Item 7, Management’s Discussion and Analysis of Financial Condition and Results of Operations, of our Annual Report on Form 10-K for the fiscal year ended December 28, 2025. We believe that at September 27, 2026, there has been no material change to this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1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and Mexican peso and, to a lesser extent, other currencies in Latin America and Asia Pacific countries.</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6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Company reflects all derivative financial instruments at their fair value as an asset or liability on the Consolidated Balance Sheets. The Company does not speculate in foreign currency exchange contracts. Refer to Note 14, Derivative Financial Instruments, to the Company’s consolidated financial statements for further details on the Company's derivative financial instruments.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27, 2026, the Company had fixed-rate debt of $3.5 billion.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Inflation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spending. Additionally, the impact of inflation on costs and availability of materials, costs for shipping and warehousing and other operational overhead, could adversely affect the Company's financial results.</w:t>
      </w:r>
    </w:p>
    <w:p>
      <w:pPr>
        <w:spacing w:after="0" w:line="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7" w:name="page48"/>
    <w:bookmarkEnd w:id="47"/>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27, 2026. Based on the evaluation of these disclosure controls and procedures, the Chief Executive Officer and Chief Financial Officer concluded that the Company's disclosure controls and procedures were effective.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late March 2026, the Company identified unauthorized access to its network. Upon discovery, the Company promptly activated its security incident response protocols, implemented containment measures, including proactively taking certain systems offline, and launched an investigation with the assistance of third-party cybersecurity professionals. Simultaneously, the Company implemented its business continuity plans, including manual ordering and processing procedures at a reduced rate of operations in order to continue servicing its customers. However, the incident resulted in disruptions to the Company's standard business operations and internal control over financial reporting during the second quarter. During the disruptions caused by the unauthorized access, the Company deployed additional manual controls in response to preventatively taking certain systems offline to maintain our internal control over financial reporting. As of June 28, 2026, the Company's standard business operations and internal control over financial reporting had resumed and were operating consistent with our pre-incident internal control over financial reporting.</w:t>
      </w:r>
    </w:p>
    <w:p>
      <w:pPr>
        <w:spacing w:after="0" w:line="7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September 27,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West Palm Beach Firefighters' Pension Fund v. Hasbro, Inc. et al., 24-cv-8633 (S.D.N.Y)</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On November 13, 2024, West Palm Beach Firefighters’ Pension Fund ("Lead Plaintiff") filed a putative class action lawsuit in the U.S. District Court for the Southern District of New York alleging violations of Sections 10(b) and 20(a) of the Securities Exchange Act of 1934 (the "Exchange Act") and certain rules promulgated thereunder. On November 26, 2025, Lead Plaintiff filed an amended complaint (the "Amended Complaint") on behalf of all persons and entities that purchased the Company’s securities between September 16, 2021 and October 26, 2023, inclusive (the “Alleged Class Period”). The Amended Complaint alleges violations of Sections 10(b) and 20(a) of the Exchange Act. In the Amended Complaint, Lead Plaintiff alleges that members of the putative class suffered losses as a result of Defendants’ false or misleading statements regarding the growth and success of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(“Magic”) card sets, including statements attributing Magic’s growth to a consumer-driven “segmentation” strategy, during the Alleged Class Period. Defendants moved to dismiss the Amended Complaint on February 6, 2026. The Company intends to vigorously defend against these claims. Due to the early stages of this matter, the Company is unable to estimate a reasonably possible range of loss, if any, that may result from this matter.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Actions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On August 19, 2025, Karen Sbriglio, derivatively on behalf of Hasbro, Inc., filed a putative shareholder derivative action against certain of the Company's executive officers and current and former members of the Board of Directors of the Company in Rhode Island Superior Court. </w:t>
      </w:r>
      <w:r>
        <w:rPr>
          <w:rFonts w:ascii="Arial" w:cs="Arial" w:eastAsia="Arial" w:hAnsi="Arial"/>
          <w:sz w:val="18"/>
          <w:szCs w:val="18"/>
          <w:i w:val="1"/>
          <w:iCs w:val="1"/>
          <w:color w:val="auto"/>
        </w:rPr>
        <w:t xml:space="preserve">Sbriglio v. Stoddart et al., </w:t>
      </w:r>
      <w:r>
        <w:rPr>
          <w:rFonts w:ascii="Arial" w:cs="Arial" w:eastAsia="Arial" w:hAnsi="Arial"/>
          <w:sz w:val="18"/>
          <w:szCs w:val="18"/>
          <w:color w:val="auto"/>
        </w:rPr>
        <w:t>PC-2025-04400 (Prov. City, RI). Plaintiff alleges the Board of Directors wrongfully refused a pre-suit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demand made on the Board relating to similar allegations described in the initial complaint in the West Palm Beach Firefighters' Pension Fund action. On September 10, 2026, Sbriglio amended its stockholder derivative complaint to add Huw T. Llewelyn as an additional plaintiff, and to revise the allegations in the complaint to be in line with the claims in the Amended Complaint described above.</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On August 22, 2026, Joseph Crocono and Ultan McGlone, derivatively on behalf of Hasbro, Inc., filed a putative shareholder derivative action against certain of the Company’s current and former executive officers and members of the Board of Directors of the Company in U.S. District Court for the District of Rhode Island. </w:t>
      </w:r>
      <w:r>
        <w:rPr>
          <w:rFonts w:ascii="Arial" w:cs="Arial" w:eastAsia="Arial" w:hAnsi="Arial"/>
          <w:sz w:val="18"/>
          <w:szCs w:val="18"/>
          <w:i w:val="1"/>
          <w:iCs w:val="1"/>
          <w:color w:val="auto"/>
        </w:rPr>
        <w:t>Crocono et al. v. Cocks et al.</w:t>
      </w:r>
      <w:r>
        <w:rPr>
          <w:rFonts w:ascii="Arial" w:cs="Arial" w:eastAsia="Arial" w:hAnsi="Arial"/>
          <w:sz w:val="18"/>
          <w:szCs w:val="18"/>
          <w:color w:val="auto"/>
        </w:rPr>
        <w:t>, Case No. 1.26-cv-0058. The allegations in the complaint are substantially similar to those in the Amended Complaint.</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parties in each of the Sbriglio and Crocono matters have stipulated to stay the case pending resolution of the motion to dismiss in the West Palm Beach Firefighters' Pension Fund action.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Matters</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Company is currently party to other certain legal proceedings, including a putative class action suit recently filed by Sheila Standing in the U.S. District Court for the District of Rhode Island against Hasbro, Inc., Case No. 1:26-cv-00219 (D.R.I.), alleging injuries and damages arising out of the Company's unauthorized network access. None of these other legal proceedings are believed to be material to our business or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12529"/>
        </w:rPr>
        <w:t xml:space="preserve">In connection with information set forth in this Quarterly Report on Form 10-Q, the risk factors discussed under Item 1A. Risk Factors, in Part I of our </w:t>
      </w:r>
      <w:r>
        <w:rPr>
          <w:rFonts w:ascii="Arial" w:cs="Arial" w:eastAsia="Arial" w:hAnsi="Arial"/>
          <w:sz w:val="18"/>
          <w:szCs w:val="18"/>
          <w:color w:val="000000"/>
        </w:rPr>
        <w:t>2025</w:t>
      </w:r>
      <w:r>
        <w:rPr>
          <w:rFonts w:ascii="Arial" w:cs="Arial" w:eastAsia="Arial" w:hAnsi="Arial"/>
          <w:sz w:val="18"/>
          <w:szCs w:val="18"/>
          <w:color w:val="212529"/>
        </w:rPr>
        <w:t xml:space="preserve"> Form 10-K and in our subsequent filings, including in this filing, should be considered. The risks set forth in our </w:t>
      </w:r>
      <w:r>
        <w:rPr>
          <w:rFonts w:ascii="Arial" w:cs="Arial" w:eastAsia="Arial" w:hAnsi="Arial"/>
          <w:sz w:val="18"/>
          <w:szCs w:val="18"/>
          <w:color w:val="000000"/>
        </w:rPr>
        <w:t>2025</w:t>
      </w:r>
      <w:r>
        <w:rPr>
          <w:rFonts w:ascii="Arial" w:cs="Arial" w:eastAsia="Arial" w:hAnsi="Arial"/>
          <w:sz w:val="18"/>
          <w:szCs w:val="18"/>
          <w:color w:val="212529"/>
        </w:rPr>
        <w:t xml:space="preserve"> Form 10-K and in our subsequent filings, including in this filing, could materially and adversely affect our business, financial condition, and results of operations. Except as set forth below, there are no material changes from the risk factors as previously disclosed in our </w:t>
      </w:r>
      <w:r>
        <w:rPr>
          <w:rFonts w:ascii="Arial" w:cs="Arial" w:eastAsia="Arial" w:hAnsi="Arial"/>
          <w:sz w:val="18"/>
          <w:szCs w:val="18"/>
          <w:color w:val="000000"/>
        </w:rPr>
        <w:t>2025</w:t>
      </w:r>
      <w:r>
        <w:rPr>
          <w:rFonts w:ascii="Arial" w:cs="Arial" w:eastAsia="Arial" w:hAnsi="Arial"/>
          <w:sz w:val="18"/>
          <w:szCs w:val="18"/>
          <w:color w:val="212529"/>
        </w:rPr>
        <w:t xml:space="preserve"> Form 10-K, in any of our subsequently filed reports or as otherwise set forth in this Quarterly Report.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significantly harmed as a result of compromise of our electronic data.</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and our third-party manufacturers and other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and our partners maintain systems and processes designed to protect this data, but notwithstanding such protective systems and processes, there have been, and in the future may be, intrusions, cyber-attacks, tampering, or other unauthorized access, whether intentional or unintentional, that have compromised, and could in the future, compromise the integrity and privacy of this data. Intrusions, cyber-attacks, tampering, and other unauthorized access continue to increase in frequency, sophistication and intensity, and are becoming increasingly difficult to detect and prevent. They are often carried out by motivated, well-</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9" w:name="page50"/>
    <w:bookmarkEnd w:id="49"/>
    <w:p>
      <w:pPr>
        <w:ind w:right="40"/>
        <w:spacing w:after="0" w:line="252" w:lineRule="auto"/>
        <w:rPr>
          <w:sz w:val="20"/>
          <w:szCs w:val="20"/>
          <w:color w:val="auto"/>
        </w:rPr>
      </w:pPr>
      <w:r>
        <w:rPr>
          <w:rFonts w:ascii="Arial" w:cs="Arial" w:eastAsia="Arial" w:hAnsi="Arial"/>
          <w:sz w:val="18"/>
          <w:szCs w:val="18"/>
          <w:color w:val="auto"/>
        </w:rPr>
        <w:t>resourced, skilled and persistent actors, including nation states, organized crime groups, “hacktivists” and employees or contractors acting with malicious intent. Intrusions, cyber-attacks, tampering, and other unauthorized access could include the deployment of harmful malware and key loggers, ransomware, a denial-of-service attack, a malicious website, artificial intelligence, the use of social engineering and other means to affect the confidentiality, integrity and availability of our or third-party technology systems and data. Intrusions, cyber-attacks, tampering, and other unauthorized access could also include supply chain attacks, which could cause a delay in the manufacturing of our products. In addition, we provide confidential and proprietary information to our third-party manufacturers and business partners to conduct our business. While we obtain assurances from those parties that they have systems and processes in place to protect such data, and where applicable, that they will take steps to assure the protections of such data by third parties, those manufacturers and partners may also be subject to data intrusion or otherwise compromise the protection of such data. The risk of data loss or breaches is heightened during uncertain economic times, changes in business strategy and reductions in workforce. Any compromise of the confidential data of our customers, consumers, suppliers, partners, employees or ourselves, or failure to prevent or mitigate the loss of or damage to this data through breach of our information technology systems, or those of our third party manufacturers and other business partners, as well as any related security incident response, containment, remediation, or mitigation efforts, could substantially disrupt our operations, result in delays of shipping products, result in delays in making or receiving payments, harm our customers, consumers, employees and other business partners, damage our reputation, violate applicable laws and regulations, subject us to potentially significant costs and liabilities and/or result in a loss of business that could be material.</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example, in late March 2026, we identified unauthorized access to our network. Upon discovery, we promptly activated our security incident response protocols, implemented containment measures, including proactively taking certain systems offline, and launched an investigation with the assistance of third-party cybersecurity professionals. The unauthorized access has since been contained and we have fully restored our systems and returned to standard business operations. Order processing, shipping and invoicing operated under pre-incident practices for the entirety of the third quarter.</w:t>
      </w:r>
    </w:p>
    <w:p>
      <w:pPr>
        <w:spacing w:after="0" w:line="7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Any further incidents of unauthorized access could result in adverse effects on our business, operations, financial results, and financial reporting; and any further impacts related to the unauthorized access or other similar unauthorized activity may result in increased costs, including from any legal proceedings. For more information, refer to Part I, Item 2. “Management’s Discussion and Analysis of Financial Condition and Results of Operations – Unauthorized Network Access” and Note 2 "Unauthorized Network Access."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2026, the Company announced that its Board of Directors authorized the repurchase of up to $1.0 billion in Common Stock, which may be repurchased in the open market or through privately negotiated transactions. This authorization replaces and supersedes all prior approved share repurchase authorization and has no expiration date.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spacing w:after="0" w:line="71" w:lineRule="exact"/>
        <w:rPr>
          <w:sz w:val="20"/>
          <w:szCs w:val="20"/>
          <w:color w:val="auto"/>
        </w:rPr>
      </w:pPr>
    </w:p>
    <w:p>
      <w:pPr>
        <w:ind w:right="320"/>
        <w:spacing w:after="0" w:line="284" w:lineRule="auto"/>
        <w:rPr>
          <w:sz w:val="20"/>
          <w:szCs w:val="20"/>
          <w:color w:val="auto"/>
        </w:rPr>
      </w:pPr>
      <w:r>
        <w:rPr>
          <w:rFonts w:ascii="Arial" w:cs="Arial" w:eastAsia="Arial" w:hAnsi="Arial"/>
          <w:sz w:val="18"/>
          <w:szCs w:val="18"/>
          <w:color w:val="auto"/>
        </w:rPr>
        <w:t>During the three months ended September 27, 2026, the Company's discretionary share repurchases, in millions of dollars except shares and per share data, were as follows:</w:t>
      </w:r>
    </w:p>
    <w:tbl>
      <w:tblPr>
        <w:tblLayout w:type="fixed"/>
        <w:tblInd w:w="0" w:type="dxa"/>
        <w:tblCellMar>
          <w:top w:w="0" w:type="dxa"/>
          <w:left w:w="0" w:type="dxa"/>
          <w:bottom w:w="0" w:type="dxa"/>
          <w:right w:w="0" w:type="dxa"/>
        </w:tblCellMar>
      </w:tblPr>
      <w:tr>
        <w:trPr>
          <w:trHeight w:val="163"/>
        </w:trPr>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9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Average Price Paid per</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Share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 Remaining</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2026 Fiscal Month</w:t>
            </w: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Repurchase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vMerge w:val="continue"/>
          </w:tcPr>
          <w:p>
            <w:pPr>
              <w:spacing w:after="0"/>
              <w:rPr>
                <w:sz w:val="18"/>
                <w:szCs w:val="18"/>
                <w:color w:val="auto"/>
              </w:rPr>
            </w:pPr>
          </w:p>
        </w:tc>
        <w:tc>
          <w:tcPr>
            <w:tcW w:w="1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Authorization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Authorization</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29 to July 26</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299,795</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299,795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color w:val="auto"/>
              </w:rPr>
              <w:t>July 27 to August 30</w:t>
            </w:r>
          </w:p>
        </w:tc>
        <w:tc>
          <w:tcPr>
            <w:tcW w:w="1840" w:type="dxa"/>
            <w:vAlign w:val="bottom"/>
          </w:tcPr>
          <w:p>
            <w:pPr>
              <w:jc w:val="right"/>
              <w:spacing w:after="0"/>
              <w:rPr>
                <w:sz w:val="20"/>
                <w:szCs w:val="20"/>
                <w:color w:val="auto"/>
              </w:rPr>
            </w:pPr>
            <w:r>
              <w:rPr>
                <w:rFonts w:ascii="Arial" w:cs="Arial" w:eastAsia="Arial" w:hAnsi="Arial"/>
                <w:sz w:val="16"/>
                <w:szCs w:val="16"/>
                <w:color w:val="auto"/>
              </w:rPr>
              <w:t>486,736</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486,736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 31 to September 27</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444,483</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444,483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1,231,014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September 27, 2026, Gina Goetter, our Chief Financial Officer and Chief Operating Officer, adopted a "Rule 10b5-1 trading arrangement" as defined in Item 408(c) of Regulation S-K. The arrangement was adopted on August 3, 2026, provides for the sale of up to an aggregate of 21,459 shares of our Common Stock, together with 100% of any net shares that may be issued pursuant to an outstanding performance share award. The plan expires on March 14, 2027 (or earlier, if all shares are sold). Except as described above, during the three months ended September 27, 2026, none of our other officers or directors adopted or terminated a "Rule 10b5-1 trading arrangement" or a "non-Rule 10b5-1 trading arrangement," as each term is defined in Item 408(a) and (c) of Regulation S-K.</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55" w:lineRule="exact"/>
        <w:rPr>
          <w:sz w:val="20"/>
          <w:szCs w:val="20"/>
          <w:color w:val="auto"/>
        </w:rPr>
      </w:pPr>
    </w:p>
    <w:p>
      <w:pPr>
        <w:ind w:left="1100" w:right="220" w:hanging="284"/>
        <w:spacing w:after="0" w:line="26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3.1 </w:t>
      </w:r>
      <w:hyperlink r:id="rId81">
        <w:r>
          <w:rPr>
            <w:rFonts w:ascii="Arial" w:cs="Arial" w:eastAsia="Arial" w:hAnsi="Arial"/>
            <w:sz w:val="14"/>
            <w:szCs w:val="14"/>
            <w:u w:val="single" w:color="auto"/>
            <w:color w:val="0000FF"/>
          </w:rPr>
          <w:t>Restated Articles of Incorporation of the Company. (Incorporated by reference to Exhibit 3.1 to the Company's Quarterly Report on Form 10-Q for the period</w:t>
        </w:r>
      </w:hyperlink>
      <w:r>
        <w:rPr>
          <w:rFonts w:ascii="Arial" w:cs="Arial" w:eastAsia="Arial" w:hAnsi="Arial"/>
          <w:sz w:val="14"/>
          <w:szCs w:val="14"/>
          <w:color w:val="auto"/>
        </w:rPr>
        <w:t xml:space="preserve"> </w:t>
      </w:r>
      <w:hyperlink r:id="rId81">
        <w:r>
          <w:rPr>
            <w:rFonts w:ascii="Arial" w:cs="Arial" w:eastAsia="Arial" w:hAnsi="Arial"/>
            <w:sz w:val="14"/>
            <w:szCs w:val="14"/>
            <w:u w:val="single" w:color="auto"/>
            <w:color w:val="0000FF"/>
          </w:rPr>
          <w:t>ended July 2, 2000,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1100" w:right="200" w:hanging="284"/>
        <w:spacing w:after="0" w:line="26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3.2 </w:t>
      </w:r>
      <w:hyperlink r:id="rId83">
        <w:r>
          <w:rPr>
            <w:rFonts w:ascii="Arial" w:cs="Arial" w:eastAsia="Arial" w:hAnsi="Arial"/>
            <w:sz w:val="14"/>
            <w:szCs w:val="14"/>
            <w:u w:val="single" w:color="auto"/>
            <w:color w:val="0000FF"/>
          </w:rPr>
          <w:t>Amendment to Articles of Incorporation, dated June 28, 2000. (Incorporated by reference to Exhibit 3.4 to the Company's Quarterly Report on Form 10-Q for</w:t>
        </w:r>
      </w:hyperlink>
      <w:r>
        <w:rPr>
          <w:rFonts w:ascii="Arial" w:cs="Arial" w:eastAsia="Arial" w:hAnsi="Arial"/>
          <w:sz w:val="14"/>
          <w:szCs w:val="14"/>
          <w:color w:val="auto"/>
        </w:rPr>
        <w:t xml:space="preserve"> </w:t>
      </w:r>
      <w:hyperlink r:id="rId83">
        <w:r>
          <w:rPr>
            <w:rFonts w:ascii="Arial" w:cs="Arial" w:eastAsia="Arial" w:hAnsi="Arial"/>
            <w:sz w:val="14"/>
            <w:szCs w:val="14"/>
            <w:u w:val="single" w:color="auto"/>
            <w:color w:val="0000FF"/>
          </w:rPr>
          <w:t>the period ended July 2, 2000, File No. 1-6682.)</w:t>
        </w:r>
      </w:hyperlink>
    </w:p>
    <w:p>
      <w:pPr>
        <w:spacing w:after="0" w:line="1" w:lineRule="exact"/>
        <w:rPr>
          <w:sz w:val="20"/>
          <w:szCs w:val="20"/>
          <w:color w:val="auto"/>
        </w:rPr>
      </w:pPr>
    </w:p>
    <w:p>
      <w:pPr>
        <w:ind w:left="1100" w:hanging="284"/>
        <w:spacing w:after="0" w:line="26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3.3 </w:t>
      </w:r>
      <w:hyperlink r:id="rId84">
        <w:r>
          <w:rPr>
            <w:rFonts w:ascii="Arial" w:cs="Arial" w:eastAsia="Arial" w:hAnsi="Arial"/>
            <w:sz w:val="14"/>
            <w:szCs w:val="14"/>
            <w:u w:val="single" w:color="auto"/>
            <w:color w:val="0000FF"/>
          </w:rPr>
          <w:t>Amendment to Articles of Incorporation, dated May 19, 2003. (Incorporated by reference to Exhibit 3.3 to the Company's Quarterly Report on Form 10-Q for the</w:t>
        </w:r>
      </w:hyperlink>
      <w:r>
        <w:rPr>
          <w:rFonts w:ascii="Arial" w:cs="Arial" w:eastAsia="Arial" w:hAnsi="Arial"/>
          <w:sz w:val="14"/>
          <w:szCs w:val="14"/>
          <w:color w:val="auto"/>
        </w:rPr>
        <w:t xml:space="preserve"> </w:t>
      </w:r>
      <w:hyperlink r:id="rId84">
        <w:r>
          <w:rPr>
            <w:rFonts w:ascii="Arial" w:cs="Arial" w:eastAsia="Arial" w:hAnsi="Arial"/>
            <w:sz w:val="14"/>
            <w:szCs w:val="14"/>
            <w:u w:val="single" w:color="auto"/>
            <w:color w:val="0000FF"/>
          </w:rPr>
          <w:t>period ended June 29, 2003,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1100" w:right="540" w:hanging="284"/>
        <w:spacing w:after="0" w:line="26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3.4 </w:t>
      </w:r>
      <w:hyperlink r:id="rId86">
        <w:r>
          <w:rPr>
            <w:rFonts w:ascii="Arial" w:cs="Arial" w:eastAsia="Arial" w:hAnsi="Arial"/>
            <w:sz w:val="14"/>
            <w:szCs w:val="14"/>
            <w:u w:val="single" w:color="auto"/>
            <w:color w:val="0000FF"/>
          </w:rPr>
          <w:t>Second Amended and Restated Bylaws of the Company (Incorporated by reference to Exhibit 3.1 to the Company’s Current Report on Form 8-K dated</w:t>
        </w:r>
      </w:hyperlink>
      <w:r>
        <w:rPr>
          <w:rFonts w:ascii="Arial" w:cs="Arial" w:eastAsia="Arial" w:hAnsi="Arial"/>
          <w:sz w:val="14"/>
          <w:szCs w:val="14"/>
          <w:color w:val="auto"/>
        </w:rPr>
        <w:t xml:space="preserve"> </w:t>
      </w:r>
      <w:hyperlink r:id="rId86">
        <w:r>
          <w:rPr>
            <w:rFonts w:ascii="Arial" w:cs="Arial" w:eastAsia="Arial" w:hAnsi="Arial"/>
            <w:sz w:val="14"/>
            <w:szCs w:val="14"/>
            <w:u w:val="single" w:color="auto"/>
            <w:color w:val="0000FF"/>
          </w:rPr>
          <w:t>September 30, 2022, File No. 1-6682.)</w:t>
        </w:r>
      </w:hyperlink>
    </w:p>
    <w:p>
      <w:pPr>
        <w:spacing w:after="0" w:line="1" w:lineRule="exact"/>
        <w:rPr>
          <w:sz w:val="20"/>
          <w:szCs w:val="20"/>
          <w:color w:val="auto"/>
        </w:rPr>
      </w:pPr>
    </w:p>
    <w:p>
      <w:pPr>
        <w:ind w:left="1100" w:right="160" w:hanging="284"/>
        <w:spacing w:after="0" w:line="26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3.5 </w:t>
      </w:r>
      <w:hyperlink r:id="rId87">
        <w:r>
          <w:rPr>
            <w:rFonts w:ascii="Arial" w:cs="Arial" w:eastAsia="Arial" w:hAnsi="Arial"/>
            <w:sz w:val="14"/>
            <w:szCs w:val="14"/>
            <w:u w:val="single" w:color="auto"/>
            <w:color w:val="0000FF"/>
          </w:rPr>
          <w:t>Certificate of Designations of Series C Junior Participating Preference Stock of Hasbro, Inc. dated June 29, 1999. (Incorporated by reference to Exhibit 3.2 to</w:t>
        </w:r>
      </w:hyperlink>
      <w:r>
        <w:rPr>
          <w:rFonts w:ascii="Arial" w:cs="Arial" w:eastAsia="Arial" w:hAnsi="Arial"/>
          <w:sz w:val="14"/>
          <w:szCs w:val="14"/>
          <w:color w:val="auto"/>
        </w:rPr>
        <w:t xml:space="preserve"> </w:t>
      </w:r>
      <w:hyperlink r:id="rId87">
        <w:r>
          <w:rPr>
            <w:rFonts w:ascii="Arial" w:cs="Arial" w:eastAsia="Arial" w:hAnsi="Arial"/>
            <w:sz w:val="14"/>
            <w:szCs w:val="14"/>
            <w:u w:val="single" w:color="auto"/>
            <w:color w:val="0000FF"/>
          </w:rPr>
          <w:t>the Company's Quarterly Report on Form 10-Q for the period ended July 2, 2000,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1100" w:right="340" w:hanging="284"/>
        <w:spacing w:after="0" w:line="26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3.6 </w:t>
      </w:r>
      <w:hyperlink r:id="rId89">
        <w:r>
          <w:rPr>
            <w:rFonts w:ascii="Arial" w:cs="Arial" w:eastAsia="Arial" w:hAnsi="Arial"/>
            <w:sz w:val="14"/>
            <w:szCs w:val="14"/>
            <w:u w:val="single" w:color="auto"/>
            <w:color w:val="0000FF"/>
          </w:rPr>
          <w:t>Certificate of Vote(s) authorizing a decrease of class or series of any class of shares. (Incorporated by reference to Exhibit 3.3 to the Company's Quarterly</w:t>
        </w:r>
      </w:hyperlink>
      <w:r>
        <w:rPr>
          <w:rFonts w:ascii="Arial" w:cs="Arial" w:eastAsia="Arial" w:hAnsi="Arial"/>
          <w:sz w:val="14"/>
          <w:szCs w:val="14"/>
          <w:color w:val="auto"/>
        </w:rPr>
        <w:t xml:space="preserve"> </w:t>
      </w:r>
      <w:hyperlink r:id="rId89">
        <w:r>
          <w:rPr>
            <w:rFonts w:ascii="Arial" w:cs="Arial" w:eastAsia="Arial" w:hAnsi="Arial"/>
            <w:sz w:val="14"/>
            <w:szCs w:val="14"/>
            <w:u w:val="single" w:color="auto"/>
            <w:color w:val="0000FF"/>
          </w:rPr>
          <w:t>Report on Form 10-Q for the period ended July 2, 2000, File No 1-6682.)</w:t>
        </w:r>
      </w:hyperlink>
    </w:p>
    <w:p>
      <w:pPr>
        <w:spacing w:after="0" w:line="1" w:lineRule="exact"/>
        <w:rPr>
          <w:sz w:val="20"/>
          <w:szCs w:val="20"/>
          <w:color w:val="auto"/>
        </w:rPr>
      </w:pPr>
    </w:p>
    <w:p>
      <w:pPr>
        <w:ind w:left="1100" w:right="100" w:hanging="284"/>
        <w:spacing w:after="0" w:line="26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4.1 </w:t>
      </w:r>
      <w:hyperlink r:id="rId90">
        <w:r>
          <w:rPr>
            <w:rFonts w:ascii="Arial" w:cs="Arial" w:eastAsia="Arial" w:hAnsi="Arial"/>
            <w:sz w:val="14"/>
            <w:szCs w:val="14"/>
            <w:u w:val="single" w:color="auto"/>
            <w:color w:val="0000FF"/>
          </w:rPr>
          <w:t>Indenture, dated as of July 17, 1998, by and between the Company and The Bank of New York Mellon Trust Company, N.A. as successor Trustee to Citibank,</w:t>
        </w:r>
      </w:hyperlink>
      <w:r>
        <w:rPr>
          <w:rFonts w:ascii="Arial" w:cs="Arial" w:eastAsia="Arial" w:hAnsi="Arial"/>
          <w:sz w:val="14"/>
          <w:szCs w:val="14"/>
          <w:color w:val="auto"/>
        </w:rPr>
        <w:t xml:space="preserve"> </w:t>
      </w:r>
      <w:hyperlink r:id="rId90">
        <w:r>
          <w:rPr>
            <w:rFonts w:ascii="Arial" w:cs="Arial" w:eastAsia="Arial" w:hAnsi="Arial"/>
            <w:sz w:val="14"/>
            <w:szCs w:val="14"/>
            <w:u w:val="single" w:color="auto"/>
            <w:color w:val="0000FF"/>
          </w:rPr>
          <w:t>N.A. as Trustee. (Incorporated by reference to Exhibit 4.1 to the Company's Current Report on Form 8-K dated July 14, 1998,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316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4.2 </w:t>
      </w:r>
      <w:hyperlink r:id="rId92">
        <w:r>
          <w:rPr>
            <w:rFonts w:ascii="Arial" w:cs="Arial" w:eastAsia="Arial" w:hAnsi="Arial"/>
            <w:sz w:val="14"/>
            <w:szCs w:val="14"/>
            <w:u w:val="single" w:color="auto"/>
            <w:color w:val="0000FF"/>
          </w:rPr>
          <w:t>Indenture, dated as of March 15, 2000, by and between the Company and The Bank of New York Mellon Trust Company, N.A. as successor Trustee to the</w:t>
        </w:r>
      </w:hyperlink>
    </w:p>
    <w:p>
      <w:pPr>
        <w:spacing w:after="0" w:line="2" w:lineRule="exact"/>
        <w:rPr>
          <w:sz w:val="20"/>
          <w:szCs w:val="20"/>
          <w:color w:val="auto"/>
        </w:rPr>
      </w:pPr>
    </w:p>
    <w:p>
      <w:pPr>
        <w:ind w:left="1100" w:right="320"/>
        <w:spacing w:after="0" w:line="231" w:lineRule="auto"/>
        <w:rPr>
          <w:rFonts w:ascii="Arial" w:cs="Arial" w:eastAsia="Arial" w:hAnsi="Arial"/>
          <w:sz w:val="14"/>
          <w:szCs w:val="14"/>
          <w:u w:val="single" w:color="auto"/>
          <w:color w:val="0000FF"/>
        </w:rPr>
      </w:pPr>
      <w:hyperlink r:id="rId92">
        <w:r>
          <w:rPr>
            <w:rFonts w:ascii="Arial" w:cs="Arial" w:eastAsia="Arial" w:hAnsi="Arial"/>
            <w:sz w:val="14"/>
            <w:szCs w:val="14"/>
            <w:u w:val="single" w:color="auto"/>
            <w:color w:val="0000FF"/>
          </w:rPr>
          <w:t>Bank of Nova Scotia Trust Company of New York. (Incorporated by reference to Exhibit 4(b)(i) to the Company's Annual Report on Form 10-K for the fiscal</w:t>
        </w:r>
      </w:hyperlink>
      <w:r>
        <w:rPr>
          <w:rFonts w:ascii="Arial" w:cs="Arial" w:eastAsia="Arial" w:hAnsi="Arial"/>
          <w:sz w:val="14"/>
          <w:szCs w:val="14"/>
          <w:u w:val="single" w:color="auto"/>
          <w:color w:val="0000FF"/>
        </w:rPr>
        <w:t xml:space="preserve"> </w:t>
      </w:r>
      <w:hyperlink r:id="rId92">
        <w:r>
          <w:rPr>
            <w:rFonts w:ascii="Arial" w:cs="Arial" w:eastAsia="Arial" w:hAnsi="Arial"/>
            <w:sz w:val="14"/>
            <w:szCs w:val="14"/>
            <w:u w:val="single" w:color="auto"/>
            <w:color w:val="0000FF"/>
          </w:rPr>
          <w:t>year ended December 26, 1999, File No. 1-6682.)</w:t>
        </w:r>
      </w:hyperlink>
    </w:p>
    <w:p>
      <w:pPr>
        <w:spacing w:after="0" w:line="27"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4.3 </w:t>
      </w:r>
      <w:hyperlink r:id="rId93">
        <w:r>
          <w:rPr>
            <w:rFonts w:ascii="Arial" w:cs="Arial" w:eastAsia="Arial" w:hAnsi="Arial"/>
            <w:sz w:val="14"/>
            <w:szCs w:val="14"/>
            <w:u w:val="single" w:color="auto"/>
            <w:color w:val="0000FF"/>
          </w:rPr>
          <w:t>First Supplemental Indenture, dated as of September 17, 2007, between the Company and The Bank of New York Mellon Trust Company, N.A. as successor</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93">
        <w:r>
          <w:rPr>
            <w:rFonts w:ascii="Arial" w:cs="Arial" w:eastAsia="Arial" w:hAnsi="Arial"/>
            <w:sz w:val="14"/>
            <w:szCs w:val="14"/>
            <w:u w:val="single" w:color="auto"/>
            <w:color w:val="0000FF"/>
          </w:rPr>
          <w:t>Trustee to the Bank of Nova Scotia Trust Company of New York.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93">
        <w:r>
          <w:rPr>
            <w:rFonts w:ascii="Arial" w:cs="Arial" w:eastAsia="Arial" w:hAnsi="Arial"/>
            <w:sz w:val="14"/>
            <w:szCs w:val="14"/>
            <w:u w:val="single" w:color="auto"/>
            <w:color w:val="0000FF"/>
          </w:rPr>
          <w:t>September 17, 2007,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16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7"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4.4 </w:t>
      </w:r>
      <w:hyperlink r:id="rId95">
        <w:r>
          <w:rPr>
            <w:rFonts w:ascii="Arial" w:cs="Arial" w:eastAsia="Arial" w:hAnsi="Arial"/>
            <w:sz w:val="14"/>
            <w:szCs w:val="14"/>
            <w:u w:val="single" w:color="auto"/>
            <w:color w:val="0000FF"/>
          </w:rPr>
          <w:t>Second Supplemental Indenture, dated as of May 13, 2009, between the Company and The Bank of New York Mellon Trust Company, N.A. as successor</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95">
        <w:r>
          <w:rPr>
            <w:rFonts w:ascii="Arial" w:cs="Arial" w:eastAsia="Arial" w:hAnsi="Arial"/>
            <w:sz w:val="14"/>
            <w:szCs w:val="14"/>
            <w:u w:val="single" w:color="auto"/>
            <w:color w:val="0000FF"/>
          </w:rPr>
          <w:t>Trustee to the Bank of Nova Scotia Trust Company of New York.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95">
        <w:r>
          <w:rPr>
            <w:rFonts w:ascii="Arial" w:cs="Arial" w:eastAsia="Arial" w:hAnsi="Arial"/>
            <w:sz w:val="14"/>
            <w:szCs w:val="14"/>
            <w:u w:val="single" w:color="auto"/>
            <w:color w:val="0000FF"/>
          </w:rPr>
          <w:t>May 13, 2009, File No. 1-6682.)</w:t>
        </w:r>
      </w:hyperlink>
    </w:p>
    <w:p>
      <w:pPr>
        <w:spacing w:after="0" w:line="27"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4.5 </w:t>
      </w:r>
      <w:hyperlink r:id="rId96">
        <w:r>
          <w:rPr>
            <w:rFonts w:ascii="Arial" w:cs="Arial" w:eastAsia="Arial" w:hAnsi="Arial"/>
            <w:sz w:val="14"/>
            <w:szCs w:val="14"/>
            <w:u w:val="single" w:color="auto"/>
            <w:color w:val="0000FF"/>
          </w:rPr>
          <w:t>Third Supplemental Indenture, dated as of March 11, 2010, between the Company and The Bank of New York Mellon Trust Company, N.A. as successor</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96">
        <w:r>
          <w:rPr>
            <w:rFonts w:ascii="Arial" w:cs="Arial" w:eastAsia="Arial" w:hAnsi="Arial"/>
            <w:sz w:val="14"/>
            <w:szCs w:val="14"/>
            <w:u w:val="single" w:color="auto"/>
            <w:color w:val="0000FF"/>
          </w:rPr>
          <w:t>Trustee to the Bank of Nova Scotia Trust Company of New York.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96">
        <w:r>
          <w:rPr>
            <w:rFonts w:ascii="Arial" w:cs="Arial" w:eastAsia="Arial" w:hAnsi="Arial"/>
            <w:sz w:val="14"/>
            <w:szCs w:val="14"/>
            <w:u w:val="single" w:color="auto"/>
            <w:color w:val="0000FF"/>
          </w:rPr>
          <w:t>March 11, 2010,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7"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4.6 </w:t>
      </w:r>
      <w:hyperlink r:id="rId98">
        <w:r>
          <w:rPr>
            <w:rFonts w:ascii="Arial" w:cs="Arial" w:eastAsia="Arial" w:hAnsi="Arial"/>
            <w:sz w:val="14"/>
            <w:szCs w:val="14"/>
            <w:u w:val="single" w:color="auto"/>
            <w:color w:val="0000FF"/>
          </w:rPr>
          <w:t>Fourth Supplemental Indenture, dated May 13, 2014, between the Company and The Bank of New York Mellon Trust Company, N.A. as successor Trustee to</w:t>
        </w:r>
      </w:hyperlink>
    </w:p>
    <w:p>
      <w:pPr>
        <w:spacing w:after="0" w:line="2" w:lineRule="exact"/>
        <w:rPr>
          <w:sz w:val="20"/>
          <w:szCs w:val="20"/>
          <w:color w:val="auto"/>
        </w:rPr>
      </w:pPr>
    </w:p>
    <w:p>
      <w:pPr>
        <w:ind w:left="1100" w:right="260"/>
        <w:spacing w:after="0" w:line="231" w:lineRule="auto"/>
        <w:rPr>
          <w:rFonts w:ascii="Arial" w:cs="Arial" w:eastAsia="Arial" w:hAnsi="Arial"/>
          <w:sz w:val="14"/>
          <w:szCs w:val="14"/>
          <w:u w:val="single" w:color="auto"/>
          <w:color w:val="0000FF"/>
        </w:rPr>
      </w:pPr>
      <w:hyperlink r:id="rId98">
        <w:r>
          <w:rPr>
            <w:rFonts w:ascii="Arial" w:cs="Arial" w:eastAsia="Arial" w:hAnsi="Arial"/>
            <w:sz w:val="14"/>
            <w:szCs w:val="14"/>
            <w:u w:val="single" w:color="auto"/>
            <w:color w:val="0000FF"/>
          </w:rPr>
          <w:t>the Bank of Nova Scotia Trust Company of New York. (Incorporated by reference to Exhibit 4.1 to the Company's Current Report on Form 8-K filed May 13,</w:t>
        </w:r>
      </w:hyperlink>
      <w:r>
        <w:rPr>
          <w:rFonts w:ascii="Arial" w:cs="Arial" w:eastAsia="Arial" w:hAnsi="Arial"/>
          <w:sz w:val="14"/>
          <w:szCs w:val="14"/>
          <w:u w:val="single" w:color="auto"/>
          <w:color w:val="0000FF"/>
        </w:rPr>
        <w:t xml:space="preserve"> </w:t>
      </w:r>
      <w:hyperlink r:id="rId98">
        <w:r>
          <w:rPr>
            <w:rFonts w:ascii="Arial" w:cs="Arial" w:eastAsia="Arial" w:hAnsi="Arial"/>
            <w:sz w:val="14"/>
            <w:szCs w:val="14"/>
            <w:u w:val="single" w:color="auto"/>
            <w:color w:val="0000FF"/>
          </w:rPr>
          <w:t>2014, file No. 1-6682.)</w:t>
        </w:r>
      </w:hyperlink>
    </w:p>
    <w:p>
      <w:pPr>
        <w:spacing w:after="0" w:line="27"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4.7 </w:t>
      </w:r>
      <w:hyperlink r:id="rId99">
        <w:r>
          <w:rPr>
            <w:rFonts w:ascii="Arial" w:cs="Arial" w:eastAsia="Arial" w:hAnsi="Arial"/>
            <w:sz w:val="14"/>
            <w:szCs w:val="14"/>
            <w:u w:val="single" w:color="auto"/>
            <w:color w:val="0000FF"/>
          </w:rPr>
          <w:t>Fifth Supplemental Indenture, dated September 13, 2017, between the Company and The Bank of New York Mellon Trust Company, N.A. as successor Trustee</w:t>
        </w:r>
      </w:hyperlink>
    </w:p>
    <w:p>
      <w:pPr>
        <w:spacing w:after="0" w:line="2" w:lineRule="exact"/>
        <w:rPr>
          <w:sz w:val="20"/>
          <w:szCs w:val="20"/>
          <w:color w:val="auto"/>
        </w:rPr>
      </w:pPr>
    </w:p>
    <w:p>
      <w:pPr>
        <w:ind w:left="1100" w:right="660"/>
        <w:spacing w:after="0" w:line="231" w:lineRule="auto"/>
        <w:rPr>
          <w:rFonts w:ascii="Arial" w:cs="Arial" w:eastAsia="Arial" w:hAnsi="Arial"/>
          <w:sz w:val="14"/>
          <w:szCs w:val="14"/>
          <w:u w:val="single" w:color="auto"/>
          <w:color w:val="0000FF"/>
        </w:rPr>
      </w:pPr>
      <w:hyperlink r:id="rId99">
        <w:r>
          <w:rPr>
            <w:rFonts w:ascii="Arial" w:cs="Arial" w:eastAsia="Arial" w:hAnsi="Arial"/>
            <w:sz w:val="14"/>
            <w:szCs w:val="14"/>
            <w:u w:val="single" w:color="auto"/>
            <w:color w:val="0000FF"/>
          </w:rPr>
          <w:t>to the Bank of Nova Scotia Trust Company of New York.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99">
        <w:r>
          <w:rPr>
            <w:rFonts w:ascii="Arial" w:cs="Arial" w:eastAsia="Arial" w:hAnsi="Arial"/>
            <w:sz w:val="14"/>
            <w:szCs w:val="14"/>
            <w:u w:val="single" w:color="auto"/>
            <w:color w:val="0000FF"/>
          </w:rPr>
          <w:t>September 13, 2017,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7"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4.8 </w:t>
      </w:r>
      <w:hyperlink r:id="rId101">
        <w:r>
          <w:rPr>
            <w:rFonts w:ascii="Arial" w:cs="Arial" w:eastAsia="Arial" w:hAnsi="Arial"/>
            <w:sz w:val="14"/>
            <w:szCs w:val="14"/>
            <w:u w:val="single" w:color="auto"/>
            <w:color w:val="0000FF"/>
          </w:rPr>
          <w:t>Sixth Supplemental Indenture dated as of November 19, 2019, among the Company and The Bank of New York Mellon Trust Company, N.A. and U.S. Bank,</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101">
        <w:r>
          <w:rPr>
            <w:rFonts w:ascii="Arial" w:cs="Arial" w:eastAsia="Arial" w:hAnsi="Arial"/>
            <w:sz w:val="14"/>
            <w:szCs w:val="14"/>
            <w:u w:val="single" w:color="auto"/>
            <w:color w:val="0000FF"/>
          </w:rPr>
          <w:t>National Association, supplementing the Indenture dated as of March 15, 2000. (Incorporated by reference to Exhibit 1.2 to the Company’s Current Report on</w:t>
        </w:r>
      </w:hyperlink>
      <w:r>
        <w:rPr>
          <w:rFonts w:ascii="Arial" w:cs="Arial" w:eastAsia="Arial" w:hAnsi="Arial"/>
          <w:sz w:val="14"/>
          <w:szCs w:val="14"/>
          <w:u w:val="single" w:color="auto"/>
          <w:color w:val="0000FF"/>
        </w:rPr>
        <w:t xml:space="preserve"> </w:t>
      </w:r>
      <w:hyperlink r:id="rId101">
        <w:r>
          <w:rPr>
            <w:rFonts w:ascii="Arial" w:cs="Arial" w:eastAsia="Arial" w:hAnsi="Arial"/>
            <w:sz w:val="14"/>
            <w:szCs w:val="14"/>
            <w:u w:val="single" w:color="auto"/>
            <w:color w:val="0000FF"/>
          </w:rPr>
          <w:t>Form 8-K filed November 19, 2019, File No. 1-6682.)</w:t>
        </w:r>
      </w:hyperlink>
    </w:p>
    <w:p>
      <w:pPr>
        <w:spacing w:after="0" w:line="27"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4.9 </w:t>
      </w:r>
      <w:hyperlink r:id="rId102">
        <w:r>
          <w:rPr>
            <w:rFonts w:ascii="Arial" w:cs="Arial" w:eastAsia="Arial" w:hAnsi="Arial"/>
            <w:sz w:val="14"/>
            <w:szCs w:val="14"/>
            <w:u w:val="single" w:color="auto"/>
            <w:color w:val="0000FF"/>
          </w:rPr>
          <w:t>Seventh Supplemental Indenture dated as of May 14, 2024, among the Company and The Bank of New York Mellon Trust Company, N.A. and U.S. Bank,</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102">
        <w:r>
          <w:rPr>
            <w:rFonts w:ascii="Arial" w:cs="Arial" w:eastAsia="Arial" w:hAnsi="Arial"/>
            <w:sz w:val="14"/>
            <w:szCs w:val="14"/>
            <w:u w:val="single" w:color="auto"/>
            <w:color w:val="0000FF"/>
          </w:rPr>
          <w:t>National Association, supplementing the Indenture dated as of March 15, 2000. (Incorporated by reference to Exhibit 4.2 to the Company’s Current Report on</w:t>
        </w:r>
      </w:hyperlink>
      <w:r>
        <w:rPr>
          <w:rFonts w:ascii="Arial" w:cs="Arial" w:eastAsia="Arial" w:hAnsi="Arial"/>
          <w:sz w:val="14"/>
          <w:szCs w:val="14"/>
          <w:u w:val="single" w:color="auto"/>
          <w:color w:val="0000FF"/>
        </w:rPr>
        <w:t xml:space="preserve"> </w:t>
      </w:r>
      <w:hyperlink r:id="rId102">
        <w:r>
          <w:rPr>
            <w:rFonts w:ascii="Arial" w:cs="Arial" w:eastAsia="Arial" w:hAnsi="Arial"/>
            <w:sz w:val="14"/>
            <w:szCs w:val="14"/>
            <w:u w:val="single" w:color="auto"/>
            <w:color w:val="0000FF"/>
          </w:rPr>
          <w:t>Form 8-K filed May 14, 2024,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7" w:lineRule="exact"/>
        <w:rPr>
          <w:sz w:val="20"/>
          <w:szCs w:val="20"/>
          <w:color w:val="auto"/>
        </w:rPr>
      </w:pPr>
    </w:p>
    <w:p>
      <w:pPr>
        <w:ind w:left="720"/>
        <w:spacing w:after="0"/>
        <w:rPr>
          <w:rFonts w:ascii="Arial" w:cs="Arial" w:eastAsia="Arial" w:hAnsi="Arial"/>
          <w:sz w:val="14"/>
          <w:szCs w:val="14"/>
          <w:color w:val="auto"/>
        </w:rPr>
      </w:pPr>
      <w:r>
        <w:rPr>
          <w:rFonts w:ascii="Arial" w:cs="Arial" w:eastAsia="Arial" w:hAnsi="Arial"/>
          <w:sz w:val="14"/>
          <w:szCs w:val="14"/>
          <w:color w:val="auto"/>
        </w:rPr>
        <w:t xml:space="preserve">4.10 </w:t>
      </w:r>
      <w:hyperlink r:id="rId104">
        <w:r>
          <w:rPr>
            <w:rFonts w:ascii="Arial" w:cs="Arial" w:eastAsia="Arial" w:hAnsi="Arial"/>
            <w:sz w:val="14"/>
            <w:szCs w:val="14"/>
            <w:u w:val="single" w:color="auto"/>
            <w:color w:val="0000FF"/>
          </w:rPr>
          <w:t>Eighth Supplemental Indenture dated as of March 12, 2026, among Hasbro, Inc., The Bank of New York Mellon Trust Company, N.A. (as successor trustee to</w:t>
        </w:r>
      </w:hyperlink>
    </w:p>
    <w:p>
      <w:pPr>
        <w:spacing w:after="0" w:line="2" w:lineRule="exact"/>
        <w:rPr>
          <w:sz w:val="20"/>
          <w:szCs w:val="20"/>
          <w:color w:val="auto"/>
        </w:rPr>
      </w:pPr>
    </w:p>
    <w:p>
      <w:pPr>
        <w:ind w:left="1100" w:right="300"/>
        <w:spacing w:after="0" w:line="231" w:lineRule="auto"/>
        <w:rPr>
          <w:rFonts w:ascii="Arial" w:cs="Arial" w:eastAsia="Arial" w:hAnsi="Arial"/>
          <w:sz w:val="14"/>
          <w:szCs w:val="14"/>
          <w:u w:val="single" w:color="auto"/>
          <w:color w:val="0000FF"/>
        </w:rPr>
      </w:pPr>
      <w:hyperlink r:id="rId104">
        <w:r>
          <w:rPr>
            <w:rFonts w:ascii="Arial" w:cs="Arial" w:eastAsia="Arial" w:hAnsi="Arial"/>
            <w:sz w:val="14"/>
            <w:szCs w:val="14"/>
            <w:u w:val="single" w:color="auto"/>
            <w:color w:val="0000FF"/>
          </w:rPr>
          <w:t>The Bank of Nova Scotia Trust Company of New York) and U.S. Bank Trust Company, National Association (Incorporated by reference to Exhibit 4.2 to the</w:t>
        </w:r>
      </w:hyperlink>
      <w:r>
        <w:rPr>
          <w:rFonts w:ascii="Arial" w:cs="Arial" w:eastAsia="Arial" w:hAnsi="Arial"/>
          <w:sz w:val="14"/>
          <w:szCs w:val="14"/>
          <w:u w:val="single" w:color="auto"/>
          <w:color w:val="0000FF"/>
        </w:rPr>
        <w:t xml:space="preserve"> </w:t>
      </w:r>
      <w:hyperlink r:id="rId104">
        <w:r>
          <w:rPr>
            <w:rFonts w:ascii="Arial" w:cs="Arial" w:eastAsia="Arial" w:hAnsi="Arial"/>
            <w:sz w:val="14"/>
            <w:szCs w:val="14"/>
            <w:u w:val="single" w:color="auto"/>
            <w:color w:val="0000FF"/>
          </w:rPr>
          <w:t>Company’s Current Report on Form 8-K filed March 12, 2026, File No. 1-6682)</w:t>
        </w:r>
      </w:hyperlink>
    </w:p>
    <w:p>
      <w:pPr>
        <w:spacing w:after="0" w:line="27" w:lineRule="exact"/>
        <w:rPr>
          <w:sz w:val="20"/>
          <w:szCs w:val="20"/>
          <w:color w:val="auto"/>
        </w:rPr>
      </w:pPr>
    </w:p>
    <w:p>
      <w:pPr>
        <w:ind w:left="1100" w:right="140" w:hanging="427"/>
        <w:spacing w:after="0" w:line="26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 </w:t>
      </w:r>
      <w:hyperlink r:id="rId105">
        <w:r>
          <w:rPr>
            <w:rFonts w:ascii="Arial" w:cs="Arial" w:eastAsia="Arial" w:hAnsi="Arial"/>
            <w:sz w:val="14"/>
            <w:szCs w:val="14"/>
            <w:u w:val="single" w:color="auto"/>
            <w:color w:val="0000FF"/>
          </w:rPr>
          <w:t>Transitional Advisory Services Agreement between the Company and John Hight (Incorporated by reference to Exhibit 10.1 to the Company's Current Report</w:t>
        </w:r>
      </w:hyperlink>
      <w:r>
        <w:rPr>
          <w:rFonts w:ascii="Arial" w:cs="Arial" w:eastAsia="Arial" w:hAnsi="Arial"/>
          <w:sz w:val="14"/>
          <w:szCs w:val="14"/>
          <w:color w:val="auto"/>
        </w:rPr>
        <w:t xml:space="preserve"> </w:t>
      </w:r>
      <w:hyperlink r:id="rId105">
        <w:r>
          <w:rPr>
            <w:rFonts w:ascii="Arial" w:cs="Arial" w:eastAsia="Arial" w:hAnsi="Arial"/>
            <w:sz w:val="14"/>
            <w:szCs w:val="14"/>
            <w:u w:val="single" w:color="auto"/>
            <w:color w:val="0000FF"/>
          </w:rPr>
          <w:t>on Form 8-K filed July 27, 2026,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0000FF"/>
        </w:rPr>
        <w:t>Certification of the Chief Executive Officer Pursuant to Rule 13a-14(a) under the Securities Exchange Act of 1934.</w:t>
      </w:r>
    </w:p>
    <w:p>
      <w:pPr>
        <w:spacing w:after="0" w:line="5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31.2* </w:t>
      </w:r>
      <w:r>
        <w:rPr>
          <w:rFonts w:ascii="Arial" w:cs="Arial" w:eastAsia="Arial" w:hAnsi="Arial"/>
          <w:sz w:val="14"/>
          <w:szCs w:val="14"/>
          <w:u w:val="single" w:color="auto"/>
          <w:color w:val="0000FF"/>
        </w:rPr>
        <w:t>Certification of the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0000FF"/>
        </w:rPr>
        <w:t>Certification of the Chief Executive Officer Pursuant to Rule 13a-14(b) under the Securities Exchange Act of 1934.</w:t>
      </w:r>
    </w:p>
    <w:p>
      <w:pPr>
        <w:spacing w:after="0" w:line="5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32.2* </w:t>
      </w:r>
      <w:r>
        <w:rPr>
          <w:rFonts w:ascii="Arial" w:cs="Arial" w:eastAsia="Arial" w:hAnsi="Arial"/>
          <w:sz w:val="14"/>
          <w:szCs w:val="14"/>
          <w:u w:val="single" w:color="auto"/>
          <w:color w:val="0000FF"/>
        </w:rPr>
        <w:t>Certification of the Chief Financial Officer Pursuant to Rule 13a-14(b)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5" w:lineRule="exact"/>
        <w:rPr>
          <w:sz w:val="20"/>
          <w:szCs w:val="20"/>
          <w:color w:val="auto"/>
        </w:rPr>
      </w:pPr>
    </w:p>
    <w:p>
      <w:pPr>
        <w:ind w:left="1100" w:right="200" w:hanging="555"/>
        <w:spacing w:after="0" w:line="261" w:lineRule="auto"/>
        <w:rPr>
          <w:sz w:val="20"/>
          <w:szCs w:val="20"/>
          <w:color w:val="auto"/>
        </w:rPr>
      </w:pPr>
      <w:r>
        <w:rPr>
          <w:rFonts w:ascii="Arial" w:cs="Arial" w:eastAsia="Arial" w:hAnsi="Arial"/>
          <w:sz w:val="14"/>
          <w:szCs w:val="14"/>
          <w:color w:val="auto"/>
        </w:rPr>
        <w:t>101.INS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101.CAL XBRL Taxonomy Extension Calculation Linkbase Document</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101.LAB XBRL Taxonomy Extension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101.PRE XBRL Taxonomy Extension Presentation Linkbase Document</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100" w:hanging="332"/>
        <w:spacing w:after="0"/>
        <w:tabs>
          <w:tab w:leader="none" w:pos="1100" w:val="left"/>
        </w:tabs>
        <w:numPr>
          <w:ilvl w:val="1"/>
          <w:numId w:val="4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i w:val="1"/>
          <w:iCs w:val="1"/>
          <w:color w:val="auto"/>
        </w:rPr>
        <w:t>* Furnished herewith</w:t>
      </w:r>
    </w:p>
    <w:p>
      <w:pPr>
        <w:spacing w:after="0" w:line="113" w:lineRule="exact"/>
        <w:rPr>
          <w:rFonts w:ascii="Arial" w:cs="Arial" w:eastAsia="Arial" w:hAnsi="Arial"/>
          <w:sz w:val="14"/>
          <w:szCs w:val="14"/>
          <w:color w:val="auto"/>
        </w:rPr>
      </w:pPr>
    </w:p>
    <w:p>
      <w:pPr>
        <w:ind w:left="180" w:hanging="172"/>
        <w:spacing w:after="0"/>
        <w:tabs>
          <w:tab w:leader="none" w:pos="18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Indicates management contract or compensatory plan, contract or arrangement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19113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20"/>
        <w:spacing w:after="0"/>
        <w:tabs>
          <w:tab w:leader="none" w:pos="6120" w:val="left"/>
        </w:tabs>
        <w:rPr>
          <w:sz w:val="20"/>
          <w:szCs w:val="20"/>
          <w:color w:val="auto"/>
        </w:rPr>
      </w:pPr>
      <w:r>
        <w:rPr>
          <w:rFonts w:ascii="Arial" w:cs="Arial" w:eastAsia="Arial" w:hAnsi="Arial"/>
          <w:sz w:val="18"/>
          <w:szCs w:val="18"/>
          <w:color w:val="auto"/>
        </w:rPr>
        <w:t>Date: October 29, 2026</w:t>
      </w:r>
      <w:r>
        <w:rPr>
          <w:sz w:val="20"/>
          <w:szCs w:val="20"/>
          <w:color w:val="auto"/>
        </w:rPr>
        <w:tab/>
      </w:r>
      <w:r>
        <w:rPr>
          <w:rFonts w:ascii="Arial" w:cs="Arial" w:eastAsia="Arial" w:hAnsi="Arial"/>
          <w:sz w:val="17"/>
          <w:szCs w:val="17"/>
          <w:color w:val="auto"/>
        </w:rPr>
        <w:t>By: /s/ Gina Goetter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19113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Gina Goetter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 and Chief</w:t>
      </w:r>
    </w:p>
    <w:p>
      <w:pPr>
        <w:ind w:left="6140"/>
        <w:spacing w:after="0" w:line="203" w:lineRule="auto"/>
        <w:rPr>
          <w:sz w:val="20"/>
          <w:szCs w:val="20"/>
          <w:color w:val="auto"/>
        </w:rPr>
      </w:pPr>
      <w:r>
        <w:rPr>
          <w:rFonts w:ascii="Arial" w:cs="Arial" w:eastAsia="Arial" w:hAnsi="Arial"/>
          <w:sz w:val="18"/>
          <w:szCs w:val="18"/>
          <w:color w:val="auto"/>
        </w:rPr>
        <w:t>Operating Officer</w:t>
      </w:r>
    </w:p>
    <w:p>
      <w:pPr>
        <w:ind w:left="6140"/>
        <w:spacing w:after="0" w:line="219" w:lineRule="auto"/>
        <w:rPr>
          <w:sz w:val="20"/>
          <w:szCs w:val="20"/>
          <w:color w:val="auto"/>
        </w:rPr>
      </w:pPr>
      <w:r>
        <w:rPr>
          <w:rFonts w:ascii="Arial" w:cs="Arial" w:eastAsia="Arial" w:hAnsi="Arial"/>
          <w:sz w:val="18"/>
          <w:szCs w:val="18"/>
          <w:color w:val="auto"/>
        </w:rPr>
        <w:t>(Duly Authorized Officer and</w:t>
      </w:r>
    </w:p>
    <w:p>
      <w:pPr>
        <w:ind w:left="6140"/>
        <w:spacing w:after="0" w:line="204" w:lineRule="auto"/>
        <w:rPr>
          <w:sz w:val="20"/>
          <w:szCs w:val="20"/>
          <w:color w:val="auto"/>
        </w:rPr>
      </w:pPr>
      <w:r>
        <w:rPr>
          <w:rFonts w:ascii="Arial" w:cs="Arial" w:eastAsia="Arial" w:hAnsi="Arial"/>
          <w:sz w:val="18"/>
          <w:szCs w:val="18"/>
          <w:color w:val="auto"/>
        </w:rPr>
        <w:t>Principal Financial and Principal</w:t>
      </w:r>
    </w:p>
    <w:p>
      <w:pPr>
        <w:ind w:left="614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944" w:right="4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Chris Cocks, certify that:</w:t>
      </w:r>
    </w:p>
    <w:p>
      <w:pPr>
        <w:spacing w:after="0" w:line="185"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ind w:left="420" w:right="40" w:hanging="412"/>
        <w:spacing w:after="0" w:line="268" w:lineRule="auto"/>
        <w:tabs>
          <w:tab w:leader="none" w:pos="4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8"/>
          <w:szCs w:val="18"/>
          <w:color w:val="auto"/>
        </w:rPr>
      </w:pPr>
    </w:p>
    <w:p>
      <w:pPr>
        <w:ind w:left="420" w:right="80" w:hanging="412"/>
        <w:spacing w:after="0" w:line="318" w:lineRule="auto"/>
        <w:tabs>
          <w:tab w:leader="none" w:pos="4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420" w:right="60" w:hanging="412"/>
        <w:spacing w:after="0" w:line="276" w:lineRule="auto"/>
        <w:tabs>
          <w:tab w:leader="none" w:pos="4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0" w:lineRule="exact"/>
        <w:rPr>
          <w:rFonts w:ascii="Arial" w:cs="Arial" w:eastAsia="Arial" w:hAnsi="Arial"/>
          <w:sz w:val="17"/>
          <w:szCs w:val="17"/>
          <w:color w:val="auto"/>
        </w:rPr>
      </w:pPr>
    </w:p>
    <w:p>
      <w:pPr>
        <w:jc w:val="both"/>
        <w:ind w:left="900" w:right="60" w:hanging="244"/>
        <w:spacing w:after="0" w:line="268" w:lineRule="auto"/>
        <w:tabs>
          <w:tab w:leader="none" w:pos="8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8"/>
          <w:szCs w:val="18"/>
          <w:color w:val="auto"/>
        </w:rPr>
      </w:pPr>
    </w:p>
    <w:p>
      <w:pPr>
        <w:ind w:left="900" w:right="400" w:hanging="244"/>
        <w:spacing w:after="0" w:line="268" w:lineRule="auto"/>
        <w:tabs>
          <w:tab w:leader="none" w:pos="8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8"/>
          <w:szCs w:val="18"/>
          <w:color w:val="auto"/>
        </w:rPr>
      </w:pPr>
    </w:p>
    <w:p>
      <w:pPr>
        <w:jc w:val="both"/>
        <w:ind w:left="900" w:right="360" w:hanging="244"/>
        <w:spacing w:after="0" w:line="268" w:lineRule="auto"/>
        <w:tabs>
          <w:tab w:leader="none" w:pos="8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900" w:right="140" w:hanging="244"/>
        <w:spacing w:after="0" w:line="268" w:lineRule="auto"/>
        <w:tabs>
          <w:tab w:leader="none" w:pos="8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8"/>
          <w:szCs w:val="18"/>
          <w:color w:val="auto"/>
        </w:rPr>
      </w:pPr>
    </w:p>
    <w:p>
      <w:pPr>
        <w:ind w:left="420" w:right="60" w:hanging="412"/>
        <w:spacing w:after="0" w:line="268" w:lineRule="auto"/>
        <w:tabs>
          <w:tab w:leader="none" w:pos="4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8"/>
          <w:szCs w:val="18"/>
          <w:color w:val="auto"/>
        </w:rPr>
      </w:pPr>
    </w:p>
    <w:p>
      <w:pPr>
        <w:ind w:left="980" w:right="260" w:hanging="324"/>
        <w:spacing w:after="0" w:line="268" w:lineRule="auto"/>
        <w:tabs>
          <w:tab w:leader="none" w:pos="9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80" w:right="180" w:hanging="324"/>
        <w:spacing w:after="0" w:line="287" w:lineRule="auto"/>
        <w:tabs>
          <w:tab w:leader="none" w:pos="9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October 29, 2026</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/s/ Chris Cocks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Chris Cocks</w:t>
      </w:r>
    </w:p>
    <w:p>
      <w:pPr>
        <w:ind w:left="4740"/>
        <w:spacing w:after="0" w:line="203" w:lineRule="auto"/>
        <w:rPr>
          <w:sz w:val="20"/>
          <w:szCs w:val="20"/>
          <w:color w:val="auto"/>
        </w:rPr>
      </w:pPr>
      <w:r>
        <w:rPr>
          <w:rFonts w:ascii="Arial" w:cs="Arial" w:eastAsia="Arial" w:hAnsi="Arial"/>
          <w:sz w:val="18"/>
          <w:szCs w:val="18"/>
          <w:color w:val="auto"/>
        </w:rPr>
        <w:t>Chief Executive Officer</w:t>
      </w:r>
    </w:p>
    <w:p>
      <w:pPr>
        <w:ind w:left="4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Gina Goetter, certify that:</w:t>
      </w:r>
    </w:p>
    <w:p>
      <w:pPr>
        <w:spacing w:after="0" w:line="185"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ind w:left="420" w:right="40" w:hanging="412"/>
        <w:spacing w:after="0" w:line="268" w:lineRule="auto"/>
        <w:tabs>
          <w:tab w:leader="none" w:pos="4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8"/>
          <w:szCs w:val="18"/>
          <w:color w:val="auto"/>
        </w:rPr>
      </w:pPr>
    </w:p>
    <w:p>
      <w:pPr>
        <w:ind w:left="420" w:right="80" w:hanging="412"/>
        <w:spacing w:after="0" w:line="318" w:lineRule="auto"/>
        <w:tabs>
          <w:tab w:leader="none" w:pos="408"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420" w:right="60" w:hanging="412"/>
        <w:spacing w:after="0" w:line="276" w:lineRule="auto"/>
        <w:tabs>
          <w:tab w:leader="none" w:pos="408"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0" w:lineRule="exact"/>
        <w:rPr>
          <w:rFonts w:ascii="Arial" w:cs="Arial" w:eastAsia="Arial" w:hAnsi="Arial"/>
          <w:sz w:val="17"/>
          <w:szCs w:val="17"/>
          <w:color w:val="auto"/>
        </w:rPr>
      </w:pPr>
    </w:p>
    <w:p>
      <w:pPr>
        <w:jc w:val="both"/>
        <w:ind w:left="820" w:right="140" w:hanging="326"/>
        <w:spacing w:after="0" w:line="268" w:lineRule="auto"/>
        <w:tabs>
          <w:tab w:leader="none" w:pos="8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8"/>
          <w:szCs w:val="18"/>
          <w:color w:val="auto"/>
        </w:rPr>
      </w:pPr>
    </w:p>
    <w:p>
      <w:pPr>
        <w:ind w:left="820" w:right="480" w:hanging="326"/>
        <w:spacing w:after="0" w:line="268" w:lineRule="auto"/>
        <w:tabs>
          <w:tab w:leader="none" w:pos="8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8"/>
          <w:szCs w:val="18"/>
          <w:color w:val="auto"/>
        </w:rPr>
      </w:pPr>
    </w:p>
    <w:p>
      <w:pPr>
        <w:ind w:left="820" w:right="40" w:hanging="326"/>
        <w:spacing w:after="0" w:line="268" w:lineRule="auto"/>
        <w:tabs>
          <w:tab w:leader="none" w:pos="8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820" w:right="220" w:hanging="326"/>
        <w:spacing w:after="0" w:line="268" w:lineRule="auto"/>
        <w:tabs>
          <w:tab w:leader="none" w:pos="8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8"/>
          <w:szCs w:val="18"/>
          <w:color w:val="auto"/>
        </w:rPr>
      </w:pPr>
    </w:p>
    <w:p>
      <w:pPr>
        <w:ind w:left="420" w:right="60" w:hanging="412"/>
        <w:spacing w:after="0" w:line="268" w:lineRule="auto"/>
        <w:tabs>
          <w:tab w:leader="none" w:pos="4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8"/>
          <w:szCs w:val="18"/>
          <w:color w:val="auto"/>
        </w:rPr>
      </w:pPr>
    </w:p>
    <w:p>
      <w:pPr>
        <w:ind w:left="820" w:right="100" w:hanging="326"/>
        <w:spacing w:after="0" w:line="287" w:lineRule="auto"/>
        <w:tabs>
          <w:tab w:leader="none" w:pos="8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8"/>
          <w:szCs w:val="18"/>
          <w:color w:val="auto"/>
        </w:rPr>
      </w:pPr>
    </w:p>
    <w:p>
      <w:pPr>
        <w:ind w:left="820" w:right="340" w:hanging="326"/>
        <w:spacing w:after="0" w:line="287" w:lineRule="auto"/>
        <w:tabs>
          <w:tab w:leader="none" w:pos="8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2026</w:t>
      </w:r>
    </w:p>
    <w:p>
      <w:pPr>
        <w:spacing w:after="0" w:line="185"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/s/ Gina Goetter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Gina Goetter</w:t>
      </w:r>
    </w:p>
    <w:p>
      <w:pPr>
        <w:ind w:left="5920"/>
        <w:spacing w:after="0" w:line="203" w:lineRule="auto"/>
        <w:rPr>
          <w:sz w:val="20"/>
          <w:szCs w:val="20"/>
          <w:color w:val="auto"/>
        </w:rPr>
      </w:pPr>
      <w:r>
        <w:rPr>
          <w:rFonts w:ascii="Arial" w:cs="Arial" w:eastAsia="Arial" w:hAnsi="Arial"/>
          <w:sz w:val="18"/>
          <w:szCs w:val="18"/>
          <w:color w:val="auto"/>
        </w:rPr>
        <w:t>Chief Financial Officer and Chief Operating Officer</w:t>
      </w:r>
    </w:p>
    <w:p>
      <w:pPr>
        <w:ind w:left="5920"/>
        <w:spacing w:after="0"/>
        <w:rPr>
          <w:sz w:val="20"/>
          <w:szCs w:val="20"/>
          <w:color w:val="auto"/>
        </w:rPr>
      </w:pPr>
      <w:r>
        <w:rPr>
          <w:rFonts w:ascii="Arial" w:cs="Arial" w:eastAsia="Arial" w:hAnsi="Arial"/>
          <w:sz w:val="18"/>
          <w:szCs w:val="18"/>
          <w:color w:val="auto"/>
        </w:rPr>
        <w:t>(Principal Financial and Principal Accounting Officer)</w:t>
      </w:r>
    </w:p>
    <w:p>
      <w:pPr>
        <w:sectPr>
          <w:pgSz w:w="11900" w:h="16838" w:orient="portrait"/>
          <w:cols w:equalWidth="0" w:num="1">
            <w:col w:w="11240"/>
          </w:cols>
          <w:pgMar w:left="320" w:top="106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4" w:lineRule="exact"/>
        <w:rPr>
          <w:sz w:val="20"/>
          <w:szCs w:val="20"/>
          <w:color w:val="auto"/>
        </w:rPr>
      </w:pPr>
    </w:p>
    <w:p>
      <w:pPr>
        <w:ind w:left="420" w:right="100" w:hanging="412"/>
        <w:spacing w:after="0" w:line="268" w:lineRule="auto"/>
        <w:tabs>
          <w:tab w:leader="none" w:pos="4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27, 2026, as filed with the Securities and Exchange Commission (the “10-Q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0" w:right="320" w:hanging="412"/>
        <w:spacing w:after="0" w:line="287" w:lineRule="auto"/>
        <w:tabs>
          <w:tab w:leader="none" w:pos="4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2" w:lineRule="exact"/>
        <w:rPr>
          <w:sz w:val="20"/>
          <w:szCs w:val="20"/>
          <w:color w:val="auto"/>
        </w:rPr>
      </w:pPr>
    </w:p>
    <w:p>
      <w:pPr>
        <w:ind w:left="2360"/>
        <w:spacing w:after="0"/>
        <w:rPr>
          <w:sz w:val="20"/>
          <w:szCs w:val="20"/>
          <w:color w:val="auto"/>
        </w:rPr>
      </w:pPr>
      <w:r>
        <w:rPr>
          <w:rFonts w:ascii="Arial" w:cs="Arial" w:eastAsia="Arial" w:hAnsi="Arial"/>
          <w:sz w:val="18"/>
          <w:szCs w:val="18"/>
          <w:u w:val="single" w:color="auto"/>
          <w:color w:val="auto"/>
        </w:rPr>
        <w:t>/s/ Chris Cocks</w:t>
      </w:r>
    </w:p>
    <w:p>
      <w:pPr>
        <w:ind w:left="2360"/>
        <w:spacing w:after="0" w:line="203" w:lineRule="auto"/>
        <w:rPr>
          <w:sz w:val="20"/>
          <w:szCs w:val="20"/>
          <w:color w:val="auto"/>
        </w:rPr>
      </w:pPr>
      <w:r>
        <w:rPr>
          <w:rFonts w:ascii="Arial" w:cs="Arial" w:eastAsia="Arial" w:hAnsi="Arial"/>
          <w:sz w:val="18"/>
          <w:szCs w:val="18"/>
          <w:color w:val="auto"/>
        </w:rPr>
        <w:t>Chris Cocks</w:t>
      </w:r>
    </w:p>
    <w:p>
      <w:pPr>
        <w:ind w:left="2360"/>
        <w:spacing w:after="0"/>
        <w:rPr>
          <w:sz w:val="20"/>
          <w:szCs w:val="20"/>
          <w:color w:val="auto"/>
        </w:rPr>
      </w:pPr>
      <w:r>
        <w:rPr>
          <w:rFonts w:ascii="Arial" w:cs="Arial" w:eastAsia="Arial" w:hAnsi="Arial"/>
          <w:sz w:val="18"/>
          <w:szCs w:val="18"/>
          <w:color w:val="auto"/>
        </w:rPr>
        <w:t>Chief Executive Officer of Hasbro,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2026</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44" w:lineRule="exact"/>
        <w:rPr>
          <w:sz w:val="20"/>
          <w:szCs w:val="20"/>
          <w:color w:val="auto"/>
        </w:rPr>
      </w:pPr>
    </w:p>
    <w:p>
      <w:pPr>
        <w:ind w:left="420" w:right="100" w:hanging="412"/>
        <w:spacing w:after="0" w:line="268" w:lineRule="auto"/>
        <w:tabs>
          <w:tab w:leader="none" w:pos="4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27, 2026, as filed with the Securities and Exchange Commission (the “10-Q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0" w:right="320" w:hanging="412"/>
        <w:spacing w:after="0" w:line="287" w:lineRule="auto"/>
        <w:tabs>
          <w:tab w:leader="none" w:pos="4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u w:val="single" w:color="auto"/>
          <w:color w:val="auto"/>
        </w:rPr>
        <w:t>/s/ Gina Goetter</w:t>
      </w:r>
    </w:p>
    <w:p>
      <w:pPr>
        <w:ind w:left="3560"/>
        <w:spacing w:after="0" w:line="203" w:lineRule="auto"/>
        <w:rPr>
          <w:sz w:val="20"/>
          <w:szCs w:val="20"/>
          <w:color w:val="auto"/>
        </w:rPr>
      </w:pPr>
      <w:r>
        <w:rPr>
          <w:rFonts w:ascii="Arial" w:cs="Arial" w:eastAsia="Arial" w:hAnsi="Arial"/>
          <w:sz w:val="18"/>
          <w:szCs w:val="18"/>
          <w:color w:val="auto"/>
        </w:rPr>
        <w:t>Gina Goetter</w:t>
      </w:r>
    </w:p>
    <w:p>
      <w:pPr>
        <w:ind w:left="3560"/>
        <w:spacing w:after="0"/>
        <w:rPr>
          <w:sz w:val="20"/>
          <w:szCs w:val="20"/>
          <w:color w:val="auto"/>
        </w:rPr>
      </w:pPr>
      <w:r>
        <w:rPr>
          <w:rFonts w:ascii="Arial" w:cs="Arial" w:eastAsia="Arial" w:hAnsi="Arial"/>
          <w:sz w:val="18"/>
          <w:szCs w:val="18"/>
          <w:color w:val="auto"/>
        </w:rPr>
        <w:t>Chief Financial Officer and Chief Operating Officer of Hasbro,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2026</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4"/>
    </w:lvl>
  </w:abstractNum>
  <w:abstractNum w:abstractNumId="9">
    <w:nsid w:val="2901D82"/>
    <w:multiLevelType w:val="hybridMultilevel"/>
    <w:lvl w:ilvl="0">
      <w:lvlJc w:val="left"/>
      <w:lvlText w:val="(%1)"/>
      <w:numFmt w:val="decimal"/>
      <w:start w:val="5"/>
    </w:lvl>
  </w:abstractNum>
  <w:abstractNum w:abstractNumId="10">
    <w:nsid w:val="3A95F874"/>
    <w:multiLevelType w:val="hybridMultilevel"/>
    <w:lvl w:ilvl="0">
      <w:lvlJc w:val="left"/>
      <w:lvlText w:val="(%1)"/>
      <w:numFmt w:val="decimal"/>
      <w:start w:val="6"/>
    </w:lvl>
  </w:abstractNum>
  <w:abstractNum w:abstractNumId="11">
    <w:nsid w:val="8138641"/>
    <w:multiLevelType w:val="hybridMultilevel"/>
    <w:lvl w:ilvl="0">
      <w:lvlJc w:val="left"/>
      <w:lvlText w:val="(%1)"/>
      <w:numFmt w:val="decimal"/>
      <w:start w:val="7"/>
    </w:lvl>
  </w:abstractNum>
  <w:abstractNum w:abstractNumId="12">
    <w:nsid w:val="1E7FF521"/>
    <w:multiLevelType w:val="hybridMultilevel"/>
    <w:lvl w:ilvl="0">
      <w:lvlJc w:val="left"/>
      <w:lvlText w:val="(%1)"/>
      <w:numFmt w:val="decimal"/>
      <w:start w:val="8"/>
    </w:lvl>
  </w:abstractNum>
  <w:abstractNum w:abstractNumId="13">
    <w:nsid w:val="7C3DBD3D"/>
    <w:multiLevelType w:val="hybridMultilevel"/>
    <w:lvl w:ilvl="0">
      <w:lvlJc w:val="left"/>
      <w:lvlText w:val="(%1)"/>
      <w:numFmt w:val="decimal"/>
      <w:start w:val="9"/>
    </w:lvl>
  </w:abstractNum>
  <w:abstractNum w:abstractNumId="14">
    <w:nsid w:val="737B8DDC"/>
    <w:multiLevelType w:val="hybridMultilevel"/>
    <w:lvl w:ilvl="0">
      <w:lvlJc w:val="left"/>
      <w:lvlText w:val="(%1)"/>
      <w:numFmt w:val="decimal"/>
      <w:start w:val="10"/>
    </w:lvl>
  </w:abstractNum>
  <w:abstractNum w:abstractNumId="15">
    <w:nsid w:val="6CEAF087"/>
    <w:multiLevelType w:val="hybridMultilevel"/>
    <w:lvl w:ilvl="0">
      <w:lvlJc w:val="left"/>
      <w:lvlText w:val="(%1)"/>
      <w:numFmt w:val="decimal"/>
      <w:start w:val="1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2"/>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3"/>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4"/>
    </w:lvl>
  </w:abstractNum>
  <w:abstractNum w:abstractNumId="22">
    <w:nsid w:val="440BADFC"/>
    <w:multiLevelType w:val="hybridMultilevel"/>
    <w:lvl w:ilvl="0">
      <w:lvlJc w:val="left"/>
      <w:lvlText w:val="(%1)"/>
      <w:numFmt w:val="decimal"/>
      <w:start w:val="15"/>
    </w:lvl>
  </w:abstractNum>
  <w:abstractNum w:abstractNumId="23">
    <w:nsid w:val="5072367"/>
    <w:multiLevelType w:val="hybridMultilevel"/>
    <w:lvl w:ilvl="0">
      <w:lvlJc w:val="left"/>
      <w:lvlText w:val="(%1)"/>
      <w:numFmt w:val="decimal"/>
      <w:start w:val="16"/>
    </w:lvl>
  </w:abstractNum>
  <w:abstractNum w:abstractNumId="24">
    <w:nsid w:val="3804823E"/>
    <w:multiLevelType w:val="hybridMultilevel"/>
    <w:lvl w:ilvl="0">
      <w:lvlJc w:val="left"/>
      <w:lvlText w:val="(%1)"/>
      <w:numFmt w:val="decimal"/>
      <w:start w:val="17"/>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3"/>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3"/>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3"/>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
      <w:numFmt w:val="bullet"/>
      <w:start w:val="1"/>
    </w:lvl>
    <w:lvl w:ilvl="1">
      <w:lvlJc w:val="left"/>
      <w:lvlText w:val="%2"/>
      <w:numFmt w:val="decimal"/>
      <w:start w:val="104"/>
    </w:lvl>
  </w:abstractNum>
  <w:abstractNum w:abstractNumId="43">
    <w:nsid w:val="4B588F54"/>
    <w:multiLevelType w:val="hybridMultilevel"/>
    <w:lvl w:ilvl="0">
      <w:lvlJc w:val="left"/>
      <w:lvlText w:val="**"/>
      <w:numFmt w:val="bullet"/>
      <w:start w:val="1"/>
    </w:lvl>
    <w:lvl w:ilvl="1">
      <w:lvlJc w:val="left"/>
      <w:lvlText w:val="%2"/>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5" Type="http://schemas.openxmlformats.org/officeDocument/2006/relationships/image" Target="media/image75.png"/><Relationship Id="rId88" Type="http://schemas.openxmlformats.org/officeDocument/2006/relationships/image" Target="media/image76.png"/><Relationship Id="rId91" Type="http://schemas.openxmlformats.org/officeDocument/2006/relationships/image" Target="media/image77.png"/><Relationship Id="rId94" Type="http://schemas.openxmlformats.org/officeDocument/2006/relationships/image" Target="media/image78.png"/><Relationship Id="rId97" Type="http://schemas.openxmlformats.org/officeDocument/2006/relationships/image" Target="media/image79.png"/><Relationship Id="rId100" Type="http://schemas.openxmlformats.org/officeDocument/2006/relationships/image" Target="media/image80.png"/><Relationship Id="rId103"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81" Type="http://schemas.openxmlformats.org/officeDocument/2006/relationships/hyperlink" Target="https://www.sec.gov/Archives/edgar/data/46080/000004608000000013/0000046080-00-000013-0002.txt" TargetMode="External"/><Relationship Id="rId83" Type="http://schemas.openxmlformats.org/officeDocument/2006/relationships/hyperlink" Target="https://www.sec.gov/Archives/edgar/data/46080/000004608000000013/0000046080-00-000013-0005.txt" TargetMode="External"/><Relationship Id="rId84" Type="http://schemas.openxmlformats.org/officeDocument/2006/relationships/hyperlink" Target="https://www.sec.gov/Archives/edgar/data/46080/000004608003000022/ex3-3q203.htm" TargetMode="External"/><Relationship Id="rId86" Type="http://schemas.openxmlformats.org/officeDocument/2006/relationships/hyperlink" Target="https://www.sec.gov/Archives/edgar/data/46080/000004608022000109/hasbro-secondamendedandres.htm" TargetMode="External"/><Relationship Id="rId87" Type="http://schemas.openxmlformats.org/officeDocument/2006/relationships/hyperlink" Target="https://www.sec.gov/Archives/edgar/data/46080/000004608000000013/0000046080-00-000013-0003.txt" TargetMode="External"/><Relationship Id="rId89" Type="http://schemas.openxmlformats.org/officeDocument/2006/relationships/hyperlink" Target="https://www.sec.gov/Archives/edgar/data/46080/000004608000000013/0000046080-00-000013-0004.txt" TargetMode="External"/><Relationship Id="rId90" Type="http://schemas.openxmlformats.org/officeDocument/2006/relationships/hyperlink" Target="https://www.sec.gov/Archives/edgar/data/46080/0000950172-98-000702.txt" TargetMode="External"/><Relationship Id="rId92" Type="http://schemas.openxmlformats.org/officeDocument/2006/relationships/hyperlink" Target="https://www.sec.gov/Archives/edgar/data/46080/000004608000000003/0000046080-00-000003.txt" TargetMode="External"/><Relationship Id="rId93" Type="http://schemas.openxmlformats.org/officeDocument/2006/relationships/hyperlink" Target="https://www.sec.gov/Archives/edgar/data/46080/000095013507005709/b66906hbexv4w1.htm" TargetMode="External"/><Relationship Id="rId95" Type="http://schemas.openxmlformats.org/officeDocument/2006/relationships/hyperlink" Target="https://www.sec.gov/Archives/edgar/data/46080/000095013509003948/b75462hiexv4w1.htm" TargetMode="External"/><Relationship Id="rId96" Type="http://schemas.openxmlformats.org/officeDocument/2006/relationships/hyperlink" Target="https://www.sec.gov/Archives/edgar/data/46080/000095012310023420/b80058exv4w1.htm" TargetMode="External"/><Relationship Id="rId98" Type="http://schemas.openxmlformats.org/officeDocument/2006/relationships/hyperlink" Target="https://www.sec.gov/Archives/edgar/data/46080/000119312514196726/d727293dex41.htm" TargetMode="External"/><Relationship Id="rId99" Type="http://schemas.openxmlformats.org/officeDocument/2006/relationships/hyperlink" Target="https://www.sec.gov/Archives/edgar/data/46080/000119312517283854/d456734dex41.htm" TargetMode="External"/><Relationship Id="rId101" Type="http://schemas.openxmlformats.org/officeDocument/2006/relationships/hyperlink" Target="https://www.sec.gov/Archives/edgar/data/46080/000119312519295544/d822953dex12.htm" TargetMode="External"/><Relationship Id="rId102" Type="http://schemas.openxmlformats.org/officeDocument/2006/relationships/hyperlink" Target="https://www.sec.gov/Archives/edgar/data/46080/000119312524138322/d838682dex42.htm" TargetMode="External"/><Relationship Id="rId104" Type="http://schemas.openxmlformats.org/officeDocument/2006/relationships/hyperlink" Target="https://www.sec.gov/Archives/edgar/data/46080/000119312526104184/d16707dex42.htm" TargetMode="External"/><Relationship Id="rId105" Type="http://schemas.openxmlformats.org/officeDocument/2006/relationships/hyperlink" Target="https://www.sec.gov/Archives/edgar/data/46080/000004608026000047/jhighttransitionaladvisor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2026-10-29T15:44:40Z</dcterms:created>
  <dcterms:modified xsi:type="dcterms:W3CDTF">2026-10-29T15:44:40Z</dcterms:modified>
</cp:coreProperties>
</file>