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30, 2025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 xml:space="preserve">HASBRO,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337" w:type="dxa"/>
        <w:jc w:val="center"/>
        <w:tblInd w:w="0" w:type="dxa"/>
        <w:tblLayout w:type="fixed"/>
        <w:tblCellMar>
          <w:top w:w="28" w:type="dxa"/>
          <w:left w:w="28" w:type="dxa"/>
          <w:bottom w:w="28" w:type="dxa"/>
          <w:right w:w="28" w:type="dxa"/>
        </w:tblCellMar>
      </w:tblPr>
      <w:tblGrid>
        <w:gridCol w:w="949"/>
        <w:gridCol w:w="835"/>
        <w:gridCol w:w="835"/>
        <w:gridCol w:w="835"/>
        <w:gridCol w:w="835"/>
        <w:gridCol w:w="854"/>
        <w:gridCol w:w="932"/>
        <w:gridCol w:w="932"/>
        <w:gridCol w:w="1330"/>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3194" w:type="dxa"/>
            <w:gridSpan w:val="3"/>
            <w:tcBorders/>
            <w:tcMar>
              <w:top w:w="0" w:type="dxa"/>
              <w:left w:w="0" w:type="dxa"/>
              <w:bottom w:w="0" w:type="dxa"/>
              <w:right w:w="0" w:type="dxa"/>
            </w:tcMar>
            <w:vAlign w:val="center"/>
          </w:tcPr>
          <w:p>
            <w:pPr>
              <w:pStyle w:val="TableContents"/>
              <w:bidi w:val="0"/>
              <w:spacing w:before="0" w:after="20"/>
              <w:jc w:val="center"/>
              <w:rPr/>
            </w:pPr>
            <w:r>
              <w:rPr/>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25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5143"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(401) 431-8697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ind w:left="0" w:right="0" w:firstLine="63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702" w:type="dxa"/>
        <w:jc w:val="center"/>
        <w:tblInd w:w="0" w:type="dxa"/>
        <w:tblLayout w:type="fixed"/>
        <w:tblCellMar>
          <w:top w:w="28" w:type="dxa"/>
          <w:left w:w="28" w:type="dxa"/>
          <w:bottom w:w="28" w:type="dxa"/>
          <w:right w:w="28" w:type="dxa"/>
        </w:tblCellMar>
      </w:tblPr>
      <w:tblGrid>
        <w:gridCol w:w="1449"/>
        <w:gridCol w:w="1271"/>
        <w:gridCol w:w="1284"/>
        <w:gridCol w:w="564"/>
        <w:gridCol w:w="564"/>
        <w:gridCol w:w="566"/>
        <w:gridCol w:w="1170"/>
        <w:gridCol w:w="1170"/>
        <w:gridCol w:w="166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4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4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pStyle w:val="TextBody"/>
        <w:bidi w:val="0"/>
        <w:spacing w:lineRule="auto" w:line="288" w:before="8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[x]</w:t>
      </w:r>
    </w:p>
    <w:p>
      <w:pPr>
        <w:pStyle w:val="TextBody"/>
        <w:bidi w:val="0"/>
        <w:spacing w:lineRule="auto" w:line="288" w:before="20" w:after="283"/>
        <w:ind w:left="0" w:right="0" w:firstLine="720"/>
        <w:jc w:val="left"/>
        <w:rPr>
          <w:rFonts w:ascii="Arial;sans-serif" w:hAnsi="Arial;sans-serif"/>
          <w:b w:val="false"/>
          <w:color w:val="000000"/>
          <w:sz w:val="20"/>
        </w:rPr>
      </w:pPr>
      <w:r>
        <w:rPr>
          <w:rFonts w:ascii="Arial;sans-serif" w:hAnsi="Arial;sans-serif"/>
          <w:b w:val="false"/>
          <w:color w:val="000000"/>
          <w:sz w:val="20"/>
        </w:rPr>
        <w:t>The number of shares of Common Stock, par value $.50 per share, outstanding as of April 24, 2025 was 140,129,383.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10-Q</w:t>
      </w:r>
    </w:p>
    <w:p>
      <w:pPr>
        <w:pStyle w:val="TextBody"/>
        <w:bidi w:val="0"/>
        <w:spacing w:lineRule="auto" w:line="288" w:before="0" w:after="0"/>
        <w:jc w:val="center"/>
        <w:rPr/>
      </w:pPr>
      <w:r>
        <w:rPr>
          <w:rFonts w:ascii="Arial;sans-serif" w:hAnsi="Arial;sans-serif"/>
          <w:b/>
          <w:color w:val="212529"/>
          <w:sz w:val="20"/>
        </w:rPr>
        <w:t>For the Three Months Ended March 30, 2025</w:t>
      </w:r>
      <w:r>
        <w:rPr>
          <w:color w:val="000000"/>
        </w:rPr>
        <w:t xml:space="preserve"> </w:t>
      </w:r>
    </w:p>
    <w:tbl>
      <w:tblPr>
        <w:tblW w:w="9252" w:type="dxa"/>
        <w:jc w:val="left"/>
        <w:tblInd w:w="0" w:type="dxa"/>
        <w:tblLayout w:type="fixed"/>
        <w:tblCellMar>
          <w:top w:w="28" w:type="dxa"/>
          <w:left w:w="28" w:type="dxa"/>
          <w:bottom w:w="28" w:type="dxa"/>
          <w:right w:w="28" w:type="dxa"/>
        </w:tblCellMar>
      </w:tblPr>
      <w:tblGrid>
        <w:gridCol w:w="399"/>
        <w:gridCol w:w="324"/>
        <w:gridCol w:w="328"/>
        <w:gridCol w:w="2607"/>
        <w:gridCol w:w="2607"/>
        <w:gridCol w:w="2615"/>
        <w:gridCol w:w="109"/>
        <w:gridCol w:w="109"/>
        <w:gridCol w:w="154"/>
      </w:tblGrid>
      <w:tr>
        <w:trPr/>
        <w:tc>
          <w:tcPr>
            <w:tcW w:w="3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
              <w:r>
                <w:rPr>
                  <w:rStyle w:val="InternetLink"/>
                  <w:rFonts w:ascii="Arial;sans-serif" w:hAnsi="Arial;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6">
              <w:r>
                <w:rPr>
                  <w:rStyle w:val="InternetLink"/>
                  <w:rFonts w:ascii="Arial;sans-serif" w:hAnsi="Arial;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6">
              <w:r>
                <w:rPr>
                  <w:rStyle w:val="InternetLink"/>
                  <w:rFonts w:ascii="Arial;sans-serif" w:hAnsi="Arial;sans-serif"/>
                  <w:b w:val="false"/>
                  <w:color w:val="0000FF"/>
                  <w:sz w:val="20"/>
                  <w:u w:val="single"/>
                </w:rPr>
                <w:t>5</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9">
              <w:r>
                <w:rPr>
                  <w:rStyle w:val="InternetLink"/>
                  <w:rFonts w:ascii="Arial;sans-serif" w:hAnsi="Arial;sans-serif"/>
                  <w:b w:val="false"/>
                  <w:color w:val="0000FF"/>
                  <w:sz w:val="20"/>
                  <w:u w:val="single"/>
                </w:rPr>
                <w:t>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9">
              <w:r>
                <w:rPr>
                  <w:rStyle w:val="InternetLink"/>
                  <w:rFonts w:ascii="Arial;sans-serif" w:hAnsi="Arial;sans-serif"/>
                  <w:b w:val="false"/>
                  <w:color w:val="0000FF"/>
                  <w:sz w:val="20"/>
                  <w:u w:val="single"/>
                </w:rPr>
                <w:t>5</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2">
              <w:r>
                <w:rPr>
                  <w:rStyle w:val="InternetLink"/>
                  <w:rFonts w:ascii="Arial;sans-serif" w:hAnsi="Arial;sans-serif"/>
                  <w:b w:val="false"/>
                  <w:color w:val="0000FF"/>
                  <w:sz w:val="20"/>
                  <w:u w:val="single"/>
                </w:rPr>
                <w:t>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2">
              <w:r>
                <w:rPr>
                  <w:rStyle w:val="InternetLink"/>
                  <w:rFonts w:ascii="Arial;sans-serif" w:hAnsi="Arial;sans-serif"/>
                  <w:b w:val="false"/>
                  <w:color w:val="0000FF"/>
                  <w:sz w:val="20"/>
                  <w:u w:val="single"/>
                </w:rPr>
                <w:t>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5">
              <w:r>
                <w:rPr>
                  <w:rStyle w:val="InternetLink"/>
                  <w:rFonts w:ascii="Arial;sans-serif" w:hAnsi="Arial;sans-serif"/>
                  <w:b w:val="false"/>
                  <w:color w:val="0000FF"/>
                  <w:sz w:val="20"/>
                  <w:u w:val="single"/>
                </w:rPr>
                <w:t>Consolidated Statements of Comprehensive Earnings (Loss)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5">
              <w:r>
                <w:rPr>
                  <w:rStyle w:val="InternetLink"/>
                  <w:rFonts w:ascii="Arial;sans-serif" w:hAnsi="Arial;sans-serif"/>
                  <w:b w:val="false"/>
                  <w:color w:val="0000FF"/>
                  <w:sz w:val="20"/>
                  <w:u w:val="single"/>
                </w:rPr>
                <w:t>7</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8">
              <w:r>
                <w:rPr>
                  <w:rStyle w:val="InternetLink"/>
                  <w:rFonts w:ascii="Arial;sans-serif" w:hAnsi="Arial;sans-serif"/>
                  <w:b w:val="false"/>
                  <w:color w:val="0000FF"/>
                  <w:sz w:val="20"/>
                  <w:u w:val="single"/>
                </w:rPr>
                <w:t>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28">
              <w:r>
                <w:rPr>
                  <w:rStyle w:val="InternetLink"/>
                  <w:rFonts w:ascii="Arial;sans-serif" w:hAnsi="Arial;sans-serif"/>
                  <w:b w:val="false"/>
                  <w:color w:val="0000FF"/>
                  <w:sz w:val="20"/>
                  <w:u w:val="single"/>
                </w:rPr>
                <w:t>8</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31">
              <w:r>
                <w:rPr>
                  <w:rStyle w:val="InternetLink"/>
                  <w:rFonts w:ascii="Arial;sans-serif" w:hAnsi="Arial;sans-serif"/>
                  <w:b w:val="false"/>
                  <w:color w:val="0000FF"/>
                  <w:sz w:val="20"/>
                  <w:u w:val="single"/>
                </w:rPr>
                <w:t>Consolidated Statements of Shareholders'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31">
              <w:r>
                <w:rPr>
                  <w:rStyle w:val="InternetLink"/>
                  <w:rFonts w:ascii="Arial;sans-serif" w:hAnsi="Arial;sans-serif"/>
                  <w:b w:val="false"/>
                  <w:color w:val="0000FF"/>
                  <w:sz w:val="20"/>
                  <w:u w:val="single"/>
                </w:rPr>
                <w:t>9</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pPr>
            <w:hyperlink w:anchor="i5ba3a5700ba74642a50ce37c2f5a26f3_34">
              <w:r>
                <w:rPr>
                  <w:rStyle w:val="InternetLink"/>
                  <w:rFonts w:ascii="Arial;sans-serif" w:hAnsi="Arial;sans-serif"/>
                  <w:b w:val="false"/>
                  <w:color w:val="0000FF"/>
                  <w:sz w:val="20"/>
                  <w:u w:val="single"/>
                </w:rPr>
                <w:t>Condensed 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34">
              <w:r>
                <w:rPr>
                  <w:rStyle w:val="InternetLink"/>
                  <w:rFonts w:ascii="Arial;sans-serif" w:hAnsi="Arial;sans-serif"/>
                  <w:b w:val="false"/>
                  <w:color w:val="0000FF"/>
                  <w:sz w:val="20"/>
                  <w:u w:val="single"/>
                </w:rPr>
                <w:t>10</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85">
              <w:r>
                <w:rPr>
                  <w:rStyle w:val="InternetLink"/>
                  <w:rFonts w:ascii="Arial;sans-serif" w:hAnsi="Arial;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85">
              <w:r>
                <w:rPr>
                  <w:rStyle w:val="InternetLink"/>
                  <w:rFonts w:ascii="Arial;sans-serif" w:hAnsi="Arial;sans-serif"/>
                  <w:b w:val="false"/>
                  <w:color w:val="0000FF"/>
                  <w:sz w:val="20"/>
                  <w:u w:val="single"/>
                </w:rPr>
                <w:t>26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5ba3a5700ba74642a50ce37c2f5a26f3_115">
              <w:r>
                <w:rPr>
                  <w:rStyle w:val="InternetLink"/>
                  <w:rFonts w:ascii="Arial;sans-serif" w:hAnsi="Arial;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15">
              <w:r>
                <w:rPr>
                  <w:rStyle w:val="InternetLink"/>
                  <w:rFonts w:ascii="Arial;sans-serif" w:hAnsi="Arial;sans-serif"/>
                  <w:b w:val="false"/>
                  <w:color w:val="0000FF"/>
                  <w:sz w:val="20"/>
                  <w:u w:val="single"/>
                </w:rPr>
                <w:t>34</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18">
              <w:r>
                <w:rPr>
                  <w:rStyle w:val="InternetLink"/>
                  <w:rFonts w:ascii="Arial;sans-serif" w:hAnsi="Arial;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18">
              <w:r>
                <w:rPr>
                  <w:rStyle w:val="InternetLink"/>
                  <w:rFonts w:ascii="Arial;sans-serif" w:hAnsi="Arial;sans-serif"/>
                  <w:b w:val="false"/>
                  <w:color w:val="0000FF"/>
                  <w:sz w:val="20"/>
                  <w:u w:val="single"/>
                </w:rPr>
                <w:t>34</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1">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1">
              <w:r>
                <w:rPr>
                  <w:rStyle w:val="InternetLink"/>
                  <w:rFonts w:ascii="Arial;sans-serif" w:hAnsi="Arial;sans-serif"/>
                  <w:b w:val="false"/>
                  <w:color w:val="0000FF"/>
                  <w:sz w:val="20"/>
                  <w:u w:val="single"/>
                </w:rPr>
                <w:t>36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4">
              <w:r>
                <w:rPr>
                  <w:rStyle w:val="InternetLink"/>
                  <w:rFonts w:ascii="Arial;sans-serif" w:hAnsi="Arial;sans-serif"/>
                  <w:b w:val="false"/>
                  <w:color w:val="0000FF"/>
                  <w:sz w:val="20"/>
                  <w:u w:val="single"/>
                </w:rPr>
                <w:t>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4">
              <w:r>
                <w:rPr>
                  <w:rStyle w:val="InternetLink"/>
                  <w:rFonts w:ascii="Arial;sans-serif" w:hAnsi="Arial;sans-serif"/>
                  <w:b w:val="false"/>
                  <w:color w:val="0000FF"/>
                  <w:sz w:val="20"/>
                  <w:u w:val="single"/>
                </w:rPr>
                <w:t>36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7">
              <w:r>
                <w:rPr>
                  <w:rStyle w:val="InternetLink"/>
                  <w:rFonts w:ascii="Arial;sans-serif" w:hAnsi="Arial;sans-serif"/>
                  <w:b w:val="false"/>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27">
              <w:r>
                <w:rPr>
                  <w:rStyle w:val="InternetLink"/>
                  <w:rFonts w:ascii="Arial;sans-serif" w:hAnsi="Arial;sans-serif"/>
                  <w:b w:val="false"/>
                  <w:color w:val="0000FF"/>
                  <w:sz w:val="20"/>
                  <w:u w:val="single"/>
                </w:rPr>
                <w:t>36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0">
              <w:r>
                <w:rPr>
                  <w:rStyle w:val="InternetLink"/>
                  <w:rFonts w:ascii="Arial;sans-serif" w:hAnsi="Arial;sans-serif"/>
                  <w:b w:val="false"/>
                  <w:color w:val="0000FF"/>
                  <w:sz w:val="20"/>
                  <w:u w:val="single"/>
                </w:rPr>
                <w:t>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0">
              <w:r>
                <w:rPr>
                  <w:rStyle w:val="InternetLink"/>
                  <w:rFonts w:ascii="Arial;sans-serif" w:hAnsi="Arial;sans-serif"/>
                  <w:b w:val="false"/>
                  <w:color w:val="0000FF"/>
                  <w:sz w:val="20"/>
                  <w:u w:val="single"/>
                </w:rPr>
                <w:t>36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3">
              <w:r>
                <w:rPr>
                  <w:rStyle w:val="InternetLink"/>
                  <w:rFonts w:ascii="Arial;sans-serif" w:hAnsi="Arial;sans-serif"/>
                  <w:b w:val="false"/>
                  <w:color w:val="0000FF"/>
                  <w:sz w:val="20"/>
                  <w:u w:val="single"/>
                </w:rPr>
                <w:t>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3">
              <w:r>
                <w:rPr>
                  <w:rStyle w:val="InternetLink"/>
                  <w:rFonts w:ascii="Arial;sans-serif" w:hAnsi="Arial;sans-serif"/>
                  <w:b w:val="false"/>
                  <w:color w:val="0000FF"/>
                  <w:sz w:val="20"/>
                  <w:u w:val="single"/>
                </w:rPr>
                <w:t>36</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6">
              <w:r>
                <w:rPr>
                  <w:rStyle w:val="InternetLink"/>
                  <w:rFonts w:ascii="Arial;sans-serif" w:hAnsi="Arial;sans-serif"/>
                  <w:b w:val="false"/>
                  <w:color w:val="0000FF"/>
                  <w:sz w:val="20"/>
                  <w:u w:val="single"/>
                </w:rPr>
                <w:t>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6">
              <w:r>
                <w:rPr>
                  <w:rStyle w:val="InternetLink"/>
                  <w:rFonts w:ascii="Arial;sans-serif" w:hAnsi="Arial;sans-serif"/>
                  <w:b w:val="false"/>
                  <w:color w:val="0000FF"/>
                  <w:sz w:val="20"/>
                  <w:u w:val="single"/>
                </w:rPr>
                <w:t>36</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9">
              <w:r>
                <w:rPr>
                  <w:rStyle w:val="InternetLink"/>
                  <w:rFonts w:ascii="Arial;sans-serif" w:hAnsi="Arial;sans-serif"/>
                  <w:b w:val="false"/>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39">
              <w:r>
                <w:rPr>
                  <w:rStyle w:val="InternetLink"/>
                  <w:rFonts w:ascii="Arial;sans-serif" w:hAnsi="Arial;sans-serif"/>
                  <w:b w:val="false"/>
                  <w:color w:val="0000FF"/>
                  <w:sz w:val="20"/>
                  <w:u w:val="single"/>
                </w:rPr>
                <w:t>37</w:t>
              </w:r>
            </w:hyperlink>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42">
              <w:r>
                <w:rPr>
                  <w:rStyle w:val="InternetLink"/>
                  <w:rFonts w:ascii="Arial;sans-serif" w:hAnsi="Arial;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42">
              <w:r>
                <w:rPr>
                  <w:rStyle w:val="InternetLink"/>
                  <w:rFonts w:ascii="Arial;sans-serif" w:hAnsi="Arial;sans-serif"/>
                  <w:b w:val="false"/>
                  <w:color w:val="0000FF"/>
                  <w:sz w:val="20"/>
                  <w:u w:val="single"/>
                </w:rPr>
                <w:t>38</w:t>
              </w:r>
            </w:hyperlink>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45">
              <w:r>
                <w:rPr>
                  <w:rStyle w:val="InternetLink"/>
                  <w:rFonts w:ascii="Arial;sans-serif" w:hAnsi="Arial;sans-serif"/>
                  <w:b w:val="false"/>
                  <w:color w:val="0000FF"/>
                  <w:sz w:val="20"/>
                  <w:u w:val="single"/>
                </w:rPr>
                <w:t>Signatures</w:t>
              </w:r>
            </w:hyperlink>
          </w:p>
        </w:tc>
        <w:tc>
          <w:tcPr>
            <w:tcW w:w="7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a3a5700ba74642a50ce37c2f5a26f3_145">
              <w:r>
                <w:rPr>
                  <w:rStyle w:val="InternetLink"/>
                  <w:rFonts w:ascii="Arial;sans-serif" w:hAnsi="Arial;sans-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212529"/>
          <w:sz w:val="20"/>
        </w:rPr>
      </w:pPr>
      <w:r>
        <w:rPr>
          <w:rFonts w:ascii="Arial;sans-serif" w:hAnsi="Arial;sans-serif"/>
          <w:b/>
          <w:color w:val="212529"/>
          <w:sz w:val="20"/>
        </w:rPr>
        <w:t>Special Note Regarding 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expected impact of newly issued accounting pronouncements; and financial targets. Our actual actions or results may differ materially from those expected or anticipated in the forward-looking statements due to both known and unknown risks and uncertainties.</w:t>
      </w:r>
    </w:p>
    <w:p>
      <w:pPr>
        <w:pStyle w:val="TextBody"/>
        <w:bidi w:val="0"/>
        <w:spacing w:lineRule="auto" w:line="288" w:before="120" w:after="283"/>
        <w:jc w:val="left"/>
        <w:rPr>
          <w:rFonts w:ascii="Arial;sans-serif" w:hAnsi="Arial;sans-serif"/>
          <w:b w:val="false"/>
          <w:color w:val="212529"/>
          <w:sz w:val="20"/>
        </w:rPr>
      </w:pPr>
      <w:r>
        <w:rPr>
          <w:rFonts w:ascii="Arial;sans-serif" w:hAnsi="Arial;sans-serif"/>
          <w:b w:val="false"/>
          <w:color w:val="212529"/>
          <w:sz w:val="20"/>
        </w:rPr>
        <w:t>Factors that might cause such a difference include, but are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successfully implement and execute on our business strategy;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successfully compete in the play industry and further develop our digital gaming, licensing business and partnerships;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associated with the imposition, threat, or uncertainty of tariffs, including reciprocal or retaliatory tariffs, in markets in which we operate which could increase our product costs and other costs of doing business, result in higher prices of our products, impact consumer spending, lower our revenues and earnings and otherwise have an adverse impact on our business;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transform our business and capabilities to address the changing global consumer landscape, including evolving demographics for our products and advancements in technology such as the use of artificial intelligence in the products and markets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associated with international operations, such as: the imposition or threat of tariffs; conflict in territories in which we operate; currency conversion; currency fluctuations; quotas; shipping delays or difficulties; border adjustment taxes or other protectionist measures; and other challenges in the territories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uncertain and unpredictable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design, develop, manufacture, and ship products on a timely, cost-effective and profitable basis;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dependence on third party relationships, including with third party partners, manufacturers, distributors, studios, content producers, licensors, licensees, and outsourcers, which creates reliance on others and loss of control;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relating to the concentration of manufacturing for many of our products in the People’s Republic of China, which include the risks associated with increased tariffs imposed by China and the U.S., and our ability to successfully diversify sourcing of our products to reduce reliance on sources of supply in China;</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attract and retain talented and diverse employees, particularly following recent workforce reductions;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realize the benefits of cost-savings and efficiency and/or revenue and operating profit enhancing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risks relating to the impairment and/or write-offs of businesses, products and content we acquire and/or produce;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risk that acquisitions, dispositions and other investments we complete may not provide us with the benefits we expect, or the realization of such benefits may be significantly delayed;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protect our assets and intellectual property, including as a result of infringement, theft, misappropriation, cyber-attacks or other acts compromising the integrity of our assets or intellectual property;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fluctuations in our business due to seasonality;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risk of product recalls or product liability suits and costs associated with product safety regulations;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impact of litigation or arbitration decisions or settlement actions;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bankruptcy or other lack of success of one or more of our significant retailers, licensees and other partners;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risks and uncertainties as may be detailed in our public announcements and U.S. Securities and Exchange Commission (“SEC”) filings.</w:t>
      </w:r>
    </w:p>
    <w:p>
      <w:pPr>
        <w:pStyle w:val="TextBody"/>
        <w:bidi w:val="0"/>
        <w:spacing w:lineRule="auto" w:line="288" w:before="120" w:after="283"/>
        <w:jc w:val="both"/>
        <w:rPr/>
      </w:pPr>
      <w:r>
        <w:rPr>
          <w:rFonts w:ascii="Arial;sans-serif" w:hAnsi="Arial;sans-serif"/>
          <w:b w:val="false"/>
          <w:color w:val="212529"/>
          <w:sz w:val="20"/>
        </w:rPr>
        <w:t xml:space="preserve">For a detailed discussion of these and other risks, uncertainties and factors, see Part I, Item 1A— “Risk Factors” of our Annual Report on Form 10-K for the fiscal year ended </w:t>
      </w:r>
      <w:r>
        <w:rPr>
          <w:rFonts w:ascii="Arial;sans-serif" w:hAnsi="Arial;sans-serif"/>
          <w:b w:val="false"/>
          <w:color w:val="000000"/>
          <w:sz w:val="20"/>
        </w:rPr>
        <w:t>December 29, 2024</w:t>
      </w:r>
      <w:r>
        <w:rPr>
          <w:color w:val="212529"/>
        </w:rPr>
        <w:t xml:space="preserve"> </w:t>
      </w:r>
      <w:r>
        <w:rPr>
          <w:rFonts w:ascii="Arial;sans-serif" w:hAnsi="Arial;sans-serif"/>
          <w:b w:val="false"/>
          <w:color w:val="212529"/>
          <w:sz w:val="20"/>
        </w:rPr>
        <w:t>(the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Annual Report”).</w:t>
      </w:r>
    </w:p>
    <w:p>
      <w:pPr>
        <w:pStyle w:val="TextBody"/>
        <w:bidi w:val="0"/>
        <w:spacing w:lineRule="auto" w:line="288" w:before="120" w:after="283"/>
        <w:jc w:val="both"/>
        <w:rPr>
          <w:rFonts w:ascii="Arial;sans-serif" w:hAnsi="Arial;sans-serif"/>
          <w:b w:val="false"/>
          <w:color w:val="212529"/>
          <w:sz w:val="20"/>
        </w:rPr>
      </w:pPr>
      <w:r>
        <w:rPr>
          <w:rFonts w:ascii="Arial;sans-serif" w:hAnsi="Arial;sans-serif"/>
          <w:b w:val="false"/>
          <w:color w:val="212529"/>
          <w:sz w:val="20"/>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92"/>
        <w:gridCol w:w="1862"/>
        <w:gridCol w:w="1805"/>
        <w:gridCol w:w="211"/>
        <w:gridCol w:w="766"/>
        <w:gridCol w:w="109"/>
        <w:gridCol w:w="109"/>
        <w:gridCol w:w="109"/>
        <w:gridCol w:w="109"/>
        <w:gridCol w:w="211"/>
        <w:gridCol w:w="766"/>
        <w:gridCol w:w="109"/>
        <w:gridCol w:w="109"/>
        <w:gridCol w:w="109"/>
        <w:gridCol w:w="109"/>
        <w:gridCol w:w="227"/>
        <w:gridCol w:w="826"/>
        <w:gridCol w:w="167"/>
      </w:tblGrid>
      <w:tr>
        <w:trPr/>
        <w:tc>
          <w:tcPr>
            <w:tcW w:w="249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including restricted cash of $0.3, $0.9 and $0.3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net of accumulated depreciation of $1,047.6, $1,036.4 and $1,026.7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$439.8, $1,314.7 and $421.2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 NONCONTROLLING INTERESTS AND SHAREHOLDERS'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Preference stock of $2.50 par value. Authorized 5,000,000 shares; none issued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of $0.50 par value. Authorized 600,000,000 shares; issued 220,286,736 shares at March 30, 2025, March 31, 2024, and December 29,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80,160,721 shares at March 30, 2025; 81,081,180 shares at March 31, 2024; and 80,758,045 shares at December 29,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6972" w:type="dxa"/>
        <w:jc w:val="left"/>
        <w:tblInd w:w="0" w:type="dxa"/>
        <w:tblLayout w:type="fixed"/>
        <w:tblCellMar>
          <w:top w:w="28" w:type="dxa"/>
          <w:left w:w="28" w:type="dxa"/>
          <w:bottom w:w="28" w:type="dxa"/>
          <w:right w:w="28" w:type="dxa"/>
        </w:tblCellMar>
      </w:tblPr>
      <w:tblGrid>
        <w:gridCol w:w="1549"/>
        <w:gridCol w:w="1361"/>
        <w:gridCol w:w="1364"/>
        <w:gridCol w:w="213"/>
        <w:gridCol w:w="622"/>
        <w:gridCol w:w="110"/>
        <w:gridCol w:w="109"/>
        <w:gridCol w:w="109"/>
        <w:gridCol w:w="109"/>
        <w:gridCol w:w="213"/>
        <w:gridCol w:w="622"/>
        <w:gridCol w:w="110"/>
        <w:gridCol w:w="109"/>
        <w:gridCol w:w="109"/>
        <w:gridCol w:w="109"/>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Inc.</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per common share:</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common share</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398" w:type="dxa"/>
        <w:jc w:val="left"/>
        <w:tblInd w:w="0" w:type="dxa"/>
        <w:tblLayout w:type="fixed"/>
        <w:tblCellMar>
          <w:top w:w="28" w:type="dxa"/>
          <w:left w:w="28" w:type="dxa"/>
          <w:bottom w:w="28" w:type="dxa"/>
          <w:right w:w="28" w:type="dxa"/>
        </w:tblCellMar>
      </w:tblPr>
      <w:tblGrid>
        <w:gridCol w:w="2060"/>
        <w:gridCol w:w="1816"/>
        <w:gridCol w:w="1824"/>
        <w:gridCol w:w="213"/>
        <w:gridCol w:w="622"/>
        <w:gridCol w:w="110"/>
        <w:gridCol w:w="109"/>
        <w:gridCol w:w="109"/>
        <w:gridCol w:w="109"/>
        <w:gridCol w:w="240"/>
        <w:gridCol w:w="581"/>
        <w:gridCol w:w="124"/>
        <w:gridCol w:w="109"/>
        <w:gridCol w:w="109"/>
        <w:gridCol w:w="109"/>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w:t>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cash flow hedging activities, net of tax</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net of tax:</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cash flow hedging activities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earnings (loss), net of tax</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attributable to noncontrolling interests</w:t>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earnings attributable to Hasbro, Inc.</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rPr>
        <w:t>See accompanying condensed notes to consolidated financial statements.    </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138" w:type="dxa"/>
        <w:jc w:val="center"/>
        <w:tblInd w:w="0" w:type="dxa"/>
        <w:tblLayout w:type="fixed"/>
        <w:tblCellMar>
          <w:top w:w="28" w:type="dxa"/>
          <w:left w:w="28" w:type="dxa"/>
          <w:bottom w:w="28" w:type="dxa"/>
          <w:right w:w="28" w:type="dxa"/>
        </w:tblCellMar>
      </w:tblPr>
      <w:tblGrid>
        <w:gridCol w:w="2190"/>
        <w:gridCol w:w="1924"/>
        <w:gridCol w:w="1930"/>
        <w:gridCol w:w="196"/>
        <w:gridCol w:w="556"/>
        <w:gridCol w:w="109"/>
        <w:gridCol w:w="109"/>
        <w:gridCol w:w="109"/>
        <w:gridCol w:w="109"/>
        <w:gridCol w:w="196"/>
        <w:gridCol w:w="556"/>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earnings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obsolescence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production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accounts payable and accrued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software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tax withholding for 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 of exchange rate changes on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beginning of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467" w:type="dxa"/>
        <w:jc w:val="center"/>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235"/>
        <w:gridCol w:w="685"/>
        <w:gridCol w:w="131"/>
        <w:gridCol w:w="109"/>
        <w:gridCol w:w="109"/>
        <w:gridCol w:w="109"/>
        <w:gridCol w:w="196"/>
        <w:gridCol w:w="706"/>
        <w:gridCol w:w="109"/>
        <w:gridCol w:w="109"/>
        <w:gridCol w:w="109"/>
        <w:gridCol w:w="109"/>
        <w:gridCol w:w="248"/>
        <w:gridCol w:w="589"/>
        <w:gridCol w:w="139"/>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29,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30,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0812" w:type="dxa"/>
        <w:jc w:val="left"/>
        <w:tblInd w:w="0" w:type="dxa"/>
        <w:tblLayout w:type="fixed"/>
        <w:tblCellMar>
          <w:top w:w="28" w:type="dxa"/>
          <w:left w:w="28" w:type="dxa"/>
          <w:bottom w:w="28" w:type="dxa"/>
          <w:right w:w="28" w:type="dxa"/>
        </w:tblCellMar>
      </w:tblPr>
      <w:tblGrid>
        <w:gridCol w:w="767"/>
        <w:gridCol w:w="239"/>
        <w:gridCol w:w="240"/>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312"/>
        <w:gridCol w:w="909"/>
        <w:gridCol w:w="175"/>
        <w:gridCol w:w="109"/>
        <w:gridCol w:w="109"/>
        <w:gridCol w:w="109"/>
        <w:gridCol w:w="196"/>
        <w:gridCol w:w="706"/>
        <w:gridCol w:w="109"/>
        <w:gridCol w:w="109"/>
        <w:gridCol w:w="109"/>
        <w:gridCol w:w="109"/>
        <w:gridCol w:w="248"/>
        <w:gridCol w:w="589"/>
        <w:gridCol w:w="139"/>
        <w:gridCol w:w="109"/>
        <w:gridCol w:w="109"/>
        <w:gridCol w:w="109"/>
        <w:gridCol w:w="196"/>
        <w:gridCol w:w="691"/>
        <w:gridCol w:w="109"/>
        <w:gridCol w:w="109"/>
        <w:gridCol w:w="109"/>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w:t>
      </w:r>
      <w:r>
        <w:rPr>
          <w:color w:val="000000"/>
        </w:rPr>
        <w:t xml:space="preserve"> </w:t>
      </w:r>
      <w:r>
        <w:rPr>
          <w:rFonts w:ascii="Arial;sans-serif" w:hAnsi="Arial;sans-serif"/>
          <w:b/>
          <w:color w:val="000000"/>
          <w:sz w:val="20"/>
          <w:u w:val="single"/>
        </w:rPr>
        <w:t>Basis of Presentation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March 30, 2025, March 31, 2024, and December 29, 2024, and the results of its operations and cash flows and shareholders' equity for the periods ended March 30, 2025 and March 31, 2024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three months ended March 30, 2025 and March 31, 2024 were 13-week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results of operations for the three months ended March 30, 2025 are not necessarily indicative of results to be expected for the full year 2025, nor were those of the comparable 2024 periods representative of those actually experienced for the full year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29, 2024 in the Company's Annual Report on Form 10-K for the year ended December 29, 2024 ("2024 Form 10-K"), which includes all such information and disclosures and, accordingly, should be read in conjunction with the financial information included herein. Certain amounts have been reclassified to conform to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Adjustments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2024, the Company corrected prior period errors associated with an $18.1 million benefit related to the reversal of stock compensation expense for the Company's performance stock awards that should have been recorded during fiscal year 2023 (recorded in Selling, distribution and administration on the Consolidated Statements of Operations). The recording of this item was not considered to be material, individually or in the aggregate, to the Company's 2023 or 2024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period ending March 31, 2024, the Company reclassified capitalized software developments costs of $178.0 million from Property, plant and equipment, net into Other long-term assets to conform with current year presentation.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summarized in Note 1, Summary of Significant Accounting Policies, to the consolidated financial statements included in the Company's 2024 Form 10-K. </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Recently Adopted Accounting Standards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30, 2025, there were no recently adopted accounting standards that had a material effect on the Company’s financial statements.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Issued Accounting Pronouncements</w:t>
      </w:r>
    </w:p>
    <w:p>
      <w:pPr>
        <w:pStyle w:val="TextBody"/>
        <w:bidi w:val="0"/>
        <w:spacing w:lineRule="auto" w:line="288" w:before="120" w:after="283"/>
        <w:jc w:val="left"/>
        <w:rPr/>
      </w:pPr>
      <w:r>
        <w:rPr>
          <w:rFonts w:ascii="Arial;sans-serif" w:hAnsi="Arial;sans-serif"/>
          <w:b w:val="false"/>
          <w:color w:val="000000"/>
          <w:sz w:val="20"/>
        </w:rPr>
        <w:t xml:space="preserve">In December 2023, the Financial Accounting Standards Board ("FASB") issued Accounting Standards Update ("ASU") 2023-09, </w:t>
      </w:r>
      <w:r>
        <w:rPr>
          <w:rFonts w:ascii="Arial;sans-serif" w:hAnsi="Arial;sans-serif"/>
          <w:b w:val="false"/>
          <w:i/>
          <w:color w:val="000000"/>
          <w:sz w:val="20"/>
        </w:rPr>
        <w:t>Income Taxes (Topic 740): Improvements in Income Tax Disclosures</w:t>
      </w:r>
      <w:r>
        <w:rPr>
          <w:rFonts w:ascii="Arial;sans-serif" w:hAnsi="Arial;sans-serif"/>
          <w:b w:val="false"/>
          <w:color w:val="000000"/>
          <w:sz w:val="20"/>
        </w:rPr>
        <w:t xml:space="preserve">.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annual periods beginning after December 15, 2024. We are currently assessing the impact of this ASU on our consolidated financial statement disclosures.</w:t>
      </w:r>
    </w:p>
    <w:p>
      <w:pPr>
        <w:pStyle w:val="TextBody"/>
        <w:bidi w:val="0"/>
        <w:spacing w:lineRule="auto" w:line="288" w:before="120" w:after="283"/>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w:t>
      </w:r>
      <w:r>
        <w:rPr>
          <w:rFonts w:ascii="Arial;sans-serif" w:hAnsi="Arial;sans-serif"/>
          <w:b w:val="false"/>
          <w:color w:val="000000"/>
          <w:sz w:val="20"/>
        </w:rPr>
        <w:t>. The new standard requires enhanced additional disclosures related to certain expense categories. The new standard is effective for fiscal years beginning after December 15, 2026. We are currently assessing the impact of this ASU on our consolidated financial statement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other recently issued accounting pronouncements which would have a material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(2) </w:t>
      </w:r>
      <w:r>
        <w:rPr>
          <w:rFonts w:ascii="Arial;sans-serif" w:hAnsi="Arial;sans-serif"/>
          <w:b/>
          <w:color w:val="000000"/>
          <w:sz w:val="20"/>
          <w:u w:val="single"/>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t>
      </w:r>
      <w:r>
        <w:rPr>
          <w:rFonts w:ascii="Arial;sans-serif" w:hAnsi="Arial;sans-serif"/>
          <w:b w:val="false"/>
          <w:color w:val="000000"/>
          <w:sz w:val="20"/>
        </w:rPr>
        <w:t>The majority of the Company’s revenues are derived from sales of finished products to customers. See Note 1, Summary of Significant Accounting Policies, of the Company's 2024 Annual Report for the Company's revenue recognition accounting policy.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ordinary course of business, the Company enters into contracts to license certain of the Company’s intellectual property, providing licensees right-to-use or access such intellectual property for use in the production and sale of consumer products and digital game development, location based entertainment, and for use within content for distribution over streaming platforms and for television and film.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on the basis of the expected fixed consideration under the contract with the customer.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long-term assets on the basis of expected receipt of cash per contractual terms.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opening and closing balances of contract assets and contract liabilities are as follows:</w:t>
      </w:r>
    </w:p>
    <w:tbl>
      <w:tblPr>
        <w:tblW w:w="5022" w:type="dxa"/>
        <w:jc w:val="left"/>
        <w:tblInd w:w="0" w:type="dxa"/>
        <w:tblLayout w:type="fixed"/>
        <w:tblCellMar>
          <w:top w:w="28" w:type="dxa"/>
          <w:left w:w="28" w:type="dxa"/>
          <w:bottom w:w="28" w:type="dxa"/>
          <w:right w:w="28" w:type="dxa"/>
        </w:tblCellMar>
      </w:tblPr>
      <w:tblGrid>
        <w:gridCol w:w="995"/>
        <w:gridCol w:w="875"/>
        <w:gridCol w:w="890"/>
        <w:gridCol w:w="213"/>
        <w:gridCol w:w="622"/>
        <w:gridCol w:w="110"/>
        <w:gridCol w:w="109"/>
        <w:gridCol w:w="109"/>
        <w:gridCol w:w="109"/>
        <w:gridCol w:w="213"/>
        <w:gridCol w:w="622"/>
        <w:gridCol w:w="155"/>
      </w:tblGrid>
      <w:tr>
        <w:trPr/>
        <w:tc>
          <w:tcPr>
            <w:tcW w:w="9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Liabilities</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30, 2025, the Company recognized revenue of $134.7 million that was included in the December 29, 2024 contract liability balance. For the three months ended March 31, 2024, the Company recognized revenue of $22.1 million that was included in the December 31, 2023 contract liability balance.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Unsatisfied performance obligations relate primarily to in-production television content to be delivered in the future under existing agreements with partnering content providers such as broadcasters, distributors, television networks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and subscription video on demand services. As of March 30, 2025, unrecognized revenue attributable to unsatisfied performance obligations expected to be recognized in the future was $1.4 million. Of this amount, we expect to recognize $1.4 million in the remainder of 2025. This amount includes only fixed consideration.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March 30, 2025 and March 31, 2024 are primarily from contracts with customers. A summary of the activity in the allowance for credit losses are as follows:</w:t>
      </w:r>
    </w:p>
    <w:tbl>
      <w:tblPr>
        <w:tblW w:w="5830" w:type="dxa"/>
        <w:jc w:val="left"/>
        <w:tblInd w:w="0" w:type="dxa"/>
        <w:tblLayout w:type="fixed"/>
        <w:tblCellMar>
          <w:top w:w="28" w:type="dxa"/>
          <w:left w:w="28" w:type="dxa"/>
          <w:bottom w:w="28" w:type="dxa"/>
          <w:right w:w="28" w:type="dxa"/>
        </w:tblCellMar>
      </w:tblPr>
      <w:tblGrid>
        <w:gridCol w:w="1291"/>
        <w:gridCol w:w="1135"/>
        <w:gridCol w:w="1143"/>
        <w:gridCol w:w="240"/>
        <w:gridCol w:w="581"/>
        <w:gridCol w:w="124"/>
        <w:gridCol w:w="109"/>
        <w:gridCol w:w="109"/>
        <w:gridCol w:w="109"/>
        <w:gridCol w:w="230"/>
        <w:gridCol w:w="591"/>
        <w:gridCol w:w="168"/>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Provisions/charges to income</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charged off and other deductions</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impact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Film &amp; TV, Family Brands, and Other. Finally, the Company disaggregates its revenues by brand portfolio into three brand categories: Grow Brands, Optimize Brands, and Reinvent Brands. We believe these collectively depict how the nature, amount, timing and uncertainty of revenue and cash flows are affected by economic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w:t>
      </w:r>
    </w:p>
    <w:tbl>
      <w:tblPr>
        <w:tblW w:w="5187" w:type="dxa"/>
        <w:jc w:val="left"/>
        <w:tblInd w:w="0" w:type="dxa"/>
        <w:tblLayout w:type="fixed"/>
        <w:tblCellMar>
          <w:top w:w="28" w:type="dxa"/>
          <w:left w:w="28" w:type="dxa"/>
          <w:bottom w:w="28" w:type="dxa"/>
          <w:right w:w="28" w:type="dxa"/>
        </w:tblCellMar>
      </w:tblPr>
      <w:tblGrid>
        <w:gridCol w:w="900"/>
        <w:gridCol w:w="793"/>
        <w:gridCol w:w="796"/>
        <w:gridCol w:w="213"/>
        <w:gridCol w:w="622"/>
        <w:gridCol w:w="110"/>
        <w:gridCol w:w="109"/>
        <w:gridCol w:w="109"/>
        <w:gridCol w:w="109"/>
        <w:gridCol w:w="213"/>
        <w:gridCol w:w="622"/>
        <w:gridCol w:w="110"/>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w:t>
      </w:r>
    </w:p>
    <w:tbl>
      <w:tblPr>
        <w:tblW w:w="3988" w:type="dxa"/>
        <w:jc w:val="left"/>
        <w:tblInd w:w="0" w:type="dxa"/>
        <w:tblLayout w:type="fixed"/>
        <w:tblCellMar>
          <w:top w:w="28" w:type="dxa"/>
          <w:left w:w="28" w:type="dxa"/>
          <w:bottom w:w="28" w:type="dxa"/>
          <w:right w:w="28" w:type="dxa"/>
        </w:tblCellMar>
      </w:tblPr>
      <w:tblGrid>
        <w:gridCol w:w="467"/>
        <w:gridCol w:w="410"/>
        <w:gridCol w:w="413"/>
        <w:gridCol w:w="213"/>
        <w:gridCol w:w="622"/>
        <w:gridCol w:w="110"/>
        <w:gridCol w:w="109"/>
        <w:gridCol w:w="109"/>
        <w:gridCol w:w="109"/>
        <w:gridCol w:w="213"/>
        <w:gridCol w:w="622"/>
        <w:gridCol w:w="110"/>
        <w:gridCol w:w="109"/>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Entertainment segment net revenues by category:</w:t>
      </w:r>
    </w:p>
    <w:tbl>
      <w:tblPr>
        <w:tblW w:w="3988" w:type="dxa"/>
        <w:jc w:val="left"/>
        <w:tblInd w:w="0" w:type="dxa"/>
        <w:tblLayout w:type="fixed"/>
        <w:tblCellMar>
          <w:top w:w="28" w:type="dxa"/>
          <w:left w:w="28" w:type="dxa"/>
          <w:bottom w:w="28" w:type="dxa"/>
          <w:right w:w="28" w:type="dxa"/>
        </w:tblCellMar>
      </w:tblPr>
      <w:tblGrid>
        <w:gridCol w:w="465"/>
        <w:gridCol w:w="410"/>
        <w:gridCol w:w="415"/>
        <w:gridCol w:w="240"/>
        <w:gridCol w:w="581"/>
        <w:gridCol w:w="124"/>
        <w:gridCol w:w="109"/>
        <w:gridCol w:w="109"/>
        <w:gridCol w:w="109"/>
        <w:gridCol w:w="240"/>
        <w:gridCol w:w="581"/>
        <w:gridCol w:w="124"/>
        <w:gridCol w:w="109"/>
        <w:gridCol w:w="109"/>
        <w:gridCol w:w="109"/>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net revenues by brand portfolio:</w:t>
      </w:r>
    </w:p>
    <w:tbl>
      <w:tblPr>
        <w:tblW w:w="4227" w:type="dxa"/>
        <w:jc w:val="left"/>
        <w:tblInd w:w="0" w:type="dxa"/>
        <w:tblLayout w:type="fixed"/>
        <w:tblCellMar>
          <w:top w:w="28" w:type="dxa"/>
          <w:left w:w="28" w:type="dxa"/>
          <w:bottom w:w="28" w:type="dxa"/>
          <w:right w:w="28" w:type="dxa"/>
        </w:tblCellMar>
      </w:tblPr>
      <w:tblGrid>
        <w:gridCol w:w="552"/>
        <w:gridCol w:w="487"/>
        <w:gridCol w:w="490"/>
        <w:gridCol w:w="213"/>
        <w:gridCol w:w="622"/>
        <w:gridCol w:w="110"/>
        <w:gridCol w:w="109"/>
        <w:gridCol w:w="109"/>
        <w:gridCol w:w="109"/>
        <w:gridCol w:w="213"/>
        <w:gridCol w:w="622"/>
        <w:gridCol w:w="110"/>
        <w:gridCol w:w="109"/>
        <w:gridCol w:w="109"/>
        <w:gridCol w:w="109"/>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Grow Brands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Reinvent Brands </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(3) </w:t>
      </w:r>
      <w:r>
        <w:rPr>
          <w:rFonts w:ascii="Arial;sans-serif" w:hAnsi="Arial;sans-serif"/>
          <w:b/>
          <w:color w:val="000000"/>
          <w:sz w:val="20"/>
          <w:u w:val="single"/>
        </w:rPr>
        <w:t>Sale of Non-Core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 $375.0 million in cash, subject to the satisfaction of customary net working capital closing conditions and holdbacks for certain retained liabilities, plus the assumption by Lionsgate of production financing loans.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Equity Purchase Agreement also included a holdback amount that was paid to Lionsgate upon the execution of the sale but remained recoverable by Hasbro if certain terms were not satisfied by Lionsgate within 30 days of the first anniversary of the agreement. During the three months ended March 30, 2025, the Company was informed by Lionsgate of the satisfaction of the requirements under the agreement and the final holdback amount was settled, resulting in a $25.0 million expense recorded within Loss on disposal of business on the Consolidated Statements of Operations.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(4) </w:t>
      </w:r>
      <w:r>
        <w:rPr>
          <w:rFonts w:ascii="Arial;sans-serif" w:hAnsi="Arial;sans-serif"/>
          <w:b/>
          <w:color w:val="000000"/>
          <w:sz w:val="20"/>
          <w:u w:val="single"/>
        </w:rPr>
        <w:t>Earnings Per Common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per share data were computed as follows:</w:t>
      </w:r>
    </w:p>
    <w:tbl>
      <w:tblPr>
        <w:tblW w:w="7617" w:type="dxa"/>
        <w:jc w:val="left"/>
        <w:tblInd w:w="0" w:type="dxa"/>
        <w:tblLayout w:type="fixed"/>
        <w:tblCellMar>
          <w:top w:w="28" w:type="dxa"/>
          <w:left w:w="28" w:type="dxa"/>
          <w:bottom w:w="28" w:type="dxa"/>
          <w:right w:w="28" w:type="dxa"/>
        </w:tblCellMar>
      </w:tblPr>
      <w:tblGrid>
        <w:gridCol w:w="1781"/>
        <w:gridCol w:w="1566"/>
        <w:gridCol w:w="1572"/>
        <w:gridCol w:w="240"/>
        <w:gridCol w:w="581"/>
        <w:gridCol w:w="124"/>
        <w:gridCol w:w="109"/>
        <w:gridCol w:w="109"/>
        <w:gridCol w:w="109"/>
        <w:gridCol w:w="240"/>
        <w:gridCol w:w="581"/>
        <w:gridCol w:w="124"/>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Inc.</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shares outstanding</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other share-based awards</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Equivalent Shares</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Inc. per common share</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30, 2025 and March 31, 2024, options and restricted stock units totaling 0.9 million and 2.6 million, respectively, were excluded from the calculation of diluted earnings per share because to include them would have been anti-dilutive.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(5)</w:t>
      </w:r>
      <w:r>
        <w:rPr>
          <w:color w:val="000000"/>
        </w:rPr>
        <w:t xml:space="preserve"> </w:t>
      </w:r>
      <w:r>
        <w:rPr>
          <w:rFonts w:ascii="Arial;sans-serif" w:hAnsi="Arial;sans-serif"/>
          <w:b/>
          <w:color w:val="000000"/>
          <w:sz w:val="20"/>
          <w:u w:val="single"/>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are as follows:</w:t>
      </w:r>
    </w:p>
    <w:tbl>
      <w:tblPr>
        <w:tblW w:w="10205" w:type="dxa"/>
        <w:jc w:val="left"/>
        <w:tblInd w:w="0" w:type="dxa"/>
        <w:tblLayout w:type="fixed"/>
        <w:tblCellMar>
          <w:top w:w="28" w:type="dxa"/>
          <w:left w:w="28" w:type="dxa"/>
          <w:bottom w:w="28" w:type="dxa"/>
          <w:right w:w="28" w:type="dxa"/>
        </w:tblCellMar>
      </w:tblPr>
      <w:tblGrid>
        <w:gridCol w:w="816"/>
        <w:gridCol w:w="716"/>
        <w:gridCol w:w="723"/>
        <w:gridCol w:w="109"/>
        <w:gridCol w:w="109"/>
        <w:gridCol w:w="109"/>
        <w:gridCol w:w="1285"/>
        <w:gridCol w:w="719"/>
        <w:gridCol w:w="667"/>
        <w:gridCol w:w="109"/>
        <w:gridCol w:w="109"/>
        <w:gridCol w:w="109"/>
        <w:gridCol w:w="764"/>
        <w:gridCol w:w="464"/>
        <w:gridCol w:w="397"/>
        <w:gridCol w:w="109"/>
        <w:gridCol w:w="109"/>
        <w:gridCol w:w="109"/>
        <w:gridCol w:w="649"/>
        <w:gridCol w:w="335"/>
        <w:gridCol w:w="337"/>
        <w:gridCol w:w="109"/>
        <w:gridCol w:w="109"/>
        <w:gridCol w:w="109"/>
        <w:gridCol w:w="254"/>
        <w:gridCol w:w="316"/>
        <w:gridCol w:w="455"/>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2,278.2</w:t>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2,278.4</w:t>
            </w:r>
          </w:p>
        </w:tc>
      </w:tr>
    </w:tbl>
    <w:tbl>
      <w:tblPr>
        <w:tblW w:w="10205" w:type="dxa"/>
        <w:jc w:val="left"/>
        <w:tblInd w:w="0" w:type="dxa"/>
        <w:tblLayout w:type="fixed"/>
        <w:tblCellMar>
          <w:top w:w="28" w:type="dxa"/>
          <w:left w:w="28" w:type="dxa"/>
          <w:bottom w:w="28" w:type="dxa"/>
          <w:right w:w="28" w:type="dxa"/>
        </w:tblCellMar>
      </w:tblPr>
      <w:tblGrid>
        <w:gridCol w:w="801"/>
        <w:gridCol w:w="703"/>
        <w:gridCol w:w="710"/>
        <w:gridCol w:w="109"/>
        <w:gridCol w:w="109"/>
        <w:gridCol w:w="109"/>
        <w:gridCol w:w="1256"/>
        <w:gridCol w:w="707"/>
        <w:gridCol w:w="652"/>
        <w:gridCol w:w="109"/>
        <w:gridCol w:w="109"/>
        <w:gridCol w:w="109"/>
        <w:gridCol w:w="755"/>
        <w:gridCol w:w="464"/>
        <w:gridCol w:w="392"/>
        <w:gridCol w:w="109"/>
        <w:gridCol w:w="109"/>
        <w:gridCol w:w="109"/>
        <w:gridCol w:w="649"/>
        <w:gridCol w:w="335"/>
        <w:gridCol w:w="337"/>
        <w:gridCol w:w="109"/>
        <w:gridCol w:w="109"/>
        <w:gridCol w:w="109"/>
        <w:gridCol w:w="258"/>
        <w:gridCol w:w="357"/>
        <w:gridCol w:w="364"/>
        <w:gridCol w:w="157"/>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2,278.8</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(6)</w:t>
      </w:r>
      <w:r>
        <w:rPr>
          <w:color w:val="000000"/>
        </w:rPr>
        <w:t xml:space="preserve"> </w:t>
      </w:r>
      <w:r>
        <w:rPr>
          <w:rFonts w:ascii="Arial;sans-serif" w:hAnsi="Arial;sans-serif"/>
          <w:b/>
          <w:color w:val="000000"/>
          <w:sz w:val="20"/>
          <w:u w:val="single"/>
        </w:rPr>
        <w:t>Other Comprehensive Earnings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(Loss). The following table presents the related tax effects on changes in Other comprehensive earnings (loss):</w:t>
      </w:r>
    </w:p>
    <w:tbl>
      <w:tblPr>
        <w:tblW w:w="7271" w:type="dxa"/>
        <w:jc w:val="left"/>
        <w:tblInd w:w="0" w:type="dxa"/>
        <w:tblLayout w:type="fixed"/>
        <w:tblCellMar>
          <w:top w:w="28" w:type="dxa"/>
          <w:left w:w="28" w:type="dxa"/>
          <w:bottom w:w="28" w:type="dxa"/>
          <w:right w:w="28" w:type="dxa"/>
        </w:tblCellMar>
      </w:tblPr>
      <w:tblGrid>
        <w:gridCol w:w="1656"/>
        <w:gridCol w:w="1458"/>
        <w:gridCol w:w="1461"/>
        <w:gridCol w:w="274"/>
        <w:gridCol w:w="529"/>
        <w:gridCol w:w="141"/>
        <w:gridCol w:w="109"/>
        <w:gridCol w:w="109"/>
        <w:gridCol w:w="109"/>
        <w:gridCol w:w="248"/>
        <w:gridCol w:w="568"/>
        <w:gridCol w:w="128"/>
        <w:gridCol w:w="109"/>
        <w:gridCol w:w="109"/>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earnings (loss), tax effect:</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(expense) on cash flow hedging activities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to earnings (loss), tax effect:</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(expense) on cash flow hedging activities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tax effect on other comprehensive earnings (loss)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 cy="14605"/>
                <wp:effectExtent l="0" t="0" r="0" b="0"/>
                <wp:wrapNone/>
                <wp:docPr id="14"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components of Accumulated other comprehensive earnings (loss), net of tax are as follows:</w:t>
      </w:r>
    </w:p>
    <w:tbl>
      <w:tblPr>
        <w:tblW w:w="10205" w:type="dxa"/>
        <w:jc w:val="left"/>
        <w:tblInd w:w="0" w:type="dxa"/>
        <w:tblLayout w:type="fixed"/>
        <w:tblCellMar>
          <w:top w:w="28" w:type="dxa"/>
          <w:left w:w="28" w:type="dxa"/>
          <w:bottom w:w="28" w:type="dxa"/>
          <w:right w:w="28" w:type="dxa"/>
        </w:tblCellMar>
      </w:tblPr>
      <w:tblGrid>
        <w:gridCol w:w="1088"/>
        <w:gridCol w:w="745"/>
        <w:gridCol w:w="752"/>
        <w:gridCol w:w="397"/>
        <w:gridCol w:w="793"/>
        <w:gridCol w:w="206"/>
        <w:gridCol w:w="109"/>
        <w:gridCol w:w="109"/>
        <w:gridCol w:w="109"/>
        <w:gridCol w:w="284"/>
        <w:gridCol w:w="709"/>
        <w:gridCol w:w="148"/>
        <w:gridCol w:w="109"/>
        <w:gridCol w:w="109"/>
        <w:gridCol w:w="109"/>
        <w:gridCol w:w="300"/>
        <w:gridCol w:w="600"/>
        <w:gridCol w:w="156"/>
        <w:gridCol w:w="109"/>
        <w:gridCol w:w="109"/>
        <w:gridCol w:w="109"/>
        <w:gridCol w:w="266"/>
        <w:gridCol w:w="796"/>
        <w:gridCol w:w="139"/>
        <w:gridCol w:w="109"/>
        <w:gridCol w:w="109"/>
        <w:gridCol w:w="109"/>
        <w:gridCol w:w="321"/>
        <w:gridCol w:w="960"/>
        <w:gridCol w:w="237"/>
      </w:tblGrid>
      <w:tr>
        <w:trPr/>
        <w:tc>
          <w:tcPr>
            <w:tcW w:w="10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and</w:t>
              <w:br/>
              <w:t>Postretirement</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Gains</w:t>
              <w:br/>
              <w:t>(Losses)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w:t>
              <w:br/>
              <w:t>Holding</w:t>
              <w:br/>
              <w:t>Gains</w:t>
              <w:br/>
              <w:t>(Losses) on</w:t>
              <w:br/>
              <w:t>Available-</w:t>
              <w:br/>
              <w:t>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Accumulated</w:t>
              <w:br/>
              <w:t>Other</w:t>
              <w:br/>
              <w:t>Comprehensive</w:t>
              <w:br/>
              <w:t>Loss</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2025</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29, 2024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30, 2025</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2024</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period other comprehensive earnings (loss)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Gains (Losses) on Derivative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March 30, 2025, the Company had remaining deferred gains on foreign currency forward contracts, net of tax, of $0.8 million in Accumulated other comprehensive earnings (loss) ("AOCE"). These instruments hedge payments related to inventory purchased in the three months ended March 30, 2025 or forecasted to be purchased during the remainder of 2025, intercompany expenses expected to be paid or received during 2025 and cash receipts for sales made at the end of the first quarter of 2025 or forecasted to be made in the remainder of 2025. These amounts will be reclassified into the Consolidated Statements of Operations upon the sale of the related inventory or recognition of the related sales or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AOCE and is being amortized to interest expense over the life of the related Notes using the effective interest rate method. At March 30, 2025, deferred losses, net of tax of $13.3 million related to these instruments remained in AOCE. For each of the three months ended March 30, 2025 and March 31, 2024, previously deferred losses, net of tax, of $0.2 million related to these instruments were reclassified from AOCE to net earnings.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Of the amounts included in AOCE at March 30, 2025, the Company expects net gains of approximately $2.3 million to be reclassified to the Consolidated Statements of Operations within the next twelve months. However, the amount ultimately realized in earnings is dependent on the fair value of the hedging instruments on the settlement dates.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12, Derivative Financial Instruments, for additional discussion on reclassifications from AOCE to earnings.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 xml:space="preserve">(7) </w:t>
      </w:r>
      <w:r>
        <w:rPr>
          <w:rFonts w:ascii="Arial;sans-serif" w:hAnsi="Arial;sans-serif"/>
          <w:b/>
          <w:color w:val="000000"/>
          <w:sz w:val="20"/>
          <w:u w:val="single"/>
        </w:rPr>
        <w:t>Additional Balance Sheet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accrued liabilities were as follows:</w:t>
      </w:r>
    </w:p>
    <w:tbl>
      <w:tblPr>
        <w:tblW w:w="7544" w:type="dxa"/>
        <w:jc w:val="left"/>
        <w:tblInd w:w="0" w:type="dxa"/>
        <w:tblLayout w:type="fixed"/>
        <w:tblCellMar>
          <w:top w:w="28" w:type="dxa"/>
          <w:left w:w="28" w:type="dxa"/>
          <w:bottom w:w="28" w:type="dxa"/>
          <w:right w:w="28" w:type="dxa"/>
        </w:tblCellMar>
      </w:tblPr>
      <w:tblGrid>
        <w:gridCol w:w="1100"/>
        <w:gridCol w:w="970"/>
        <w:gridCol w:w="975"/>
        <w:gridCol w:w="213"/>
        <w:gridCol w:w="622"/>
        <w:gridCol w:w="110"/>
        <w:gridCol w:w="109"/>
        <w:gridCol w:w="109"/>
        <w:gridCol w:w="109"/>
        <w:gridCol w:w="211"/>
        <w:gridCol w:w="766"/>
        <w:gridCol w:w="109"/>
        <w:gridCol w:w="109"/>
        <w:gridCol w:w="109"/>
        <w:gridCol w:w="109"/>
        <w:gridCol w:w="338"/>
        <w:gridCol w:w="1229"/>
        <w:gridCol w:w="247"/>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7" w:before="20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 current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royalties expense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income taxes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Lag &amp; cancellation charges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vendor accruals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 - current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and management incentives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Defined contributions plans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Participations and residuals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 productions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1,059.8 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Prepaid expenses and other current assets include contract assets, current of $115.2 million, $127.3 million, and $179.5 million as of March 30, 2025, March 31, 2024, and December 29, 2024</w:t>
      </w:r>
      <w:r>
        <w:rPr>
          <w:rFonts w:ascii="Arial;sans-serif" w:hAnsi="Arial;sans-serif"/>
          <w:b w:val="false"/>
          <w:color w:val="000000"/>
          <w:sz w:val="20"/>
          <w:shd w:fill="FFFFFF" w:val="clear"/>
        </w:rPr>
        <w:t>, respectively.</w:t>
      </w:r>
    </w:p>
    <w:p>
      <w:pPr>
        <w:pStyle w:val="TextBody"/>
        <w:bidi w:val="0"/>
        <w:spacing w:lineRule="auto" w:line="288" w:before="120" w:after="283"/>
        <w:jc w:val="left"/>
        <w:rPr/>
      </w:pPr>
      <w:r>
        <w:rPr>
          <w:rFonts w:ascii="Arial;sans-serif" w:hAnsi="Arial;sans-serif"/>
          <w:b w:val="false"/>
          <w:color w:val="000000"/>
          <w:sz w:val="20"/>
        </w:rPr>
        <w:t>Other assets include deferred tax assets of $417.2 million, $406.3 million, and $424.6 million as of March 30, 2025, March 31, 2024, and December 29, 2024</w:t>
      </w:r>
      <w:r>
        <w:rPr>
          <w:rFonts w:ascii="Arial;sans-serif" w:hAnsi="Arial;sans-serif"/>
          <w:b w:val="false"/>
          <w:color w:val="000000"/>
          <w:sz w:val="20"/>
          <w:shd w:fill="FFFFFF" w:val="clear"/>
        </w:rPr>
        <w:t xml:space="preserve">, respectively, and unamortized software development costs of </w:t>
      </w:r>
      <w:r>
        <w:rPr>
          <w:rFonts w:ascii="Arial;sans-serif" w:hAnsi="Arial;sans-serif"/>
          <w:b w:val="false"/>
          <w:color w:val="000000"/>
          <w:sz w:val="20"/>
        </w:rPr>
        <w:t>$291.0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$178.0 million</w:t>
      </w:r>
      <w:r>
        <w:rPr>
          <w:rFonts w:ascii="Arial;sans-serif" w:hAnsi="Arial;sans-serif"/>
          <w:b w:val="false"/>
          <w:color w:val="000000"/>
          <w:sz w:val="20"/>
          <w:shd w:fill="FFFFFF" w:val="clear"/>
        </w:rPr>
        <w:t xml:space="preserve">, and </w:t>
      </w:r>
      <w:r>
        <w:rPr>
          <w:rFonts w:ascii="Arial;sans-serif" w:hAnsi="Arial;sans-serif"/>
          <w:b w:val="false"/>
          <w:color w:val="000000"/>
          <w:sz w:val="20"/>
        </w:rPr>
        <w:t>$264.4 million</w:t>
      </w:r>
      <w:r>
        <w:rPr>
          <w:color w:val="000000"/>
          <w:shd w:fill="FFFFFF" w:val="clear"/>
        </w:rPr>
        <w:t xml:space="preserve"> </w:t>
      </w:r>
      <w:r>
        <w:rPr>
          <w:rFonts w:ascii="Arial;sans-serif" w:hAnsi="Arial;sans-serif"/>
          <w:b w:val="false"/>
          <w:color w:val="000000"/>
          <w:sz w:val="20"/>
        </w:rPr>
        <w:t>as of March 30, 2025, March 31, 2024, and December 29, 2024</w:t>
      </w:r>
      <w:r>
        <w:rPr>
          <w:rFonts w:ascii="Arial;sans-serif" w:hAnsi="Arial;sans-serif"/>
          <w:b w:val="false"/>
          <w:color w:val="000000"/>
          <w:sz w:val="20"/>
          <w:shd w:fill="FFFFFF" w:val="clear"/>
        </w:rPr>
        <w:t>,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(8)</w:t>
      </w:r>
      <w:r>
        <w:rPr>
          <w:color w:val="000000"/>
        </w:rPr>
        <w:t xml:space="preserve"> </w:t>
      </w:r>
      <w:r>
        <w:rPr>
          <w:rFonts w:ascii="Arial;sans-serif" w:hAnsi="Arial;sans-serif"/>
          <w:b/>
          <w:color w:val="000000"/>
          <w:sz w:val="20"/>
          <w:u w:val="single"/>
        </w:rPr>
        <w:t>Long-Term Debt and Other Financing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costs, which are equal to the outstanding principal amounts, and fair values of the Company's long-term borrowings are as follows:</w:t>
      </w:r>
    </w:p>
    <w:tbl>
      <w:tblPr>
        <w:tblW w:w="10205" w:type="dxa"/>
        <w:jc w:val="left"/>
        <w:tblInd w:w="0" w:type="dxa"/>
        <w:tblLayout w:type="fixed"/>
        <w:tblCellMar>
          <w:top w:w="28" w:type="dxa"/>
          <w:left w:w="28" w:type="dxa"/>
          <w:bottom w:w="28" w:type="dxa"/>
          <w:right w:w="28" w:type="dxa"/>
        </w:tblCellMar>
      </w:tblPr>
      <w:tblGrid>
        <w:gridCol w:w="797"/>
        <w:gridCol w:w="602"/>
        <w:gridCol w:w="6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7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3.90% Notes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3.55% Notes Due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6.05% Notes Due 2034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6.35% Notes Due 2040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3.50% Notes Due 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5.10% Notes Due 2044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6.60% Debentures Due 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3.00% Notes Due 2024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Deferred debt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months ended March 30, 2025, the Company repurchased $50.4 million of its 2026 and 2027 Notes and recorded a gain on extinguishment of $1.2 million, which was recorded in Other expense (income), net in the Consolidated Statements of Operations.</w:t>
      </w:r>
    </w:p>
    <w:p>
      <w:pPr>
        <w:pStyle w:val="TextBody"/>
        <w:bidi w:val="0"/>
        <w:spacing w:lineRule="auto" w:line="288" w:before="120" w:after="283"/>
        <w:jc w:val="left"/>
        <w:rPr>
          <w:rFonts w:ascii="Arial;sans-serif" w:hAnsi="Arial;sans-serif"/>
          <w:b/>
          <w:i/>
          <w:color w:val="212529"/>
          <w:sz w:val="20"/>
        </w:rPr>
      </w:pPr>
      <w:r>
        <w:rPr>
          <w:rFonts w:ascii="Arial;sans-serif" w:hAnsi="Arial;sans-serif"/>
          <w:b/>
          <w:i/>
          <w:color w:val="212529"/>
          <w:sz w:val="20"/>
        </w:rPr>
        <w:t>Other Financing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of which the Company has zero outstanding borrowings as of March 30, 2025.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pStyle w:val="TextBody"/>
        <w:bidi w:val="0"/>
        <w:spacing w:lineRule="auto" w:line="288" w:before="120" w:after="283"/>
        <w:jc w:val="left"/>
        <w:rPr/>
      </w:pPr>
      <w:r>
        <w:rPr>
          <w:rFonts w:ascii="Arial;sans-serif" w:hAnsi="Arial;sans-serif"/>
          <w:b w:val="false"/>
          <w:color w:val="000000"/>
          <w:sz w:val="20"/>
          <w:shd w:fill="FFFFFF" w:val="clear"/>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w:t>
      </w:r>
      <w:r>
        <w:rPr>
          <w:color w:val="000000"/>
        </w:rPr>
        <w:t xml:space="preserve"> </w:t>
      </w:r>
      <w:r>
        <w:rPr>
          <w:rFonts w:ascii="Arial;sans-serif" w:hAnsi="Arial;sans-serif"/>
          <w:b w:val="false"/>
          <w:color w:val="000000"/>
          <w:sz w:val="20"/>
        </w:rPr>
        <w:t xml:space="preserve">$51.2 million, $47.7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March 30, 2025, March 31, 2024, and December 29, 2024</w:t>
      </w:r>
      <w:r>
        <w:rPr>
          <w:rFonts w:ascii="Arial;sans-serif" w:hAnsi="Arial;sans-serif"/>
          <w:b w:val="false"/>
          <w:color w:val="000000"/>
          <w:sz w:val="20"/>
          <w:shd w:fill="FFFFFF" w:val="clear"/>
        </w:rPr>
        <w:t>, respectively. These obligations are presented within Accounts payable in our Consolidated Balance Sheets. The activity related to this program is reflected within the operating activities section of the Consolidated Statements of Cash Flows.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(9)</w:t>
      </w:r>
      <w:r>
        <w:rPr>
          <w:color w:val="000000"/>
        </w:rPr>
        <w:t xml:space="preserve"> </w:t>
      </w:r>
      <w:r>
        <w:rPr>
          <w:rFonts w:ascii="Arial;sans-serif" w:hAnsi="Arial;sans-serif"/>
          <w:b/>
          <w:color w:val="000000"/>
          <w:sz w:val="20"/>
          <w:u w:val="single"/>
        </w:rPr>
        <w:t>Investments in Productions and Investments in Acquired Content Rights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periodically on an individual title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unamortized investments in productions and investments in acquired content rights consisted of the following:</w:t>
      </w:r>
    </w:p>
    <w:tbl>
      <w:tblPr>
        <w:tblW w:w="8357" w:type="dxa"/>
        <w:jc w:val="center"/>
        <w:tblInd w:w="0" w:type="dxa"/>
        <w:tblLayout w:type="fixed"/>
        <w:tblCellMar>
          <w:top w:w="28" w:type="dxa"/>
          <w:left w:w="28" w:type="dxa"/>
          <w:bottom w:w="28" w:type="dxa"/>
          <w:right w:w="28" w:type="dxa"/>
        </w:tblCellMar>
      </w:tblPr>
      <w:tblGrid>
        <w:gridCol w:w="1378"/>
        <w:gridCol w:w="1212"/>
        <w:gridCol w:w="1219"/>
        <w:gridCol w:w="109"/>
        <w:gridCol w:w="109"/>
        <w:gridCol w:w="109"/>
        <w:gridCol w:w="213"/>
        <w:gridCol w:w="622"/>
        <w:gridCol w:w="110"/>
        <w:gridCol w:w="109"/>
        <w:gridCol w:w="109"/>
        <w:gridCol w:w="109"/>
        <w:gridCol w:w="213"/>
        <w:gridCol w:w="622"/>
        <w:gridCol w:w="110"/>
        <w:gridCol w:w="109"/>
        <w:gridCol w:w="109"/>
        <w:gridCol w:w="109"/>
        <w:gridCol w:w="293"/>
        <w:gridCol w:w="859"/>
        <w:gridCol w:w="153"/>
        <w:gridCol w:w="109"/>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Films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Individual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Completed and not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Investment in Other 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Released,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Program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program cost amortization, that related to investment in production that were released, during the three months ended March 30, 2025 and March 31, 2024, were $7.4 million and $8.1 million, respectively.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(10)</w:t>
      </w:r>
      <w:r>
        <w:rPr>
          <w:color w:val="000000"/>
        </w:rPr>
        <w:t xml:space="preserve"> </w:t>
      </w: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 ("ETR") was 27.1% for the three months ended March 30, 2025, and 27.1% for the three months ended March 31, 2024. The following items impacted the ETR for 2025 and 2024:</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March 30, 2025 the Company recorded an unfavorable adjustment to the Loss on Sale of the Film and TV reporting unit of $25.0 million with no tax benefit. The Company also recorded a net discrete tax benefit of $0.3 million, primarily associated with stock-based compensation.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During the three months ended March 31, 2024 the Company recorded an unfavorable adjustment to the Loss on Sale of the Film and TV reporting unit of $9.1 million with no tax benefit. The Company also recorded a net discrete tax expense of $1.8 million, primarily associated with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(11)</w:t>
      </w:r>
      <w:r>
        <w:rPr>
          <w:color w:val="000000"/>
        </w:rPr>
        <w:t xml:space="preserve"> </w:t>
      </w:r>
      <w:r>
        <w:rPr>
          <w:rFonts w:ascii="Arial;sans-serif" w:hAnsi="Arial;sans-serif"/>
          <w:b/>
          <w:color w:val="000000"/>
          <w:sz w:val="20"/>
          <w:u w:val="single"/>
        </w:rPr>
        <w:t>Fair Value of Financial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fair values are based on quoted market prices in active markets for identical assets or liabilities that the entity has the ability to access;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Level 3 fair values are based on inputs that are supported by little or no market activity and that are significant to the fair value of the assets or liabilities.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the following assets and liabilities measured at fair value in its Consolidated Balance Sheets (excluding assets for which the fair value is measured using net asset value per share):</w:t>
      </w:r>
    </w:p>
    <w:tbl>
      <w:tblPr>
        <w:tblW w:w="7499" w:type="dxa"/>
        <w:jc w:val="left"/>
        <w:tblInd w:w="0" w:type="dxa"/>
        <w:tblLayout w:type="fixed"/>
        <w:tblCellMar>
          <w:top w:w="28" w:type="dxa"/>
          <w:left w:w="28" w:type="dxa"/>
          <w:bottom w:w="28" w:type="dxa"/>
          <w:right w:w="28" w:type="dxa"/>
        </w:tblCellMar>
      </w:tblPr>
      <w:tblGrid>
        <w:gridCol w:w="1007"/>
        <w:gridCol w:w="686"/>
        <w:gridCol w:w="692"/>
        <w:gridCol w:w="211"/>
        <w:gridCol w:w="511"/>
        <w:gridCol w:w="109"/>
        <w:gridCol w:w="109"/>
        <w:gridCol w:w="109"/>
        <w:gridCol w:w="109"/>
        <w:gridCol w:w="217"/>
        <w:gridCol w:w="526"/>
        <w:gridCol w:w="112"/>
        <w:gridCol w:w="109"/>
        <w:gridCol w:w="109"/>
        <w:gridCol w:w="109"/>
        <w:gridCol w:w="318"/>
        <w:gridCol w:w="612"/>
        <w:gridCol w:w="166"/>
        <w:gridCol w:w="109"/>
        <w:gridCol w:w="109"/>
        <w:gridCol w:w="109"/>
        <w:gridCol w:w="369"/>
        <w:gridCol w:w="711"/>
        <w:gridCol w:w="271"/>
      </w:tblGrid>
      <w:tr>
        <w:trPr/>
        <w:tc>
          <w:tcPr>
            <w:tcW w:w="100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Using:</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Quoted</w:t>
              <w:br/>
              <w:t>Prices in</w:t>
              <w:br/>
              <w:t>Active</w:t>
              <w:br/>
              <w:t>Markets</w:t>
              <w:br/>
              <w:t>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Significant</w:t>
              <w:br/>
              <w:t>Unobservable</w:t>
              <w:br/>
              <w:t>Inputs</w:t>
              <w:br/>
              <w:t>(Level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March 30, 2025</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March 31, 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 agreement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December 29, 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derivatives primarily consist of foreign currency forward and option contracts. The Company uses current forward rates of the respective foreign currencies to measure the fair value of these contracts. There were no changes in these valuation techniques during the three months ended March 30, 2025. There were no material changes to fair value measurements of the Company's financial instruments which use significant unobservable inputs (Level 3) for three months ended March 31, 2024.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financial instruments include cash and cash equivalents, accounts receivable, short-term borrowings, accounts payable and certain Accrued liabilities. At March 30, 2025, March 31, 2024,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December 29, 2024, the carrying cost of these instruments approximated their fair value. The Company's financial instruments at March 30, 2025, March 31, 2024, and December 29, 2024 also include certain assets and liabilities measured at fair value, as described above. See Note 8, Long-Term Debt and Other Financing, for the fair value of the Company's outstanding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(12)</w:t>
      </w:r>
      <w:r>
        <w:rPr>
          <w:color w:val="000000"/>
        </w:rPr>
        <w:t xml:space="preserve"> </w:t>
      </w:r>
      <w:r>
        <w:rPr>
          <w:rFonts w:ascii="Arial;sans-serif" w:hAnsi="Arial;sans-serif"/>
          <w:b/>
          <w:color w:val="000000"/>
          <w:sz w:val="20"/>
          <w:u w:val="single"/>
        </w:rPr>
        <w:t>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Cash Flow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2025, and into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notional amounts and fair values of the Company's foreign currency forward contracts designated as cash flow hedging instruments were as follows:</w:t>
      </w:r>
    </w:p>
    <w:tbl>
      <w:tblPr>
        <w:tblW w:w="8541" w:type="dxa"/>
        <w:jc w:val="left"/>
        <w:tblInd w:w="0" w:type="dxa"/>
        <w:tblLayout w:type="fixed"/>
        <w:tblCellMar>
          <w:top w:w="28" w:type="dxa"/>
          <w:left w:w="28" w:type="dxa"/>
          <w:bottom w:w="28" w:type="dxa"/>
          <w:right w:w="28" w:type="dxa"/>
        </w:tblCellMar>
      </w:tblPr>
      <w:tblGrid>
        <w:gridCol w:w="652"/>
        <w:gridCol w:w="573"/>
        <w:gridCol w:w="575"/>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81"/>
        <w:gridCol w:w="109"/>
        <w:gridCol w:w="109"/>
        <w:gridCol w:w="109"/>
        <w:gridCol w:w="109"/>
        <w:gridCol w:w="211"/>
        <w:gridCol w:w="616"/>
        <w:gridCol w:w="109"/>
        <w:gridCol w:w="109"/>
        <w:gridCol w:w="109"/>
        <w:gridCol w:w="109"/>
        <w:gridCol w:w="211"/>
        <w:gridCol w:w="40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 2024</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Hedged transaction</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120" w:after="283"/>
        <w:jc w:val="left"/>
        <w:rPr/>
      </w:pPr>
      <w:r>
        <w:rPr/>
      </w:r>
    </w:p>
    <w:tbl>
      <w:tblPr>
        <w:tblW w:w="7719" w:type="dxa"/>
        <w:jc w:val="left"/>
        <w:tblInd w:w="0" w:type="dxa"/>
        <w:tblLayout w:type="fixed"/>
        <w:tblCellMar>
          <w:top w:w="28" w:type="dxa"/>
          <w:left w:w="28" w:type="dxa"/>
          <w:bottom w:w="28" w:type="dxa"/>
          <w:right w:w="28" w:type="dxa"/>
        </w:tblCellMar>
      </w:tblPr>
      <w:tblGrid>
        <w:gridCol w:w="1385"/>
        <w:gridCol w:w="1218"/>
        <w:gridCol w:w="1222"/>
        <w:gridCol w:w="249"/>
        <w:gridCol w:w="568"/>
        <w:gridCol w:w="128"/>
        <w:gridCol w:w="109"/>
        <w:gridCol w:w="109"/>
        <w:gridCol w:w="109"/>
        <w:gridCol w:w="249"/>
        <w:gridCol w:w="568"/>
        <w:gridCol w:w="128"/>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assets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liabilities</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gains (losses) on cash flow hedging activities have been reclassified from other comprehensive earnings (loss) to net earnings as follows:</w:t>
      </w:r>
    </w:p>
    <w:tbl>
      <w:tblPr>
        <w:tblW w:w="6221" w:type="dxa"/>
        <w:jc w:val="left"/>
        <w:tblInd w:w="0" w:type="dxa"/>
        <w:tblLayout w:type="fixed"/>
        <w:tblCellMar>
          <w:top w:w="28" w:type="dxa"/>
          <w:left w:w="28" w:type="dxa"/>
          <w:bottom w:w="28" w:type="dxa"/>
          <w:right w:w="28" w:type="dxa"/>
        </w:tblCellMar>
      </w:tblPr>
      <w:tblGrid>
        <w:gridCol w:w="1278"/>
        <w:gridCol w:w="1122"/>
        <w:gridCol w:w="1125"/>
        <w:gridCol w:w="274"/>
        <w:gridCol w:w="529"/>
        <w:gridCol w:w="141"/>
        <w:gridCol w:w="109"/>
        <w:gridCol w:w="109"/>
        <w:gridCol w:w="109"/>
        <w:gridCol w:w="248"/>
        <w:gridCol w:w="568"/>
        <w:gridCol w:w="128"/>
        <w:gridCol w:w="109"/>
        <w:gridCol w:w="109"/>
        <w:gridCol w:w="109"/>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Statements of Operations Classification</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gains (losses)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Undesignated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March 30, 2025, March 31, 2024 and December 29, 2024, the total notional amounts of the Company's undesignated derivative instruments were $263.2 million, $328.6 million, and $289.6 million, respectively.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the Company's undesignated derivative financial instruments were recorded in the Consolidated Balance Sheets as follows:</w:t>
      </w:r>
    </w:p>
    <w:tbl>
      <w:tblPr>
        <w:tblW w:w="7719" w:type="dxa"/>
        <w:jc w:val="left"/>
        <w:tblInd w:w="0" w:type="dxa"/>
        <w:tblLayout w:type="fixed"/>
        <w:tblCellMar>
          <w:top w:w="28" w:type="dxa"/>
          <w:left w:w="28" w:type="dxa"/>
          <w:bottom w:w="28" w:type="dxa"/>
          <w:right w:w="28" w:type="dxa"/>
        </w:tblCellMar>
      </w:tblPr>
      <w:tblGrid>
        <w:gridCol w:w="1385"/>
        <w:gridCol w:w="1218"/>
        <w:gridCol w:w="1222"/>
        <w:gridCol w:w="249"/>
        <w:gridCol w:w="568"/>
        <w:gridCol w:w="128"/>
        <w:gridCol w:w="109"/>
        <w:gridCol w:w="109"/>
        <w:gridCol w:w="109"/>
        <w:gridCol w:w="249"/>
        <w:gridCol w:w="568"/>
        <w:gridCol w:w="128"/>
        <w:gridCol w:w="109"/>
        <w:gridCol w:w="109"/>
        <w:gridCol w:w="109"/>
        <w:gridCol w:w="362"/>
        <w:gridCol w:w="722"/>
        <w:gridCol w:w="266"/>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Prepaid expenses and other current assets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Accrued liabilities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recorded a net gain of $2.2 million and $9.1 million for three months ended March 30, 2025 and March 31, 2024, respectively, on these instruments to Other (income) expense, net relating to the change in fair value of such derivatives, substantially offsetting gains and losses from the change in fair value of intercompany loans to which the contracts relate.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(see Note 6, Other Comprehensive Earnings (Loss) and Note 11, Fair Value of 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(13) </w:t>
      </w:r>
      <w:r>
        <w:rPr>
          <w:rFonts w:ascii="Arial;sans-serif" w:hAnsi="Arial;sans-serif"/>
          <w:b/>
          <w:color w:val="000000"/>
          <w:sz w:val="20"/>
          <w:u w:val="single"/>
        </w:rPr>
        <w:t>Restructuring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nine to twelve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liability balance associated with the Program related restructuring actions consisted of severance payments recorded within Other accrued liabilities in the Consolidated Balance Sheets as follows:</w:t>
      </w:r>
    </w:p>
    <w:tbl>
      <w:tblPr>
        <w:tblW w:w="5457" w:type="dxa"/>
        <w:jc w:val="left"/>
        <w:tblInd w:w="0" w:type="dxa"/>
        <w:tblLayout w:type="fixed"/>
        <w:tblCellMar>
          <w:top w:w="28" w:type="dxa"/>
          <w:left w:w="28" w:type="dxa"/>
          <w:bottom w:w="28" w:type="dxa"/>
          <w:right w:w="28" w:type="dxa"/>
        </w:tblCellMar>
      </w:tblPr>
      <w:tblGrid>
        <w:gridCol w:w="998"/>
        <w:gridCol w:w="878"/>
        <w:gridCol w:w="883"/>
        <w:gridCol w:w="240"/>
        <w:gridCol w:w="581"/>
        <w:gridCol w:w="124"/>
        <w:gridCol w:w="109"/>
        <w:gridCol w:w="109"/>
        <w:gridCol w:w="109"/>
        <w:gridCol w:w="240"/>
        <w:gridCol w:w="581"/>
        <w:gridCol w:w="124"/>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the year</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restructuring charges incurred to date under the Program, along with the estimated charges expected to be incurred on approved initiatives under the Program as of March 30, 2025:</w:t>
      </w:r>
    </w:p>
    <w:tbl>
      <w:tblPr>
        <w:tblW w:w="6112" w:type="dxa"/>
        <w:jc w:val="left"/>
        <w:tblInd w:w="0" w:type="dxa"/>
        <w:tblLayout w:type="fixed"/>
        <w:tblCellMar>
          <w:top w:w="28" w:type="dxa"/>
          <w:left w:w="28" w:type="dxa"/>
          <w:bottom w:w="28" w:type="dxa"/>
          <w:right w:w="28" w:type="dxa"/>
        </w:tblCellMar>
      </w:tblPr>
      <w:tblGrid>
        <w:gridCol w:w="1698"/>
        <w:gridCol w:w="1493"/>
        <w:gridCol w:w="1504"/>
        <w:gridCol w:w="109"/>
        <w:gridCol w:w="109"/>
        <w:gridCol w:w="109"/>
        <w:gridCol w:w="109"/>
        <w:gridCol w:w="211"/>
        <w:gridCol w:w="61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 incurred to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charges to be incurred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expected charges on approved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pPr>
      <w:r>
        <w:rPr>
          <w:rFonts w:ascii="Arial;sans-serif" w:hAnsi="Arial;sans-serif"/>
          <w:b/>
          <w:color w:val="000000"/>
          <w:sz w:val="20"/>
        </w:rPr>
        <w:t>(14)</w:t>
      </w:r>
      <w:r>
        <w:rPr>
          <w:color w:val="000000"/>
        </w:rPr>
        <w:t xml:space="preserve"> </w:t>
      </w:r>
      <w:r>
        <w:rPr>
          <w:rFonts w:ascii="Arial;sans-serif" w:hAnsi="Arial;sans-serif"/>
          <w:b/>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Environmental Liabilities - The Company monitors for any estimated environmental contingencies related to its current physical locations and former owned or leased facilities in which it is responsible for environmental matters. The Company has estimated a $31.1 million environmental liability related to a previously owned manufacturing facility (environmental liability assumed as part of a historical acquisition), in which the Company is solely responsible for the mitigation and remediation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Contractual obligations and commercial commitments, as detailed in the Company's 2024 Form 10-K, did not materially change outside of certain payments made in the normal course of business, except as disclosed in Note 8, Long-Term Debt and Other Financing.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(15)</w:t>
      </w:r>
      <w:r>
        <w:rPr>
          <w:color w:val="000000"/>
        </w:rPr>
        <w:t xml:space="preserve"> </w:t>
      </w:r>
      <w:r>
        <w:rPr>
          <w:rFonts w:ascii="Arial;sans-serif" w:hAnsi="Arial;sans-serif"/>
          <w:b/>
          <w:color w:val="000000"/>
          <w:sz w:val="20"/>
          <w:u w:val="single"/>
        </w:rPr>
        <w:t>Segment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reportable segments are strategic business units that offer different products and services. They are managed separately because the business requires different technology and marketing strategies. The Company's reportable segments are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Entertainment segment engages in the development and production of Hasbro-branded entertainment content including film, television, children’s programming, digital content and live entertainment focused on Hasbro-owned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which does not meet the criteria to be an operating segment,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March 30, 2025 are as follows:</w:t>
      </w:r>
    </w:p>
    <w:tbl>
      <w:tblPr>
        <w:tblW w:w="10205" w:type="dxa"/>
        <w:jc w:val="left"/>
        <w:tblInd w:w="0" w:type="dxa"/>
        <w:tblLayout w:type="fixed"/>
        <w:tblCellMar>
          <w:top w:w="28" w:type="dxa"/>
          <w:left w:w="28" w:type="dxa"/>
          <w:bottom w:w="28" w:type="dxa"/>
          <w:right w:w="28" w:type="dxa"/>
        </w:tblCellMar>
      </w:tblPr>
      <w:tblGrid>
        <w:gridCol w:w="885"/>
        <w:gridCol w:w="634"/>
        <w:gridCol w:w="639"/>
        <w:gridCol w:w="109"/>
        <w:gridCol w:w="109"/>
        <w:gridCol w:w="109"/>
        <w:gridCol w:w="395"/>
        <w:gridCol w:w="1122"/>
        <w:gridCol w:w="219"/>
        <w:gridCol w:w="109"/>
        <w:gridCol w:w="109"/>
        <w:gridCol w:w="109"/>
        <w:gridCol w:w="272"/>
        <w:gridCol w:w="776"/>
        <w:gridCol w:w="153"/>
        <w:gridCol w:w="109"/>
        <w:gridCol w:w="109"/>
        <w:gridCol w:w="109"/>
        <w:gridCol w:w="306"/>
        <w:gridCol w:w="753"/>
        <w:gridCol w:w="172"/>
        <w:gridCol w:w="109"/>
        <w:gridCol w:w="109"/>
        <w:gridCol w:w="109"/>
        <w:gridCol w:w="304"/>
        <w:gridCol w:w="724"/>
        <w:gridCol w:w="170"/>
        <w:gridCol w:w="109"/>
        <w:gridCol w:w="109"/>
        <w:gridCol w:w="109"/>
        <w:gridCol w:w="196"/>
        <w:gridCol w:w="691"/>
        <w:gridCol w:w="159"/>
      </w:tblGrid>
      <w:tr>
        <w:trPr/>
        <w:tc>
          <w:tcPr>
            <w:tcW w:w="8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and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 Managed expenses for the Entertainment segment included a $25.0 million non-cash loss associated with the sale of the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for the three months ended March 31, 2024 are as follows:</w:t>
      </w:r>
    </w:p>
    <w:tbl>
      <w:tblPr>
        <w:tblW w:w="10205" w:type="dxa"/>
        <w:jc w:val="left"/>
        <w:tblInd w:w="0" w:type="dxa"/>
        <w:tblLayout w:type="fixed"/>
        <w:tblCellMar>
          <w:top w:w="28" w:type="dxa"/>
          <w:left w:w="28" w:type="dxa"/>
          <w:bottom w:w="28" w:type="dxa"/>
          <w:right w:w="28" w:type="dxa"/>
        </w:tblCellMar>
      </w:tblPr>
      <w:tblGrid>
        <w:gridCol w:w="902"/>
        <w:gridCol w:w="653"/>
        <w:gridCol w:w="658"/>
        <w:gridCol w:w="109"/>
        <w:gridCol w:w="109"/>
        <w:gridCol w:w="109"/>
        <w:gridCol w:w="406"/>
        <w:gridCol w:w="1153"/>
        <w:gridCol w:w="225"/>
        <w:gridCol w:w="109"/>
        <w:gridCol w:w="109"/>
        <w:gridCol w:w="109"/>
        <w:gridCol w:w="275"/>
        <w:gridCol w:w="785"/>
        <w:gridCol w:w="155"/>
        <w:gridCol w:w="109"/>
        <w:gridCol w:w="109"/>
        <w:gridCol w:w="109"/>
        <w:gridCol w:w="312"/>
        <w:gridCol w:w="744"/>
        <w:gridCol w:w="175"/>
        <w:gridCol w:w="109"/>
        <w:gridCol w:w="109"/>
        <w:gridCol w:w="109"/>
        <w:gridCol w:w="308"/>
        <w:gridCol w:w="733"/>
        <w:gridCol w:w="172"/>
        <w:gridCol w:w="109"/>
        <w:gridCol w:w="109"/>
        <w:gridCol w:w="109"/>
        <w:gridCol w:w="196"/>
        <w:gridCol w:w="556"/>
        <w:gridCol w:w="162"/>
      </w:tblGrid>
      <w:tr>
        <w:trPr/>
        <w:tc>
          <w:tcPr>
            <w:tcW w:w="90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Wizards of the Coast and Digital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and selling and administrative expense. Product development is included in Product Development in the Consolidated Statement of Operations. Selling and administrative expense is included in Selling, distribution and administration in the Consolidated Statement of Operations.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Condensed Notes to Consolidated Financial Statements</w:t>
      </w:r>
    </w:p>
    <w:p>
      <w:pPr>
        <w:pStyle w:val="TextBody"/>
        <w:bidi w:val="0"/>
        <w:spacing w:lineRule="auto" w:line="247" w:before="0" w:after="0"/>
        <w:jc w:val="center"/>
        <w:rPr>
          <w:rFonts w:ascii="Arial;sans-serif" w:hAnsi="Arial;sans-serif"/>
          <w:b/>
          <w:color w:val="000000"/>
          <w:sz w:val="20"/>
        </w:rPr>
      </w:pPr>
      <w:r>
        <w:rPr>
          <w:rFonts w:ascii="Arial;sans-serif" w:hAnsi="Arial;sans-serif"/>
          <w:b/>
          <w:color w:val="000000"/>
          <w:sz w:val="20"/>
        </w:rPr>
        <w:t>(Millions of Dollars and Shares Except Per Share Data)</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assets information by segments is as follows:</w:t>
      </w:r>
    </w:p>
    <w:tbl>
      <w:tblPr>
        <w:tblW w:w="7596" w:type="dxa"/>
        <w:jc w:val="left"/>
        <w:tblInd w:w="0" w:type="dxa"/>
        <w:tblLayout w:type="fixed"/>
        <w:tblCellMar>
          <w:top w:w="28" w:type="dxa"/>
          <w:left w:w="28" w:type="dxa"/>
          <w:bottom w:w="28" w:type="dxa"/>
          <w:right w:w="28" w:type="dxa"/>
        </w:tblCellMar>
      </w:tblPr>
      <w:tblGrid>
        <w:gridCol w:w="1240"/>
        <w:gridCol w:w="1088"/>
        <w:gridCol w:w="1092"/>
        <w:gridCol w:w="211"/>
        <w:gridCol w:w="766"/>
        <w:gridCol w:w="109"/>
        <w:gridCol w:w="109"/>
        <w:gridCol w:w="109"/>
        <w:gridCol w:w="109"/>
        <w:gridCol w:w="211"/>
        <w:gridCol w:w="766"/>
        <w:gridCol w:w="109"/>
        <w:gridCol w:w="109"/>
        <w:gridCol w:w="109"/>
        <w:gridCol w:w="109"/>
        <w:gridCol w:w="252"/>
        <w:gridCol w:w="915"/>
        <w:gridCol w:w="183"/>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29,</w:t>
              <w:b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7,785.2 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and Other</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Corporate and Other consists of investments in subsidiary and intercompany receivables.</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supplemental information by segments are as follows:</w:t>
      </w:r>
    </w:p>
    <w:tbl>
      <w:tblPr>
        <w:tblW w:w="6654" w:type="dxa"/>
        <w:jc w:val="left"/>
        <w:tblInd w:w="0" w:type="dxa"/>
        <w:tblLayout w:type="fixed"/>
        <w:tblCellMar>
          <w:top w:w="28" w:type="dxa"/>
          <w:left w:w="28" w:type="dxa"/>
          <w:bottom w:w="28" w:type="dxa"/>
          <w:right w:w="28" w:type="dxa"/>
        </w:tblCellMar>
      </w:tblPr>
      <w:tblGrid>
        <w:gridCol w:w="1472"/>
        <w:gridCol w:w="1291"/>
        <w:gridCol w:w="1302"/>
        <w:gridCol w:w="109"/>
        <w:gridCol w:w="109"/>
        <w:gridCol w:w="109"/>
        <w:gridCol w:w="240"/>
        <w:gridCol w:w="581"/>
        <w:gridCol w:w="124"/>
        <w:gridCol w:w="109"/>
        <w:gridCol w:w="109"/>
        <w:gridCol w:w="109"/>
        <w:gridCol w:w="238"/>
        <w:gridCol w:w="578"/>
        <w:gridCol w:w="174"/>
      </w:tblGrid>
      <w:tr>
        <w:trPr/>
        <w:tc>
          <w:tcPr>
            <w:tcW w:w="147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and intangible asset amortization</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The amounts of depreciation disclosed by reportable segments are included within cost of sales, distribution and managed expense. Intangible asset amortization is included within amortization of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ind w:left="0" w:right="0" w:firstLine="720"/>
        <w:jc w:val="left"/>
        <w:rPr>
          <w:rFonts w:ascii="Arial;sans-serif" w:hAnsi="Arial;sans-serif"/>
          <w:b/>
          <w:color w:val="000000"/>
          <w:sz w:val="20"/>
          <w:shd w:fill="FFFFFF" w:val="clear"/>
        </w:rPr>
      </w:pPr>
      <w:r>
        <w:rPr>
          <w:rFonts w:ascii="Arial;sans-serif" w:hAnsi="Arial;sans-serif"/>
          <w:b/>
          <w:color w:val="000000"/>
          <w:sz w:val="20"/>
          <w:shd w:fill="FFFFFF" w:val="clear"/>
        </w:rPr>
        <w:t>(Dollar and share amounts in tables presented in millions, unless otherwise noted)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discussion and analysis should be read together with the accompanying unaudited consolidated financial statements and the notes thereto included in this Quarterly Report and the audited consolidated financial statements and the notes thereto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Through our franchise-first approach, we unlock value from both new and legacy IP, including MAGIC: THE GATHERING, DUNGEONS &amp; DRAGONS, MONOPOLY, HASBRO GAMES, NERF, TRANSFORMERS, PLAY-DOH and PEPPA PIG, as well as premier partner brands. Powered by our portfolio of iconic brands and a diversified network of partners and subsidiary studios, we bring fans together wherever they are, from tabletop to screen.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Over the last several years, Hasbro has continued our transformation for our business and we began to see tangible results from our initiatives. Specifically, we focused our efforts on strategic investments in our most valuable and profitable franchises across games, licensing, toys and entertainment. We also made significant progress in our cost-savings initiatives and further strengthened our leadership team with industry veterans and turnaround experts.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first quarter of 2025, we launched our refreshed strategy "Playing to Win" to refocus the Company on play and partnership. Through play fueled brand engagement and partner scaled co-investment, we plan to expand our consumer reach as a games, IP, and toy company. We have set goals and objectives to be one of the most profitable and diverse toy and game companies globally, powered by multi-segment and multi-generational franchises. Playing to Win includes five strategic building blocks: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Profitable Franchises:</w:t>
      </w:r>
      <w:r>
        <w:rPr>
          <w:color w:val="000000"/>
        </w:rPr>
        <w:t xml:space="preserve"> </w:t>
      </w:r>
      <w:r>
        <w:rPr>
          <w:rFonts w:ascii="Arial;sans-serif" w:hAnsi="Arial;sans-serif"/>
          <w:b w:val="false"/>
          <w:color w:val="000000"/>
          <w:sz w:val="20"/>
        </w:rPr>
        <w:t>Focus on improving the fundamentals of profitable, play-focused brands, through innovation, partnership, operational excellence, managed cost-discipline and retail execution.</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Aging Up</w:t>
      </w:r>
      <w:r>
        <w:rPr>
          <w:rFonts w:ascii="Arial;sans-serif" w:hAnsi="Arial;sans-serif"/>
          <w:b w:val="false"/>
          <w:color w:val="000000"/>
          <w:sz w:val="20"/>
        </w:rPr>
        <w:t>: Expand our consumer base and drive play and collectible experiences for fans of all ages, recognizing that consumers aged 13 and above are gaining purchase share.</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Everyone Plays</w:t>
      </w:r>
      <w:r>
        <w:rPr>
          <w:rFonts w:ascii="Arial;sans-serif" w:hAnsi="Arial;sans-serif"/>
          <w:b w:val="false"/>
          <w:color w:val="000000"/>
          <w:sz w:val="20"/>
        </w:rPr>
        <w:t>: Engage across the play spectrum to where we under-index and capture new consumers across demographics and markets.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Digital and Direct:</w:t>
      </w:r>
      <w:r>
        <w:rPr>
          <w:color w:val="000000"/>
        </w:rPr>
        <w:t xml:space="preserve"> </w:t>
      </w:r>
      <w:r>
        <w:rPr>
          <w:rFonts w:ascii="Arial;sans-serif" w:hAnsi="Arial;sans-serif"/>
          <w:b w:val="false"/>
          <w:color w:val="000000"/>
          <w:sz w:val="20"/>
        </w:rPr>
        <w:t>Embrace new ways to engage with our consumers through video games, digital technology and direct-to-consumer interactions.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Partner Scale:</w:t>
      </w:r>
      <w:r>
        <w:rPr>
          <w:color w:val="000000"/>
        </w:rPr>
        <w:t xml:space="preserve"> </w:t>
      </w:r>
      <w:r>
        <w:rPr>
          <w:rFonts w:ascii="Arial;sans-serif" w:hAnsi="Arial;sans-serif"/>
          <w:b w:val="false"/>
          <w:color w:val="000000"/>
          <w:sz w:val="20"/>
        </w:rPr>
        <w:t>Capitalize on our partners’ investments and scale to enhance our brands through strategic relationships and licensing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our Playing to Win strategy, we have realigned our brand portfolios to correspond our refreshed strategy:</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Grow Brands:</w:t>
      </w:r>
      <w:r>
        <w:rPr>
          <w:color w:val="000000"/>
        </w:rPr>
        <w:t xml:space="preserve"> </w:t>
      </w:r>
      <w:r>
        <w:rPr>
          <w:rFonts w:ascii="Arial;sans-serif" w:hAnsi="Arial;sans-serif"/>
          <w:b w:val="false"/>
          <w:color w:val="000000"/>
          <w:sz w:val="20"/>
        </w:rPr>
        <w:t xml:space="preserve">Brands representing the highest margin, highest growth opportunities in categories where we see significant share and/or underlying market growth. </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Optimize Brands</w:t>
      </w:r>
      <w:r>
        <w:rPr>
          <w:rFonts w:ascii="Arial;sans-serif" w:hAnsi="Arial;sans-serif"/>
          <w:b w:val="false"/>
          <w:color w:val="000000"/>
          <w:sz w:val="20"/>
        </w:rPr>
        <w:t>: Brands representing opportunities to maintain or grow share while improving operating profit returns.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Reinvent Brands</w:t>
      </w:r>
      <w:r>
        <w:rPr>
          <w:rFonts w:ascii="Arial;sans-serif" w:hAnsi="Arial;sans-serif"/>
          <w:b w:val="false"/>
          <w:color w:val="000000"/>
          <w:sz w:val="20"/>
        </w:rPr>
        <w:t xml:space="preserve">: Brands representing opportunities to reinvent or restructure to drive innovation and improved operating profit returns.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Brands periodically are reclassified, based on changes in growth, profitability or other characteristics, and when those changes occur, the respective portfolio historical revenue is included within the new classification.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Tariffs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impact of tariffs on the Company's business operations was not significant during the first three months of 2025 and throughout 2024; however significant changes in trade policy announced by the U.S. government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second quarter of 2025 could result in material adverse impacts to our forward-looking financial results. The Company monitors the impact of tariffs to its business operations on an ongoing basis and may need to implement actions such as imposing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potential unrealizability of some of our existing assets, or other economic outcomes that could have a material adverse impact on our sales volumes, prices, and our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Although the final impact of tariffs is uncertain, from the Company’s scenario planning, assuming tariffs on imports from China to the United States ranging from 50% to 145%, and tariffs on imports from the rest of the world at 10%, we currently estimate between $100 million and $300 million of negative gross impact to operating profit in 2025, before any mitigation measures. Factoring in all mitigating levers, we currently estimate a negative net profit impact to the Company between $60 million and $180 million for 2025. The range of outcomes is dependent on final trade policy, customer order patterns, and impacts on consumer purchasing from tariffs and related economic conditions. The impact may be greater than set forth above. The Company also currently anticipates that tariffs will result in purchasing shifting later in the year, with a negative impact to second quarter revenues.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Summary of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2025, the Company experienced an increase in revenue from $757.3 million for the three months ended March 31, 2024 to $887.1 million for the three months ended March 30, 2025. The increase in revenue for the three months ended March 30, 2025 from the three months ended March 31, 2024 is driven primarily by growth in our Wizards of the Coast and Digital Gaming segment, inclusive of increased demand for both tabletop and licensed digital gaming, partially offset by a decrease in our Consumer Products segment related to volume declines.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made strong progress towards its ongoing transformation efforts while achieving an operating profit of $170.7 million during the three months ended March 30, 2025 as compared to $116.2 million for the three months ended March 31, 2024, respectively. See the below discussion for the consolidated and segment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the three months ended March 30, 2025 and March 31, 2024:</w:t>
      </w:r>
    </w:p>
    <w:tbl>
      <w:tblPr>
        <w:tblW w:w="10205" w:type="dxa"/>
        <w:jc w:val="left"/>
        <w:tblInd w:w="0" w:type="dxa"/>
        <w:tblLayout w:type="fixed"/>
        <w:tblCellMar>
          <w:top w:w="28" w:type="dxa"/>
          <w:left w:w="28" w:type="dxa"/>
          <w:bottom w:w="28" w:type="dxa"/>
          <w:right w:w="28" w:type="dxa"/>
        </w:tblCellMar>
      </w:tblPr>
      <w:tblGrid>
        <w:gridCol w:w="1376"/>
        <w:gridCol w:w="1130"/>
        <w:gridCol w:w="1132"/>
        <w:gridCol w:w="211"/>
        <w:gridCol w:w="616"/>
        <w:gridCol w:w="109"/>
        <w:gridCol w:w="109"/>
        <w:gridCol w:w="109"/>
        <w:gridCol w:w="109"/>
        <w:gridCol w:w="387"/>
        <w:gridCol w:w="353"/>
        <w:gridCol w:w="875"/>
        <w:gridCol w:w="109"/>
        <w:gridCol w:w="109"/>
        <w:gridCol w:w="109"/>
        <w:gridCol w:w="211"/>
        <w:gridCol w:w="616"/>
        <w:gridCol w:w="109"/>
        <w:gridCol w:w="109"/>
        <w:gridCol w:w="109"/>
        <w:gridCol w:w="109"/>
        <w:gridCol w:w="387"/>
        <w:gridCol w:w="353"/>
        <w:gridCol w:w="875"/>
        <w:gridCol w:w="109"/>
        <w:gridCol w:w="109"/>
        <w:gridCol w:w="109"/>
        <w:gridCol w:w="157"/>
      </w:tblGrid>
      <w:tr>
        <w:trPr/>
        <w:tc>
          <w:tcPr>
            <w:tcW w:w="137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cost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distribution and administration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Net revenues - </w:t>
      </w:r>
      <w:r>
        <w:rPr>
          <w:rFonts w:ascii="Arial;sans-serif" w:hAnsi="Arial;sans-serif"/>
          <w:b w:val="false"/>
          <w:color w:val="000000"/>
          <w:sz w:val="20"/>
        </w:rPr>
        <w:t>Net revenues for the first quarter of 2025 increased 17% to $887.1 million from $757.3 million for the first quarter of 2024 primarily driven by a $145.8 million, or 46%, increase in the Wizards of the Coast and Digital Gaming segment, offset by a $14.7 million, or 4%, decline in the Consumer Products segment, and a $1.3 million, or 5%, decline in the Entertainment segment. See the Segment Results discussion below for further details.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by brand portfolio category:</w:t>
      </w:r>
    </w:p>
    <w:tbl>
      <w:tblPr>
        <w:tblW w:w="4871" w:type="dxa"/>
        <w:jc w:val="left"/>
        <w:tblInd w:w="0" w:type="dxa"/>
        <w:tblLayout w:type="fixed"/>
        <w:tblCellMar>
          <w:top w:w="28" w:type="dxa"/>
          <w:left w:w="28" w:type="dxa"/>
          <w:bottom w:w="28" w:type="dxa"/>
          <w:right w:w="28" w:type="dxa"/>
        </w:tblCellMar>
      </w:tblPr>
      <w:tblGrid>
        <w:gridCol w:w="537"/>
        <w:gridCol w:w="473"/>
        <w:gridCol w:w="475"/>
        <w:gridCol w:w="213"/>
        <w:gridCol w:w="622"/>
        <w:gridCol w:w="110"/>
        <w:gridCol w:w="109"/>
        <w:gridCol w:w="109"/>
        <w:gridCol w:w="109"/>
        <w:gridCol w:w="213"/>
        <w:gridCol w:w="622"/>
        <w:gridCol w:w="110"/>
        <w:gridCol w:w="109"/>
        <w:gridCol w:w="109"/>
        <w:gridCol w:w="109"/>
        <w:gridCol w:w="180"/>
        <w:gridCol w:w="181"/>
        <w:gridCol w:w="48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Grow Brands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Optimize Brands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Reinvent Brands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i/>
          <w:color w:val="000000"/>
          <w:sz w:val="20"/>
        </w:rPr>
        <w:t>GROW BRANDS:</w:t>
      </w:r>
      <w:r>
        <w:rPr>
          <w:color w:val="000000"/>
        </w:rPr>
        <w:t xml:space="preserve"> </w:t>
      </w:r>
      <w:r>
        <w:rPr>
          <w:rFonts w:ascii="Arial;sans-serif" w:hAnsi="Arial;sans-serif"/>
          <w:b w:val="false"/>
          <w:color w:val="000000"/>
          <w:sz w:val="20"/>
        </w:rPr>
        <w:t>Net revenues in the Grow Brands portfolio increased $131.7 million, or 25%,</w:t>
      </w:r>
      <w:r>
        <w:rPr>
          <w:color w:val="000000"/>
        </w:rPr>
        <w:t xml:space="preserve"> </w:t>
      </w:r>
      <w:r>
        <w:rPr>
          <w:rFonts w:ascii="Arial;sans-serif" w:hAnsi="Arial;sans-serif"/>
          <w:b w:val="false"/>
          <w:color w:val="000000"/>
          <w:sz w:val="20"/>
        </w:rPr>
        <w:t xml:space="preserve">in the first quarter of 2025, compared to the first quarter of 2024. The net revenue increase primarily reflects higher net revenues from MAGIC: THE GATHERING, MONOPOLY, and MARVEL product sales and digital game licensing related to </w:t>
      </w:r>
      <w:r>
        <w:rPr>
          <w:rFonts w:ascii="Arial;sans-serif" w:hAnsi="Arial;sans-serif"/>
          <w:b w:val="false"/>
          <w:i/>
          <w:color w:val="000000"/>
          <w:sz w:val="20"/>
        </w:rPr>
        <w:t>MONOPOLY GO!</w:t>
      </w:r>
      <w:r>
        <w:rPr>
          <w:rFonts w:ascii="Arial;sans-serif" w:hAnsi="Arial;sans-serif"/>
          <w:b w:val="false"/>
          <w:color w:val="000000"/>
          <w:sz w:val="20"/>
        </w:rPr>
        <w:t>, which were partially offset by lower net revenues from GI JOE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20"/>
        </w:rPr>
        <w:t>OPTIMIZE BRANDS:</w:t>
      </w:r>
      <w:r>
        <w:rPr>
          <w:color w:val="000000"/>
        </w:rPr>
        <w:t xml:space="preserve"> </w:t>
      </w:r>
      <w:r>
        <w:rPr>
          <w:rFonts w:ascii="Arial;sans-serif" w:hAnsi="Arial;sans-serif"/>
          <w:b w:val="false"/>
          <w:color w:val="000000"/>
          <w:sz w:val="20"/>
        </w:rPr>
        <w:t>Net revenues in the Optimize Brands portfolio decreased $9.7 million, or 7%, in the first quarter of 2025, compared to the first quarter of 2024. The net revenue decrease is primarily driven by lower net revenues from PEPPA PIG products, partially offset by an increase in revenue from TRANSFORMERS products, which was driven by increased consumer demand stemming from the September 2024 theatrical release of Transformers One with our partners at Paramount.</w:t>
      </w:r>
    </w:p>
    <w:p>
      <w:pPr>
        <w:pStyle w:val="TextBody"/>
        <w:bidi w:val="0"/>
        <w:spacing w:lineRule="auto" w:line="288" w:before="120" w:after="283"/>
        <w:jc w:val="left"/>
        <w:rPr/>
      </w:pPr>
      <w:r>
        <w:rPr>
          <w:rFonts w:ascii="Arial;sans-serif" w:hAnsi="Arial;sans-serif"/>
          <w:b w:val="false"/>
          <w:i/>
          <w:color w:val="000000"/>
          <w:sz w:val="20"/>
        </w:rPr>
        <w:t>REINVENT BRANDS:</w:t>
      </w:r>
      <w:r>
        <w:rPr>
          <w:color w:val="000000"/>
        </w:rPr>
        <w:t xml:space="preserve"> </w:t>
      </w:r>
      <w:r>
        <w:rPr>
          <w:rFonts w:ascii="Arial;sans-serif" w:hAnsi="Arial;sans-serif"/>
          <w:b w:val="false"/>
          <w:color w:val="000000"/>
          <w:sz w:val="20"/>
        </w:rPr>
        <w:t>Net revenues in the Reinvent Brands portfolio increased $7.8 million, or 8%, in the first quarter of 2025 compared to the first quarter of 2024. Higher net revenues from BEY BLADE products, following the Company's successful reintroduction of the brand, as well as higher consumer product licensing revenues relating to MY LITTLE PONY, which were partially offset by decreases in revenue from NERF.</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OPERATING COSTS AND EXPENSES</w:t>
      </w:r>
    </w:p>
    <w:p>
      <w:pPr>
        <w:pStyle w:val="TextBody"/>
        <w:bidi w:val="0"/>
        <w:spacing w:lineRule="auto" w:line="288" w:before="120" w:after="283"/>
        <w:jc w:val="left"/>
        <w:rPr/>
      </w:pPr>
      <w:r>
        <w:rPr>
          <w:rFonts w:ascii="Arial;sans-serif" w:hAnsi="Arial;sans-serif"/>
          <w:b/>
          <w:color w:val="000000"/>
          <w:sz w:val="20"/>
        </w:rPr>
        <w:t xml:space="preserve">Cost of sales - </w:t>
      </w:r>
      <w:r>
        <w:rPr>
          <w:rFonts w:ascii="Arial;sans-serif" w:hAnsi="Arial;sans-serif"/>
          <w:b w:val="false"/>
          <w:color w:val="000000"/>
          <w:sz w:val="20"/>
        </w:rPr>
        <w:t>Cost of sales for the first quarter of 2025 was $204.5 million, or 23.1% of net revenues, compared to $204.2 million, or 27.0% of net revenues, for the first quarter of 2024. The decrease in cost of sales as a percent of net revenues was primarily the result of a shift in product mix, driven by an increase in both digital and consumer product licensing revenue during the quarter.</w:t>
      </w:r>
    </w:p>
    <w:p>
      <w:pPr>
        <w:pStyle w:val="TextBody"/>
        <w:bidi w:val="0"/>
        <w:spacing w:lineRule="auto" w:line="288" w:before="120" w:after="283"/>
        <w:jc w:val="left"/>
        <w:rPr/>
      </w:pPr>
      <w:r>
        <w:rPr>
          <w:rFonts w:ascii="Arial;sans-serif" w:hAnsi="Arial;sans-serif"/>
          <w:b/>
          <w:color w:val="000000"/>
          <w:sz w:val="20"/>
        </w:rPr>
        <w:t xml:space="preserve">Program cost amortization - </w:t>
      </w:r>
      <w:r>
        <w:rPr>
          <w:rFonts w:ascii="Arial;sans-serif" w:hAnsi="Arial;sans-serif"/>
          <w:b w:val="false"/>
          <w:color w:val="000000"/>
          <w:sz w:val="20"/>
        </w:rPr>
        <w:t>Program cost amortization decreased slightly to $7.4 million, or 0.8% of net revenues, for the first quarter of 2025 from $8.1 million, or 1.1% of net revenues, for the first quarter of 2024. Program costs are capitalized as incurred and amortized primarily using the individual-film-forecast method which matches costs to the related recognized revenue and is based upon the current slate of entertainment projects.</w:t>
      </w:r>
    </w:p>
    <w:p>
      <w:pPr>
        <w:pStyle w:val="TextBody"/>
        <w:bidi w:val="0"/>
        <w:spacing w:lineRule="auto" w:line="288" w:before="120" w:after="283"/>
        <w:jc w:val="left"/>
        <w:rPr/>
      </w:pPr>
      <w:r>
        <w:rPr>
          <w:rFonts w:ascii="Arial;sans-serif" w:hAnsi="Arial;sans-serif"/>
          <w:b/>
          <w:color w:val="000000"/>
          <w:sz w:val="20"/>
        </w:rPr>
        <w:t xml:space="preserve">Royalties - </w:t>
      </w:r>
      <w:r>
        <w:rPr>
          <w:rFonts w:ascii="Arial;sans-serif" w:hAnsi="Arial;sans-serif"/>
          <w:b w:val="false"/>
          <w:color w:val="000000"/>
          <w:sz w:val="20"/>
        </w:rPr>
        <w:t>Royalty expense for the first quarter of 2025 increased to $57.0 million, or 6.4% of net revenues, compared to $50.9 million, or 6.7% of net revenues, for the first quarter of 2024. Fluctuations in Royalty expense are generally related to the volume of content releases and deliveries and entertainment-driven products sold. The increase in Royalty expense during the first quarter of 2025 was directly driven by an increase in sales for partner brands such as MARVEL, for which the Company is obligated to pay a royalty.</w:t>
      </w:r>
    </w:p>
    <w:p>
      <w:pPr>
        <w:pStyle w:val="TextBody"/>
        <w:bidi w:val="0"/>
        <w:spacing w:lineRule="auto" w:line="288" w:before="120" w:after="283"/>
        <w:jc w:val="left"/>
        <w:rPr/>
      </w:pPr>
      <w:r>
        <w:rPr>
          <w:rFonts w:ascii="Arial;sans-serif" w:hAnsi="Arial;sans-serif"/>
          <w:b/>
          <w:color w:val="000000"/>
          <w:sz w:val="20"/>
        </w:rPr>
        <w:t xml:space="preserve">Product development - </w:t>
      </w:r>
      <w:r>
        <w:rPr>
          <w:rFonts w:ascii="Arial;sans-serif" w:hAnsi="Arial;sans-serif"/>
          <w:b w:val="false"/>
          <w:color w:val="000000"/>
          <w:sz w:val="20"/>
        </w:rPr>
        <w:t>Product development expense for the first quarter of 2025 was $80.5 million, or 9.1% of net revenues, compared to $65.5 million, or 8.6% of net revenues, for the first quarter of 2024. The increase in Product development expense during the first quarter of 2025 was primarily due to higher incremental investment in the development of Grow Brands under the Company's new "Playing to Win" strategy.</w:t>
      </w:r>
    </w:p>
    <w:p>
      <w:pPr>
        <w:pStyle w:val="TextBody"/>
        <w:bidi w:val="0"/>
        <w:spacing w:lineRule="auto" w:line="288" w:before="120" w:after="283"/>
        <w:jc w:val="left"/>
        <w:rPr/>
      </w:pPr>
      <w:r>
        <w:rPr>
          <w:rFonts w:ascii="Arial;sans-serif" w:hAnsi="Arial;sans-serif"/>
          <w:b/>
          <w:color w:val="000000"/>
          <w:sz w:val="20"/>
        </w:rPr>
        <w:t xml:space="preserve">Advertising - </w:t>
      </w:r>
      <w:r>
        <w:rPr>
          <w:rFonts w:ascii="Arial;sans-serif" w:hAnsi="Arial;sans-serif"/>
          <w:b w:val="false"/>
          <w:color w:val="000000"/>
          <w:sz w:val="20"/>
        </w:rPr>
        <w:t>Advertising expense for the first quarter of 2025 was $55.4 million, or 6.2% of net revenues, compared to $51.5 million, or 6.8% of net revenues, for the first quarter of 2024. The Advertising expense increase during the first quarter of 2025 was primarily driven by the timing of sales initiatives in Consumer Products segment.</w:t>
      </w:r>
    </w:p>
    <w:p>
      <w:pPr>
        <w:pStyle w:val="TextBody"/>
        <w:bidi w:val="0"/>
        <w:spacing w:lineRule="auto" w:line="288" w:before="120" w:after="283"/>
        <w:jc w:val="left"/>
        <w:rPr/>
      </w:pPr>
      <w:r>
        <w:rPr>
          <w:rFonts w:ascii="Arial;sans-serif" w:hAnsi="Arial;sans-serif"/>
          <w:b/>
          <w:color w:val="000000"/>
          <w:sz w:val="20"/>
        </w:rPr>
        <w:t xml:space="preserve">Amortization of intangible assets - </w:t>
      </w:r>
      <w:r>
        <w:rPr>
          <w:rFonts w:ascii="Arial;sans-serif" w:hAnsi="Arial;sans-serif"/>
          <w:b w:val="false"/>
          <w:color w:val="000000"/>
          <w:sz w:val="20"/>
        </w:rPr>
        <w:t>Amortization of intangible assets remained flat at $17.0 million, or 1.9% of net revenues, for the first quarter of 2025, compared to $17.0 million, or 2.2% of net revenues, for the first quarter of 2024. The amortization expense was driven by the straight-line amortization of the Company's remaining definite-lived intangible assets.</w:t>
      </w:r>
    </w:p>
    <w:p>
      <w:pPr>
        <w:pStyle w:val="TextBody"/>
        <w:bidi w:val="0"/>
        <w:spacing w:lineRule="auto" w:line="288" w:before="120" w:after="283"/>
        <w:jc w:val="left"/>
        <w:rPr/>
      </w:pPr>
      <w:r>
        <w:rPr>
          <w:rFonts w:ascii="Arial;sans-serif" w:hAnsi="Arial;sans-serif"/>
          <w:b/>
          <w:color w:val="000000"/>
          <w:sz w:val="20"/>
        </w:rPr>
        <w:t>Loss on disposal of business</w:t>
      </w:r>
      <w:r>
        <w:rPr>
          <w:color w:val="000000"/>
        </w:rPr>
        <w:t xml:space="preserve"> </w:t>
      </w:r>
      <w:r>
        <w:rPr>
          <w:rFonts w:ascii="Arial;sans-serif" w:hAnsi="Arial;sans-serif"/>
          <w:b w:val="false"/>
          <w:color w:val="000000"/>
          <w:sz w:val="20"/>
        </w:rPr>
        <w:t>- Loss on disposal of business for the first quarter of 2025 was $25.0 million, or 2.8% of net revenues, compared to $9.1 million, or 1.2% of net revenues, for the first quarter of 2024. The increase in Loss on disposal of business was driven by the settlement of a holdback provision relating to the divestiture of the eOne Film and TV business.</w:t>
      </w:r>
    </w:p>
    <w:p>
      <w:pPr>
        <w:pStyle w:val="TextBody"/>
        <w:bidi w:val="0"/>
        <w:spacing w:lineRule="auto" w:line="288" w:before="120" w:after="283"/>
        <w:jc w:val="left"/>
        <w:rPr/>
      </w:pPr>
      <w:r>
        <w:rPr>
          <w:rFonts w:ascii="Arial;sans-serif" w:hAnsi="Arial;sans-serif"/>
          <w:b/>
          <w:color w:val="000000"/>
          <w:sz w:val="20"/>
        </w:rPr>
        <w:t xml:space="preserve">Selling, distribution and administration - </w:t>
      </w:r>
      <w:r>
        <w:rPr>
          <w:rFonts w:ascii="Arial;sans-serif" w:hAnsi="Arial;sans-serif"/>
          <w:b w:val="false"/>
          <w:color w:val="000000"/>
          <w:sz w:val="20"/>
        </w:rPr>
        <w:t>Selling, distribution and administration expenses increased to $269.6 million, or 30.4% of net revenues for the first quarter of 2025, from $234.8 million, or 31.0% of net revenues, for the first quarter of 2024. The increase in Selling, distribution and administration expenses during the first quarter of 2025 is primarily the result of a non-recurring stock-compensation benefit of $18.1 million recorded during the first quarter of 2024, as well as an increase in the Company's bad debt provision, partially offset by benefits from cost savings initiatives.</w:t>
      </w:r>
    </w:p>
    <w:p>
      <w:pPr>
        <w:pStyle w:val="TextBody"/>
        <w:bidi w:val="0"/>
        <w:spacing w:lineRule="auto" w:line="288" w:before="120" w:after="283"/>
        <w:jc w:val="left"/>
        <w:rPr/>
      </w:pPr>
      <w:r>
        <w:rPr>
          <w:rFonts w:ascii="Arial;sans-serif" w:hAnsi="Arial;sans-serif"/>
          <w:b/>
          <w:color w:val="000000"/>
          <w:sz w:val="20"/>
        </w:rPr>
        <w:t xml:space="preserve">Operating Profit - </w:t>
      </w:r>
      <w:r>
        <w:rPr>
          <w:rFonts w:ascii="Arial;sans-serif" w:hAnsi="Arial;sans-serif"/>
          <w:b w:val="false"/>
          <w:color w:val="000000"/>
          <w:sz w:val="20"/>
        </w:rPr>
        <w:t>Operating profit for the first quarter of 2025 was $170.7 million, or 19.2% of net revenues, compared to an operating profit of $116.2 million, or 15.3% of net revenues, for the first quarter of 2024 driven by the factors discussed above.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NON-OPERATING EXPENSE (INCOME)</w:t>
      </w:r>
    </w:p>
    <w:p>
      <w:pPr>
        <w:pStyle w:val="TextBody"/>
        <w:bidi w:val="0"/>
        <w:spacing w:lineRule="auto" w:line="288" w:before="120" w:after="283"/>
        <w:jc w:val="left"/>
        <w:rPr/>
      </w:pPr>
      <w:r>
        <w:rPr>
          <w:rFonts w:ascii="Arial;sans-serif" w:hAnsi="Arial;sans-serif"/>
          <w:b/>
          <w:color w:val="000000"/>
          <w:sz w:val="20"/>
        </w:rPr>
        <w:t xml:space="preserve">Interest expense - </w:t>
      </w:r>
      <w:r>
        <w:rPr>
          <w:rFonts w:ascii="Arial;sans-serif" w:hAnsi="Arial;sans-serif"/>
          <w:b w:val="false"/>
          <w:color w:val="000000"/>
          <w:sz w:val="20"/>
        </w:rPr>
        <w:t>Interest expense for the first quarter of 2025 totaled $41.6 million compared to $38.5 million in the first quarter of 2024. The increase in Interest expense primarily reflects a higher average interest rate on the outstanding borrowings existing as of the end of the first quarter of 2025 as compared to those outstanding as of the first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Interest income - </w:t>
      </w:r>
      <w:r>
        <w:rPr>
          <w:rFonts w:ascii="Arial;sans-serif" w:hAnsi="Arial;sans-serif"/>
          <w:b w:val="false"/>
          <w:color w:val="000000"/>
          <w:sz w:val="20"/>
        </w:rPr>
        <w:t>Interest income was $8.9 million for the first quarter of 2025, compared to $8.3 million in the first quarter of 2024. Higher Interest income in 2025 primarily reflects higher cash balances in 2025 compared to 2024, partially offset by lower average interest rates.</w:t>
      </w:r>
    </w:p>
    <w:p>
      <w:pPr>
        <w:pStyle w:val="TextBody"/>
        <w:bidi w:val="0"/>
        <w:spacing w:lineRule="auto" w:line="288" w:before="120" w:after="283"/>
        <w:jc w:val="left"/>
        <w:rPr/>
      </w:pPr>
      <w:r>
        <w:rPr>
          <w:rFonts w:ascii="Arial;sans-serif" w:hAnsi="Arial;sans-serif"/>
          <w:b/>
          <w:color w:val="000000"/>
          <w:sz w:val="20"/>
        </w:rPr>
        <w:t xml:space="preserve">Other expense, net - </w:t>
      </w:r>
      <w:r>
        <w:rPr>
          <w:rFonts w:ascii="Arial;sans-serif" w:hAnsi="Arial;sans-serif"/>
          <w:b w:val="false"/>
          <w:color w:val="000000"/>
          <w:sz w:val="20"/>
        </w:rPr>
        <w:t>Other expense, net was $1.4 million for the first quarter of 2025, compared to Other expense, net of $5.0 million in the first quarter of 2024. The change in Other expense, net during 2025 was driven primarily by variations in the movement of foreign currencies in the first quarter of 2025 when compared to the first quarter of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totaled $37.1 million on pre-tax income of $136.6 million in the first quarter of 2025 compared to income tax expense of $21.9 million on pre-tax income of $81.0 million in the first quarter of 2024. Both periods were impacted by discrete tax events including the accrual of potential interest and penalties on uncertain tax positions. During the first quarter of 2025, the Company recorded a net discrete tax benefit of $0.3 million compared to a net discrete tax expense of $1.8 million in the first quarter of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net discrete tax benefit for the first quarter of 2025 is primarily associated with stock-based compensation offset by activity related to uncertain tax benefits. The net discrete tax expense for the first quarter of 2024 is primarily associated with stock-based compensation. Absent discrete items, the tax rates for the first quarter of 2025 and 2024 were 23.1% and 22.4%, respectively. The increase in the base rate of 23.1% for the first quarter of 2025, relative to the first quarter of 2024, is primarily due to the mix of jurisdictions where the Company earned its profits.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(loss) for the Company's reportable segments:</w:t>
      </w:r>
    </w:p>
    <w:tbl>
      <w:tblPr>
        <w:tblW w:w="6985" w:type="dxa"/>
        <w:jc w:val="left"/>
        <w:tblInd w:w="0" w:type="dxa"/>
        <w:tblLayout w:type="fixed"/>
        <w:tblCellMar>
          <w:top w:w="28" w:type="dxa"/>
          <w:left w:w="28" w:type="dxa"/>
          <w:bottom w:w="28" w:type="dxa"/>
          <w:right w:w="28" w:type="dxa"/>
        </w:tblCellMar>
      </w:tblPr>
      <w:tblGrid>
        <w:gridCol w:w="1239"/>
        <w:gridCol w:w="1089"/>
        <w:gridCol w:w="1092"/>
        <w:gridCol w:w="213"/>
        <w:gridCol w:w="622"/>
        <w:gridCol w:w="110"/>
        <w:gridCol w:w="109"/>
        <w:gridCol w:w="109"/>
        <w:gridCol w:w="109"/>
        <w:gridCol w:w="213"/>
        <w:gridCol w:w="622"/>
        <w:gridCol w:w="110"/>
        <w:gridCol w:w="109"/>
        <w:gridCol w:w="109"/>
        <w:gridCol w:w="109"/>
        <w:gridCol w:w="268"/>
        <w:gridCol w:w="272"/>
        <w:gridCol w:w="48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revenues: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revenues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profit (loss):</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Products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Entertainment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profit (loss)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w:t>
      </w:r>
    </w:p>
    <w:tbl>
      <w:tblPr>
        <w:tblW w:w="5875" w:type="dxa"/>
        <w:jc w:val="left"/>
        <w:tblInd w:w="0" w:type="dxa"/>
        <w:tblLayout w:type="fixed"/>
        <w:tblCellMar>
          <w:top w:w="28" w:type="dxa"/>
          <w:left w:w="28" w:type="dxa"/>
          <w:bottom w:w="28" w:type="dxa"/>
          <w:right w:w="28" w:type="dxa"/>
        </w:tblCellMar>
      </w:tblPr>
      <w:tblGrid>
        <w:gridCol w:w="900"/>
        <w:gridCol w:w="793"/>
        <w:gridCol w:w="796"/>
        <w:gridCol w:w="213"/>
        <w:gridCol w:w="622"/>
        <w:gridCol w:w="110"/>
        <w:gridCol w:w="109"/>
        <w:gridCol w:w="109"/>
        <w:gridCol w:w="109"/>
        <w:gridCol w:w="213"/>
        <w:gridCol w:w="622"/>
        <w:gridCol w:w="110"/>
        <w:gridCol w:w="109"/>
        <w:gridCol w:w="109"/>
        <w:gridCol w:w="109"/>
        <w:gridCol w:w="180"/>
        <w:gridCol w:w="181"/>
        <w:gridCol w:w="481"/>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46.1% in the first quarter of 2025 to $462.1 million from $316.3 million in the first quarter of 2024. The net revenue increase in the Wizards of the Coast and Digital Gaming segment during the first quarter of 2025 was primarily attributable to revenue contributions from higher digital licensing related to </w:t>
      </w:r>
      <w:r>
        <w:rPr>
          <w:rFonts w:ascii="Arial;sans-serif" w:hAnsi="Arial;sans-serif"/>
          <w:b w:val="false"/>
          <w:i/>
          <w:color w:val="000000"/>
          <w:sz w:val="20"/>
        </w:rPr>
        <w:t>MONOPOLY GO!</w:t>
      </w:r>
      <w:r>
        <w:rPr>
          <w:rFonts w:ascii="Arial;sans-serif" w:hAnsi="Arial;sans-serif"/>
          <w:b w:val="false"/>
          <w:color w:val="000000"/>
          <w:sz w:val="20"/>
        </w:rPr>
        <w:t xml:space="preserve">, as well as an increase in Tabletop Gaming revenue which increased 50.7% behind growth in MAGIC: THE GATHERING, primarily due to strong demand for </w:t>
      </w:r>
      <w:r>
        <w:rPr>
          <w:rFonts w:ascii="Arial;sans-serif" w:hAnsi="Arial;sans-serif"/>
          <w:b w:val="false"/>
          <w:i/>
          <w:color w:val="000000"/>
          <w:sz w:val="20"/>
        </w:rPr>
        <w:t xml:space="preserve">Aetherdrift </w:t>
      </w:r>
      <w:r>
        <w:rPr>
          <w:rFonts w:ascii="Arial;sans-serif" w:hAnsi="Arial;sans-serif"/>
          <w:b w:val="false"/>
          <w:color w:val="000000"/>
          <w:sz w:val="20"/>
        </w:rPr>
        <w:t xml:space="preserve">and </w:t>
      </w:r>
      <w:r>
        <w:rPr>
          <w:rFonts w:ascii="Arial;sans-serif" w:hAnsi="Arial;sans-serif"/>
          <w:b w:val="false"/>
          <w:i/>
          <w:color w:val="000000"/>
          <w:sz w:val="20"/>
        </w:rPr>
        <w:t>Tarkir Dragonstorm</w:t>
      </w:r>
      <w:r>
        <w:rPr>
          <w:rFonts w:ascii="Arial;sans-serif" w:hAnsi="Arial;sans-serif"/>
          <w:b w:val="false"/>
          <w:color w:val="000000"/>
          <w:sz w:val="20"/>
        </w:rPr>
        <w:t>, as well as other various Backlist 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Wizards of the Coast and Digital Gaming segment operating profit was $230.0 million, or 49.8% of segment net revenues for the first quarter of 2025, compared to operating profit of $122.8 million, or 38.8% of segment net revenues, for the first quarter of 2024. Operating profit increased during the first quarter of 2025 driven by increased net revenues and continued growth in digital licensing.</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w:t>
      </w:r>
    </w:p>
    <w:tbl>
      <w:tblPr>
        <w:tblW w:w="4750" w:type="dxa"/>
        <w:jc w:val="left"/>
        <w:tblInd w:w="0" w:type="dxa"/>
        <w:tblLayout w:type="fixed"/>
        <w:tblCellMar>
          <w:top w:w="28" w:type="dxa"/>
          <w:left w:w="28" w:type="dxa"/>
          <w:bottom w:w="28" w:type="dxa"/>
          <w:right w:w="28" w:type="dxa"/>
        </w:tblCellMar>
      </w:tblPr>
      <w:tblGrid>
        <w:gridCol w:w="467"/>
        <w:gridCol w:w="410"/>
        <w:gridCol w:w="413"/>
        <w:gridCol w:w="213"/>
        <w:gridCol w:w="622"/>
        <w:gridCol w:w="110"/>
        <w:gridCol w:w="109"/>
        <w:gridCol w:w="109"/>
        <w:gridCol w:w="109"/>
        <w:gridCol w:w="213"/>
        <w:gridCol w:w="622"/>
        <w:gridCol w:w="110"/>
        <w:gridCol w:w="109"/>
        <w:gridCol w:w="109"/>
        <w:gridCol w:w="109"/>
        <w:gridCol w:w="216"/>
        <w:gridCol w:w="219"/>
        <w:gridCol w:w="48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Consumer Products segment net revenues decreased 4% to $398.3 million for the first quarter of 2025 compared to $413.0 million for the first quarter of 2024 primarily driven by broader industry trends and shifts in product mix. The net revenue decrease primarily reflects lower net revenues from NERF, GI JOE and PLAY-DOH products. These declines in revenue were partially offset by revenue growth from BEY BLADE, MARVEL, and TRANSFORMERS products, as well as an increase in consumer product licensing revenue from MY LITTLE PONY.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loss for the first quarter of 2025 was $43.9 million or 11.0% of segment net revenues, compared to a segment operating loss of $46.9 million or 11.4% of segment net revenues, for the first quarter of 2024. The decrease in operating loss in the first quarter of 2025 was driven by savings realized from the Company's cost savings and transformation initiatives, offset by a decrease in net revenues, higher royalty expenses, reflecting the mix of products sold, and higher advertising costs.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w:t>
      </w:r>
    </w:p>
    <w:tbl>
      <w:tblPr>
        <w:tblW w:w="4751" w:type="dxa"/>
        <w:jc w:val="left"/>
        <w:tblInd w:w="0" w:type="dxa"/>
        <w:tblLayout w:type="fixed"/>
        <w:tblCellMar>
          <w:top w:w="28" w:type="dxa"/>
          <w:left w:w="28" w:type="dxa"/>
          <w:bottom w:w="28" w:type="dxa"/>
          <w:right w:w="28" w:type="dxa"/>
        </w:tblCellMar>
      </w:tblPr>
      <w:tblGrid>
        <w:gridCol w:w="465"/>
        <w:gridCol w:w="410"/>
        <w:gridCol w:w="415"/>
        <w:gridCol w:w="240"/>
        <w:gridCol w:w="581"/>
        <w:gridCol w:w="124"/>
        <w:gridCol w:w="109"/>
        <w:gridCol w:w="109"/>
        <w:gridCol w:w="109"/>
        <w:gridCol w:w="240"/>
        <w:gridCol w:w="581"/>
        <w:gridCol w:w="124"/>
        <w:gridCol w:w="109"/>
        <w:gridCol w:w="109"/>
        <w:gridCol w:w="109"/>
        <w:gridCol w:w="218"/>
        <w:gridCol w:w="218"/>
        <w:gridCol w:w="48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br/>
              <w:t>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&gt;100%</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5% to $26.7 million for the first quarter of 2025, compared to $28.0 million for the first quarter of 2024. The net revenue decrease in the Entertainment segment during the first quarter of 2025 was driven primarily by the timing of entertainment streaming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loss was $11.2 million, or 41.9% of segment net revenues for the first quarter of 2025, compared to an operating profit of $5.8 million, or 21% of segment net revenues for the first quarter of 2024. The decrease in operating profit in Entertainment segment operating results during the first quarter of 2025 was driven by a non-recurring Loss on disposal of business of $25.0 million recorded during the quarter.</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Corporate and Other operating loss was $4.2 million for the first quarter of 2025 compared to an operating profit of $34.5 million for the first quarter of 2024. The decrease in operating profit in the first quarter of 2025 as compared to the first quarter of 2024 primarily reflects a non-recurring benefit from the reversal of stock compensation expense recorded in the first quarter of 2024. Refer to Note 1, Basis of Presentation, to the consolidated financial statements for further information on the stock compensation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OTHER INFORMATION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enters into purchase orders with vendors and other parties in the ordinary course of business. Refer to Item 7 of our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Annual Report for additional information regarding the Company’s cash obligations and commitments as of the end of fiscal year </w:t>
      </w:r>
      <w:r>
        <w:rPr>
          <w:rFonts w:ascii="Arial;sans-serif" w:hAnsi="Arial;sans-serif"/>
          <w:b w:val="false"/>
          <w:color w:val="000000"/>
          <w:sz w:val="20"/>
        </w:rPr>
        <w:t>2024</w:t>
      </w:r>
      <w:r>
        <w:rPr>
          <w:rFonts w:ascii="Arial;sans-serif" w:hAnsi="Arial;sans-serif"/>
          <w:b w:val="false"/>
          <w:color w:val="000000"/>
          <w:sz w:val="20"/>
          <w:shd w:fill="FFFFFF" w:val="clear"/>
        </w:rPr>
        <w:t xml:space="preserve">. Additionally, refer to Note 14, Commitments and Contingencies, 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 xml:space="preserve">for a discussion of the Company’s commitments and contingencies. </w:t>
      </w:r>
      <w:r>
        <w:rPr>
          <w:rFonts w:ascii="Arial;sans-serif" w:hAnsi="Arial;sans-serif"/>
          <w:b w:val="false"/>
          <w:color w:val="000000"/>
          <w:sz w:val="20"/>
        </w:rPr>
        <w:t>Contractual obligations and commercial commitments, as detailed in the Company's 2024 Form 10-K, did not materially change outside of certain payments made in the normal course of business and as otherwise set forth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tariffs on the Company's business operations was not significant during the first three months of 2025 and throughout 2024; however significant changes in trade policy announced by the U.S. government during the second quarter of 2025 could result in material adverse impacts to our forward-looking financial results, including the timing and extent of cash flows based upon timing in customer buying patterns and changes in our supply chain sourcing strategies.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30, 2025, the Company's cash and cash equivalents totaled $621.1 million. The majority of the Company’s cash and cash equivalents held outside of the United States as of March 30, 2025 are denominated in the U.S. dollar.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March 30, 2025, the Company had no outstanding borrowings related to the commercial paper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March 30, 2025. The Company had no borrowings outstanding under its revolving credit facility as of March 30, 2025. However, letters of credit outstanding under this facility as of March 30, 2025 were approximately $3.7 million. Amounts available and unused under the revolving credit facility at March 30, 2025 were approximately $1.25 billion, inclusive of borrowings under the Company’s commercial paper program. The Company also has other uncommitted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various banks, of which approximately $7.8 million was utilized as of March 30, 2025. Of the amount utilized under, or supported by, the uncommitted lines, the full $7.8 million represented letters of credit.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30, 2025, the Company had $3,331.5 million of Long-term debt due at varying times from 2026 through 2044. 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2025, the Company repurchased $50.4 million of its outstanding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pStyle w:val="TextBody"/>
        <w:bidi w:val="0"/>
        <w:spacing w:lineRule="auto" w:line="288" w:before="120" w:after="283"/>
        <w:jc w:val="left"/>
        <w:rPr/>
      </w:pPr>
      <w:r>
        <w:rPr>
          <w:rFonts w:ascii="Arial;sans-serif" w:hAnsi="Arial;sans-serif"/>
          <w:b w:val="false"/>
          <w:color w:val="000000"/>
          <w:sz w:val="20"/>
        </w:rPr>
        <w:t xml:space="preserve">The amount of obligations confirmed under the supplier finance program that remain unpaid by the Company were $51.2 million, $47.7 million, and $66.2 million </w:t>
      </w:r>
      <w:r>
        <w:rPr>
          <w:rFonts w:ascii="Arial;sans-serif" w:hAnsi="Arial;sans-serif"/>
          <w:b w:val="false"/>
          <w:color w:val="000000"/>
          <w:sz w:val="20"/>
          <w:shd w:fill="FFFFFF" w:val="clear"/>
        </w:rPr>
        <w:t xml:space="preserve">as of </w:t>
      </w:r>
      <w:r>
        <w:rPr>
          <w:rFonts w:ascii="Arial;sans-serif" w:hAnsi="Arial;sans-serif"/>
          <w:b w:val="false"/>
          <w:color w:val="000000"/>
          <w:sz w:val="20"/>
        </w:rPr>
        <w:t>March 30, 2025, March 31, 2024 and December 29, 2024, respectively. These obligations are presented within Accounts payable in the Company's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the Consolidated Statement of Cash Flows:</w:t>
      </w:r>
    </w:p>
    <w:tbl>
      <w:tblPr>
        <w:tblW w:w="5156" w:type="dxa"/>
        <w:jc w:val="left"/>
        <w:tblInd w:w="0" w:type="dxa"/>
        <w:tblLayout w:type="fixed"/>
        <w:tblCellMar>
          <w:top w:w="28" w:type="dxa"/>
          <w:left w:w="28" w:type="dxa"/>
          <w:bottom w:w="28" w:type="dxa"/>
          <w:right w:w="28" w:type="dxa"/>
        </w:tblCellMar>
      </w:tblPr>
      <w:tblGrid>
        <w:gridCol w:w="1046"/>
        <w:gridCol w:w="922"/>
        <w:gridCol w:w="926"/>
        <w:gridCol w:w="213"/>
        <w:gridCol w:w="622"/>
        <w:gridCol w:w="110"/>
        <w:gridCol w:w="109"/>
        <w:gridCol w:w="109"/>
        <w:gridCol w:w="109"/>
        <w:gridCol w:w="213"/>
        <w:gridCol w:w="622"/>
        <w:gridCol w:w="155"/>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(utilized for):</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Investing activities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Financing activities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in the first three months of 2025 was $138.1 million compared to $177.8 million in the first three months of 2024. The $39.7 million decrease in net cash provided by Operating activities after adjusting for non-cash items, was primarily attributable to changes in net working capital primarily the timing of accounts receivable in the first three months of 2024, partially offset by improved net income in the first three months of 2025 compared to first three months of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Investing activities was $52.4 million in the first three months of 2025 compared to net cash utilized for Investing activities of $48.1 million in the first three months of 2024. Additions to property, plant and equipment and software were $13.8 million and $29.4 million, respectively, in the first three months of 2025 compared to $22.1 million and $23.7 million, respectively, in the first three months of 2024. Additionally, a purchase of Long-term Investments of $10.0 million occurred in the first three months of 2025 with no similar activity in the first three months of 2024.</w:t>
      </w:r>
    </w:p>
    <w:p>
      <w:pPr>
        <w:pStyle w:val="TextBody"/>
        <w:bidi w:val="0"/>
        <w:spacing w:lineRule="auto" w:line="288" w:before="120" w:after="283"/>
        <w:jc w:val="left"/>
        <w:rPr/>
      </w:pPr>
      <w:r>
        <w:rPr>
          <w:rFonts w:ascii="Arial;sans-serif" w:hAnsi="Arial;sans-serif"/>
          <w:b w:val="false"/>
          <w:color w:val="000000"/>
          <w:sz w:val="20"/>
        </w:rPr>
        <w:t>Net cash utilized by Financing activities was $162.4 million in the first three months of 2025 compared to net cash utilized of $108.9 million in the first three months of 2024. Financing activities in the first three months of 2025 primarily include dividends paid of $97.9 million, repayments of long-term debt of $49.2 million,</w:t>
      </w:r>
      <w:r>
        <w:rPr>
          <w:color w:val="000000"/>
        </w:rPr>
        <w:t xml:space="preserve"> </w:t>
      </w:r>
      <w:r>
        <w:rPr>
          <w:rFonts w:ascii="Arial;sans-serif" w:hAnsi="Arial;sans-serif"/>
          <w:b w:val="false"/>
          <w:color w:val="000000"/>
          <w:sz w:val="20"/>
        </w:rPr>
        <w:t>and $17.7 million of payments related to tax withholdings for stock compensation coinciding with equity award vesting activity. Financing activities in the first three months of 2024 included $97.2 million of dividends paid and $10.2 million of payments related to tax withholdings for stock compensation coinciding with equity award vesting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intangible assets and income taxes. These critical accounting policies are detailed in the Company's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derivatives at their fair value as an asset or liability on the Consolidated Balance Sheets. The Company does not speculate in foreign currency exchange contracts. See Note 12, Derivative Financial Instruments, to the Company’s consolidated financial statements for further details on the Company's derivatives.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30, 2025, the Company had fixed-rate debt of $3.4 billion. The Company may from time to time assess interest rate swaps related to its outstanding debt. The Company did not have any outstanding swaps as of March 30, 2025, March 31, 2024, or December 29, 2024.</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inflation on the Company's business operations was significant during the first three months of 2025 and throughout 2024.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included in Part I, Item 2. "Management's Discussion and Analysis of Financial Condition and Results of Operations"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effectiveness of the design and operation of the Company's disclosure controls and procedures as of March 30, 2025. Based on the evaluation of these disclosure controls and procedures, the Chief Executive Officer and Chief Financial Officer concluded that the Company's disclosure controls and procedures were effective.</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promulgated under the Exchange Act, during the quarter ended March 30, 2025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13, 2024, West Palm Beach Firefighters’ Pension Fund filed a putative class action lawsuit in the U.S. District Court for the Southern District of New York alleging violations of Sections 10(b) and 20(a) of the Securities and Exchange Act of 1934 and certain rules promulgated thereunder. West Palm Beach Firefighters’ Pension Fund v. Hasbro, Inc., Richard Stoddart, Christian Cocks, Deborah Thomas, Gina Goetter and Eric Nyman, Case No.1:24-cv-8633 (S.D.N.Y.). The plaintiff asserts claims on behalf of persons and entities that purchased the Company’s securities between February 7, 2022 and October 25, 2023 (the “Class Period”), and seeks compensatory damages, interest, fees, and costs. The complaint alleges that members of the putative class suffered losses as a result of false or misleading statements and withholding of information regarding the Company’s inventory, including quality and appropriateness thereof, during the Class Period. The court is in the process of appointing a lead plaintiff. The Company intends to vigorously defend against these claims. Due to the early stages of this matter, the Company is unable to estimate a reasonably possible range of loss, if any, that may result from this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5, 2025, Dale Lee, derivatively on behalf of Hasbro, Inc., filed a putative shareholder derivative action against current and former members of the Board of Directors of the Company in the U.S. District Court for the Southern District of New York. Lee v. Cocks, et al., Case No. 1:25-cv-01018 (S.D.N.Y.). The allegations in this complaint are nearly identical to those of the West Palm Beach Firefighters' Pension Fund action. Plaintiff alleges, nominally on behalf of the Company, that the named defendants breached the Hasbro Code of Conduct and Audit Committee Charter as well as their individual fiduciary duties by making false or misleading statements, approving the making of false or misleading statements, and/or withholding information regarding the Company's inventory during the same time period as the Class Period. The action alleges violations of Section 14(a) of the Exchange Act and Rule 14a-9 with respect to the 2022 Proxy Statement, Section 10(b), 15 U.S.C. sec. 78(j) and Rule 10b-5. Plaintiff voluntarily dismissed the 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21, 2025, Patrick Ayers, derivatively on behalf of Hasbro, Inc., filed a putative shareholder derivative action against certain of the Company’s executive officers and current and former members of the Board of Directors of the Company in the U.S. District Court for the Southern District of New York, et al., Case No. 1:25-cv-1504 (S.D.N.Y.). The allegations in this complaint are substantially the same as those in the Lee action described above. Plaintiff voluntarily dismissed the 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other certain legal proceedings, none of which we believe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20" w:after="283"/>
        <w:jc w:val="left"/>
        <w:rPr/>
      </w:pPr>
      <w:r>
        <w:rPr>
          <w:rFonts w:ascii="Arial;sans-serif" w:hAnsi="Arial;sans-serif"/>
          <w:b w:val="false"/>
          <w:color w:val="212529"/>
          <w:sz w:val="20"/>
        </w:rPr>
        <w:t xml:space="preserve">In connection with information set forth in this Quarterly Report on Form 10-Q, the risk factors discussed under Item 1A. Risk Factors, in Part I of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should be considered. The risks set forth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 xml:space="preserve">Form 10-K and in our subsequent filings, including in this filing, could materially and adversely affect our business, financial condition, and results of operations. There are no material changes from the risk factors as previously disclosed in our </w:t>
      </w:r>
      <w:r>
        <w:rPr>
          <w:rFonts w:ascii="Arial;sans-serif" w:hAnsi="Arial;sans-serif"/>
          <w:b w:val="false"/>
          <w:color w:val="000000"/>
          <w:sz w:val="20"/>
        </w:rPr>
        <w:t>2024</w:t>
      </w:r>
      <w:r>
        <w:rPr>
          <w:color w:val="212529"/>
        </w:rPr>
        <w:t xml:space="preserve"> </w:t>
      </w:r>
      <w:r>
        <w:rPr>
          <w:rFonts w:ascii="Arial;sans-serif" w:hAnsi="Arial;sans-serif"/>
          <w:b w:val="false"/>
          <w:color w:val="212529"/>
          <w:sz w:val="20"/>
        </w:rPr>
        <w:t>Form 10-K, in any of our subsequently filed reports or as otherwise set forth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repurchases of the Company’s Common Stock during the three months ended March 30, 2025. At March 30, 2025, Hasbro had $241.6 million remaining available under its share repurchase authorization.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March 30, 2025, none of our officers or directors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9"/>
        <w:gridCol w:w="219"/>
        <w:gridCol w:w="130"/>
        <w:gridCol w:w="3021"/>
        <w:gridCol w:w="2725"/>
        <w:gridCol w:w="386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Restated Articles of Incorporation of the Company. (Incorporated by reference to Exhibit 3.1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Amendment to Articles of Incorporation, dated June 28, 2000. (Incorporated by reference to Exhibit 3.4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Articles of Incorporation, dated May 19, 2003. (Incorporated by reference to Exhibit 3.3 to the Company's Quarterly Report on Form 10-Q for the period ended June 29, 2003,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Second Amended and Restated Bylaws of the Company (Incorporated by reference to Exhibit 3.1 to the Company’s Current Report on Form 8-K dated September 30, 2022,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Indenture, dated as of July 17, 1998, by and between the Company and The Bank of New York Mellon Trust Company, N.A. as successor Trustee to Citibank, N.A. as Trustee. (Incorporated by reference to Exhibit 4.1 to the Company's Current Report on Form 8-K dated July 14, 1998,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Fourth Supplemental Indenture, dated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6"/>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r>
        <w:trPr/>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6"/>
                  <w:u w:val="single"/>
                </w:rPr>
                <w:t>Seventh Supplemental Indenture dated as of May 14, 2024, among the Company and The Bank of New York Mellon Trust Company, N.A. and U.S. Bank, National Association, supplementing the Indenture dated as of March 15, 2000. (Incorporated by reference to Exhibit 4.1 to the Company’s Current Report on Form 8-K filed May 14, 2024, File No. 1-6682.)</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2025rsuawardagreement.htm">
              <w:r>
                <w:rPr>
                  <w:rStyle w:val="InternetLink"/>
                  <w:rFonts w:ascii="Arial;sans-serif" w:hAnsi="Arial;sans-serif"/>
                  <w:b w:val="false"/>
                  <w:color w:val="0000FF"/>
                  <w:sz w:val="16"/>
                  <w:u w:val="single"/>
                </w:rPr>
                <w:t>Hasbro, Inc. 2025 Form of Restricted Stock Unit Award Agreement</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2025psuawardagreement.htm">
              <w:r>
                <w:rPr>
                  <w:rStyle w:val="InternetLink"/>
                  <w:rFonts w:ascii="Arial;sans-serif" w:hAnsi="Arial;sans-serif"/>
                  <w:b w:val="false"/>
                  <w:color w:val="0000FF"/>
                  <w:sz w:val="16"/>
                  <w:u w:val="single"/>
                </w:rPr>
                <w:t>Hasbro, Inc. 2025 Form of Performance Stock Unit Award Agreement</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agreementmattaustin.htm">
              <w:r>
                <w:rPr>
                  <w:rStyle w:val="InternetLink"/>
                  <w:rFonts w:ascii="Arial;sans-serif" w:hAnsi="Arial;sans-serif"/>
                  <w:b w:val="false"/>
                  <w:color w:val="0000FF"/>
                  <w:sz w:val="16"/>
                  <w:u w:val="single"/>
                </w:rPr>
                <w:t>Agreement between Hasbro European Services and Matt Austin</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12025xex311.htm">
              <w:r>
                <w:rPr>
                  <w:rStyle w:val="InternetLink"/>
                  <w:rFonts w:ascii="Arial;sans-serif" w:hAnsi="Arial;sans-serif"/>
                  <w:b w:val="false"/>
                  <w:color w:val="0000FF"/>
                  <w:sz w:val="16"/>
                  <w:u w:val="single"/>
                </w:rPr>
                <w:t>Certification of the Chief Executive Officer Pursuant to Rule 13a-14(a)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12025xex312.htm">
              <w:r>
                <w:rPr>
                  <w:rStyle w:val="InternetLink"/>
                  <w:rFonts w:ascii="Arial;sans-serif" w:hAnsi="Arial;sans-serif"/>
                  <w:b w:val="false"/>
                  <w:color w:val="0000FF"/>
                  <w:sz w:val="16"/>
                  <w:u w:val="single"/>
                </w:rPr>
                <w:t>Certification of the Chief Financial Officer Pursuant to Rule 13a-14(a)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q12025xex321.htm">
              <w:r>
                <w:rPr>
                  <w:rStyle w:val="InternetLink"/>
                  <w:rFonts w:ascii="Arial;sans-serif" w:hAnsi="Arial;sans-serif"/>
                  <w:b w:val="false"/>
                  <w:color w:val="0000FF"/>
                  <w:sz w:val="16"/>
                  <w:u w:val="single"/>
                </w:rPr>
                <w:t>Certification of the Chief Executive Officer Pursuant to Rule 13a-14(b) under the Securities Exchange Act of 1934.</w:t>
              </w:r>
            </w:hyperlink>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q12025xex322.htm">
              <w:r>
                <w:rPr>
                  <w:rStyle w:val="InternetLink"/>
                  <w:rFonts w:ascii="Arial;sans-serif" w:hAnsi="Arial;sans-serif"/>
                  <w:b w:val="false"/>
                  <w:color w:val="0000FF"/>
                  <w:sz w:val="16"/>
                  <w:u w:val="single"/>
                </w:rPr>
                <w:t>Certification of the Chief Financial Officer Pursuant to Rule 13a-14(b) under the Securities Exchange Act of 1934.</w:t>
              </w:r>
            </w:hyperlink>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101.INS</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101.SCH</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101.CAL</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101.LAB</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Labels Linkbase Document</w:t>
            </w:r>
          </w:p>
        </w:tc>
      </w:tr>
      <w:tr>
        <w:trPr/>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101.PRE </w:t>
            </w:r>
          </w:p>
        </w:tc>
        <w:tc>
          <w:tcPr>
            <w:tcW w:w="9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r>
      <w:tr>
        <w:trPr/>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101.DEF </w:t>
            </w:r>
          </w:p>
        </w:tc>
        <w:tc>
          <w:tcPr>
            <w:tcW w:w="9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r>
    </w:tbl>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Furnished herewith</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Indicates management contract or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19" w:type="dxa"/>
        <w:jc w:val="left"/>
        <w:tblInd w:w="0" w:type="dxa"/>
        <w:tblLayout w:type="fixed"/>
        <w:tblCellMar>
          <w:top w:w="28" w:type="dxa"/>
          <w:left w:w="28" w:type="dxa"/>
          <w:bottom w:w="28" w:type="dxa"/>
          <w:right w:w="28" w:type="dxa"/>
        </w:tblCellMar>
      </w:tblPr>
      <w:tblGrid>
        <w:gridCol w:w="591"/>
        <w:gridCol w:w="520"/>
        <w:gridCol w:w="523"/>
        <w:gridCol w:w="1310"/>
        <w:gridCol w:w="1310"/>
        <w:gridCol w:w="186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HASBRO,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61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Gina Goetter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Gina Goetter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w:t>
              <w:br/>
              <w:t>(Duly Authorized Officer and</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HASBRO,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RESTATED 2003 STOCK INCENTIVE PERFORMANCE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###DICTIONARY_AWARD_NAME###</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This ###DICTIONARY_AWARD_NAME###, which is entered into effective as of ###GRANT_DATE### (the “Grant Date”), is made by and between ###PARTICIPANT_NAME### (the “Participant”) and Hasbro, Inc. (the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WHEREAS, the Company maintains the Hasbro, Inc. Restated 2003 Stock Incentive Performance Plan, as amended (the “Plan”) and has selected the Participant to receive this ###DICTIONARY_AWARD_NAME### award.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NOW, THEREFORE, IT IS AGREED, by and between the Company and the Participant, as follows: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Terms of Agreement</w:t>
      </w:r>
      <w:r>
        <w:rPr>
          <w:rFonts w:ascii="Times New Roman;sans-serif" w:hAnsi="Times New Roman;sans-serif"/>
          <w:b w:val="false"/>
          <w:color w:val="000000"/>
          <w:sz w:val="24"/>
        </w:rPr>
        <w:t>. The following are the terms and conditions of this ###DICTIONARY_AWARD_NAME### award (the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Participant is hereby granted ###AWARDS_WITH_TIME_BASED_VESTING### Stock Units, subject to and conditioned upon the terms and conditions of this Agreement as set forth 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“Vesting Schedule” for Stock Units subject to this Agreement is as follows: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###VEST_SCHEDULE_TABLE###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Stock Units are notional shares of the Company’s common stock, par value $.50 per share (“Common Stock”) granted under this Agreement and subject to the terms of this Agreement and the Plan, the provisions of which are incorporated herein as if set forth in full.</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Participant is notified by the Company or its equity plan administrator that Participant is required to enter into a Non-Competition, Non-Solicitation and Confidentiality Agreement with the Company, this Agreement shall be contingent upon and subject to the Participant (i) executing and delivering to the Company a Non-Competition, Non-Solicitation and Confidentiality Agreement by and between the Participant and the Company, in a form prescribed by and no later than a date designated by the Company; or (ii) confirming and agreeing that Participant remains bound by and subject to the terms of Participant’s previously executed Non-Competition, Non-Solicitation and Confidentiality Agreement(s), which confirmation and agreement will occur upon your acceptance of this Agreement. For the avoidance of doubt, if the Participant has not executed and delivered to the Company a Non-Competition, Non-Solicitation and Confidentiality Agreement or confirmed and agreed (through acceptance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this Agreement) to the terms of the Participant’s existing Non-Competition, Non-Solicitation and Confidentiality Agreements no later than 90 days from the Grant Date, this Agreement and the grant of Stock Units represented by this Agreement will not take effect and will be null and void. The acknowledgements and agreements set forth in this section are material conditions to receiving this Agreement, which would not have been made to the Participant otherwise.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By accepting this Agreement, the Participant hereby acknowledges and agrees that this Agreement, any Stock Units or shares of Common Stock the Participant may become entitled to pursuant to this Agreement, any proceeds received upon the sale of any such shares of Common Stock, and any other incentive compensation the Company grants to the Participant, is subject to the Company’s Clawback Policy, as it may be amended from time to time by the Board in the future. Additionally, by accepting this Agreement, the Participant hereby acknowledges and agrees that if the Participant is or becomes subject to the Hasbro, Inc. Executive Stock Ownership Policy, then the Participant shall comply with the terms of such Stock Ownership Policy. The acknowledgements and agreements set forth in this section are material conditions to receiving this Agreement, which would not have been made to the Participant otherwise.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For record-keeping purposes only, the Company shall maintain an account with respect to this Agreement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to the number of Stock Units subject to this Agreement. The Stock Unit Account will reflect notional fractional shares of Common Stock to the nearest hundredth of a share on a one Stock Unit for one share of Common Stock basis.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Other terms used in this Agreement are defined pursuant to Section 6 or elsewhere in this Agreement or the Plan.</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Dividends and Voting Rights</w:t>
      </w:r>
      <w:r>
        <w:rPr>
          <w:rFonts w:ascii="Times New Roman;sans-serif" w:hAnsi="Times New Roman;sans-serif"/>
          <w:b w:val="false"/>
          <w:color w:val="000000"/>
          <w:sz w:val="24"/>
        </w:rPr>
        <w:t xml:space="preserve">. On the date that the Company pays a cash dividend to holders of Common Stock, unless otherwise determined by the Compensation and Talent Committee of the Company’s Board of Directors (the “Committee”) in its sole discretion, the Company shall credit each unvested Stock Unit with a dividend equivalent unit (“DEU”).  DEUs will be calculated at the same dividend rate paid to other holders of shares of Common Stock and will equal the total number of unvested Stock Units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Stock Units and will vest in accordance with the Vesting Schedule.  The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shall not be entitled to any voting rights with respect to the Stock Units or DEUs prior to vesting.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Vesting and Forfeiture of Units</w:t>
      </w:r>
      <w:r>
        <w:rPr>
          <w:rFonts w:ascii="Times New Roman;sans-serif" w:hAnsi="Times New Roman;sans-serif"/>
          <w:b w:val="false"/>
          <w:color w:val="000000"/>
          <w:sz w:val="24"/>
        </w:rPr>
        <w:t xml:space="preserve">. Stock Units subject to this Agreement shall vest in accordance with the Vesting Schedule; provided, however, that the Participant remains employed by the Company through and including the last day of the applicable vesting date(s); and further provided, however, that Stock Units may vest earlier (either in whole or in part, as applicable) only in the situations and under the terms and conditions which are explicitly provided for in the following paragraphs.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the Vesting Schedule, in connection with a Change in Control (as defined below), the Stock Units will be treated in the manner set forth in the Plan, as such Plan has been amended by the Company’s shareholders through the date of such Change in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Notwithstanding the Vesting Schedule, if the Participant terminates employment with the Company prior to the end of the Vesting Schedule due to (i) the Participant’s Retirement (as defined below); or (ii) after the one-year anniversary of the Participant’s hire date, the Participant’s death or Disability (as defined below), the Participant will be entitled, as of such Participant’s Date of Termination, to a pro-rata portion of unvested Stock Units subject to this Award calculated by multiplying the total number of unvested Stock Units subject to this Award by a fraction, the numerator of which is the number of days from the Grant Date or, if later, the most recent vesting date set forth in the Vesting Schedule that immediately precedes the Participant’s Date of Termination, through and including the Participant’s Date of Termination and the denominator of which is the number of days from the Grant Date or, if later, the most recent vesting date set forth in the Vesting Schedule that immediately precedes the Participant’s Date of Termination through and including the last vesting date in the Vesting Schedule. The Participant will forfeit any unvested Stock Units subject to this Award which do not vest in accordance with the provisions of this paragraph.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Participant’s Date of Termination occurs prior to the end of the Vesting Schedule for any reason other than the reasons set forth in the preceding sections,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then all unvested Stock Units subject to this Agreement shall be forfeited, effective as of the Participant’s Date of Termination, and the Participant shall not be entitled to any rights or benefits of this Agreement.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Stock Units subject to this Agreement may not be sold, assigned, transferred, pledged, or otherwise encumbered, except to the extent otherwise provided by either the terms of the Plan or by the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Settlement in Shares of Common Stock</w:t>
      </w:r>
      <w:r>
        <w:rPr>
          <w:rFonts w:ascii="Times New Roman;sans-serif" w:hAnsi="Times New Roman;sans-serif"/>
          <w:b w:val="false"/>
          <w:color w:val="000000"/>
          <w:sz w:val="24"/>
        </w:rPr>
        <w:t>. Provided that the Participant’s interest in Stock Units subject to this Agreement has become vested, in whole or in part, in accordance with these terms and conditions, such Stock Units shall be delivered to the Participant on the vesting date in actual shares of Common Stock. Such vesting shall occur on the applicable vesting date as set forth in the Vesting Schedule; provided, however, that if Section 3.A (termination of employment in connection with a Change in Control) or Section 3.B. (termination of employment due to Retirement, death or Disability) applies, such vesting shall occur effective on the Participant’s Date of Termination. The conversion of Stock Units will occur on the basis of one share of Common Stock for every one Stock Unit (including associated DEUs) which vests. Such shares of Common Stock shall be registered in the name of the Participant effective as of the date of conversion and shall be delivered to the Participant within a reasonable time thereafter in the manner determined in the sole discretion of the Company, which may be by electronic delivery to the Participant’s stock plan account or in such other manner as determined in the sole discretion of the Company.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Income Taxes</w:t>
      </w:r>
      <w:r>
        <w:rPr>
          <w:rFonts w:ascii="Times New Roman;sans-serif" w:hAnsi="Times New Roman;sans-serif"/>
          <w:b w:val="false"/>
          <w:color w:val="000000"/>
          <w:sz w:val="24"/>
        </w:rPr>
        <w:t>. The Participant shall pay to the Company promptly upon request, and in any event at the time the Participant recognizes taxable income in respect of the shares of Common Stock received by the Participant upon the conversion of all or a portion of Stock Units subject to this Agreement, an amount equal to the taxes the Company determines it is required to withhold under applicable law with respect to such shares of Common Stock. Such payment shall be made in the form of cash, the delivery of shares of Common Stock already owned by the Participant or by withholding such number of shares otherwise deliverable pursuant to this Agreement as is equal to the withholding tax due or in any combination of such methods. If the Participant does not affirmatively instruct the Company prior to the applicable vesting date, in such manner and at such time as determined in the sole discretion of the Company, that such Participant will pay withholding taxes in another manner specified above, the Company shall withhold shares to cover applicable taxes upon the settlement of the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 the terms used herein are defined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The term “Change in Control” shall have the meaning ascribed to it in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Credited Service</w:t>
      </w:r>
      <w:r>
        <w:rPr>
          <w:rFonts w:ascii="Times New Roman;sans-serif" w:hAnsi="Times New Roman;sans-serif"/>
          <w:b w:val="false"/>
          <w:color w:val="000000"/>
          <w:sz w:val="24"/>
        </w:rPr>
        <w:t>. A year of “Credited Service” shall mean a calendar year in which the Participant is paid for at least 1,000 hours of employment with the Company or any entity directly or indirectly controlled by the Company (a “Subsidiary”).</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The Participant’s “Date of Termination” shall be the first day occurring on or after the Grant Date on which the Participant ceases employment with the Company or any Subsidiary (a “Termination of Employment”), regardless of the reason for such Termination of Employment; provided that a Termination of Employment shall not be deemed to occur by reason of a transfer of the Participant between the Company and a Subsidiary or between two Subsidiaries; and further provided that a Termination of Employment shall not be deemed to occur while the Participant is on an approved leave of absence from the Company or any Subsidiary.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The term “Disability” shall mean the Participant’s inability to perform such Participant’s job or any position which the Participant can perform with such Participant’s background and training by reason of any medically determinable physical or mental impairment which can be expected to result in death or to be of long, continued and indefinite duration.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The term “Retirement” shall mean either “Early Retirement” or “Normal Retirement.” For this purpose, Early Retirement means attainment of age fifty-five (55) with ten (l0) or more years of Credited Service and Normal Retirement means attainment of age sixty-five (65) with five (5) or more years of Credited Service.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Retirement Date.</w:t>
      </w:r>
      <w:r>
        <w:rPr>
          <w:color w:val="000000"/>
        </w:rPr>
        <w:t xml:space="preserve"> </w:t>
      </w:r>
      <w:r>
        <w:rPr>
          <w:rFonts w:ascii="Times New Roman;sans-serif" w:hAnsi="Times New Roman;sans-serif"/>
          <w:b w:val="false"/>
          <w:color w:val="000000"/>
          <w:sz w:val="24"/>
        </w:rPr>
        <w:t>The term “Retirement Date” shall mean the day on which the Participant terminates employment with the Company after having satisfied the requirements for Retirement.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Plan Definitions</w:t>
      </w:r>
      <w:r>
        <w:rPr>
          <w:rFonts w:ascii="Times New Roman;sans-serif" w:hAnsi="Times New Roman;sans-serif"/>
          <w:b w:val="false"/>
          <w:color w:val="000000"/>
          <w:sz w:val="24"/>
        </w:rPr>
        <w:t>. Except where the context clearly implies or indicates to the contrary, a word, term, or phrase used in the Plan is similarly used in this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Heirs and Successors</w:t>
      </w:r>
      <w:r>
        <w:rPr>
          <w:rFonts w:ascii="Times New Roman;sans-serif" w:hAnsi="Times New Roman;sans-serif"/>
          <w:b w:val="false"/>
          <w:color w:val="000000"/>
          <w:sz w:val="24"/>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pStyle w:val="TextBody"/>
        <w:bidi w:val="0"/>
        <w:spacing w:before="0" w:after="0"/>
        <w:jc w:val="left"/>
        <w:rPr/>
      </w:pPr>
      <w:r>
        <w:rPr/>
      </w:r>
    </w:p>
    <w:p>
      <w:pPr>
        <w:pStyle w:val="TextBody"/>
        <w:bidi w:val="0"/>
        <w:spacing w:lineRule="auto" w:line="288"/>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Plan Governs</w:t>
      </w:r>
      <w:r>
        <w:rPr>
          <w:rFonts w:ascii="Times New Roman;sans-serif" w:hAnsi="Times New Roman;sans-serif"/>
          <w:b w:val="false"/>
          <w:color w:val="000000"/>
          <w:sz w:val="24"/>
        </w:rPr>
        <w:t xml:space="preserve">. In the event of any inconsistency between the provisions of this Agreement and, if applicable, the terms of the Participant’s Employment Agreement, the provisions set forth in the Participant’s Employment Agreement shall govern; provided, however, that to the extent the provisions of this Agreement or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Agreement are inconsistent with the terms of the Plan, then the terms of the Plan shall govern.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No Employment Contract</w:t>
      </w:r>
      <w:r>
        <w:rPr>
          <w:rFonts w:ascii="Times New Roman;sans-serif" w:hAnsi="Times New Roman;sans-serif"/>
          <w:b w:val="false"/>
          <w:color w:val="000000"/>
          <w:sz w:val="24"/>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 or, if applicable, the terms of the Participant’s Employment Agreement.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by a written agreement of the Participant and the Company, without the consent of any other person.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any Appendix hereto, and the Plan contain the entire agreement and understanding of the parties hereto with respect to the award contained herein and therein and supersede all prior communications, representations and negotiations in respect thereof.</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Non-U.S. Securities Law</w:t>
      </w:r>
      <w:r>
        <w:rPr>
          <w:rFonts w:ascii="Times New Roman;sans-serif" w:hAnsi="Times New Roman;sans-serif"/>
          <w:b w:val="false"/>
          <w:color w:val="000000"/>
          <w:sz w:val="24"/>
        </w:rPr>
        <w:t>. Notwithstanding any other terms and conditions of the Plan or this Agreement, unless there is an available exemption from any registration, qualification or other legal requirement applicable to the issuance of this Agreement or and any Stock Units or shares of Common Stock the Participant may become entitled to under this Agreement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sole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WITNESS WHEREOF, the Participant has executed this Agreement, and the Company has caused these presents to be executed in its name and on its behalf, all effective as of the Grant Date. By accepting the terms of this Agreement through an electronic form offered by the Company, or the Company’s designee, the Participant hereby agrees to the terms of this Agreement with the same effect as if the Participant had signed this Agreement.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HASBRO,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Chris Cocks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Chris Cocks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xml:space="preserv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###PARTICIPANT_NAME###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HASBRO,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RESTATED 2003 STOCK INCENTIVE PERFORMANCE PLAN</w:t>
      </w:r>
    </w:p>
    <w:p>
      <w:pPr>
        <w:pStyle w:val="TextBody"/>
        <w:bidi w:val="0"/>
        <w:spacing w:lineRule="auto" w:line="417"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CONTINGENT STOCK PERFORMANCE AWARD </w:t>
      </w:r>
    </w:p>
    <w:p>
      <w:pPr>
        <w:pStyle w:val="TextBody"/>
        <w:bidi w:val="0"/>
        <w:spacing w:lineRule="auto" w:line="417"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(WITH TSR MODIFIERS)</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2025 GRANT</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AGREEMENT, made effective as of __________, 2025, by and between HASBRO, INC., a Rhode Island corporation (the "Company") and the designated contingent stock performance award recipient (the "Participant").</w:t>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 xml:space="preserve">WHEREAS, the Participant is eligible to participate in the Company's Restated 2003 Stock Incentive Performance Plan, as amended (the "Plan"). </w:t>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 xml:space="preserve">WHEREAS, subject to and upon the terms and conditions of this Agreement, the Compensation and Talent Committee (the "Committee") of the Board of Directors of the Company (the "Board"), acting in accordance with the provisions of the Plan, is granting to Participant a contingent stock performance award dated __________, 2025; and </w:t>
      </w:r>
    </w:p>
    <w:p>
      <w:pPr>
        <w:pStyle w:val="TextBody"/>
        <w:bidi w:val="0"/>
        <w:spacing w:lineRule="auto" w:line="417" w:before="0" w:after="0"/>
        <w:jc w:val="both"/>
        <w:rPr/>
      </w:pPr>
      <w:r>
        <w:rPr>
          <w:color w:val="000000"/>
        </w:rPr>
        <w:t>    </w:t>
      </w:r>
      <w:r>
        <w:rPr>
          <w:rFonts w:ascii="Times New Roman;sans-serif" w:hAnsi="Times New Roman;sans-serif"/>
          <w:b w:val="false"/>
          <w:color w:val="000000"/>
          <w:sz w:val="24"/>
        </w:rPr>
        <w:t xml:space="preserve">WHEREAS, subject to and upon the terms and conditions set forth in the Plan and as hereinafter set forth, the contingent stock performance award provides the Participant with the ability to earn shares of the Company’s common stock, par value $.50 per share (the "Common Stock"), contingent on the Company’s performance in achieving a pre-established cumulative diluted earnings per share (“EPS”) performance target over the period beginning on December 30, 2024 and ending on December 26, 2027 (the “Performance Period”), as adjusted by the total shareholder return (“TSR”) modifiers (the “TSR Modifiers”) for the period of time during the Performance Period, each performance target to be calculated and determined as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NOW, THEREFORE, in consideration of these premises and other good and valuable consideration, the parties hereto agree as follows:</w:t>
      </w:r>
    </w:p>
    <w:p>
      <w:pPr>
        <w:pStyle w:val="TextBody"/>
        <w:bidi w:val="0"/>
        <w:spacing w:before="0" w:after="0"/>
        <w:jc w:val="both"/>
        <w:rPr/>
      </w:pPr>
      <w:r>
        <w:rPr/>
      </w:r>
    </w:p>
    <w:p>
      <w:pPr>
        <w:pStyle w:val="TextBody"/>
        <w:bidi w:val="0"/>
        <w:spacing w:lineRule="auto" w:line="417" w:before="0" w:after="0"/>
        <w:jc w:val="center"/>
        <w:rPr/>
      </w:pPr>
      <w:r>
        <w:rPr>
          <w:rFonts w:ascii="Times New Roman;sans-serif" w:hAnsi="Times New Roman;sans-serif"/>
          <w:b w:val="false"/>
          <w:color w:val="000000"/>
          <w:sz w:val="24"/>
          <w:u w:val="single"/>
        </w:rPr>
        <w:t>W</w:t>
      </w:r>
      <w:r>
        <w:rPr>
          <w:color w:val="000000"/>
        </w:rPr>
        <w:t xml:space="preserve">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u w:val="single"/>
        </w:rPr>
        <w:t>S</w:t>
      </w:r>
      <w:r>
        <w:rPr>
          <w:color w:val="000000"/>
        </w:rPr>
        <w:t xml:space="preserve"> </w:t>
      </w:r>
      <w:r>
        <w:rPr>
          <w:rFonts w:ascii="Times New Roman;sans-serif" w:hAnsi="Times New Roman;sans-serif"/>
          <w:b w:val="false"/>
          <w:color w:val="000000"/>
          <w:sz w:val="24"/>
          <w:u w:val="single"/>
        </w:rPr>
        <w:t>S</w:t>
      </w:r>
      <w:r>
        <w:rPr>
          <w:color w:val="000000"/>
        </w:rPr>
        <w:t xml:space="preserve">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u w:val="single"/>
        </w:rPr>
        <w:t>H</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1.    By accepting this Award, the Participant hereby acknowledges and agrees that:</w:t>
      </w:r>
    </w:p>
    <w:p>
      <w:pPr>
        <w:pStyle w:val="TextBody"/>
        <w:bidi w:val="0"/>
        <w:spacing w:lineRule="auto" w:line="417"/>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(i)this Award, and any shares the Participant may acquire under this Award in the future or any of the proceeds of selling any shares acquired pursuant to this Award, as well as any other incentive compensation the Participant is granted after, is subject to the Company’s Clawback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Policy, as it may be amended from time to time by the Board in the future, </w:t>
      </w:r>
    </w:p>
    <w:p>
      <w:pPr>
        <w:pStyle w:val="TextBody"/>
        <w:bidi w:val="0"/>
        <w:spacing w:lineRule="auto" w:line="417"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(ii)that if the Participant is or becomes subject to the Hasbro, Inc. Executive Stock Ownership Policy,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and</w:t>
      </w:r>
    </w:p>
    <w:p>
      <w:pPr>
        <w:pStyle w:val="TextBody"/>
        <w:bidi w:val="0"/>
        <w:spacing w:lineRule="auto" w:line="417"/>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(iii)that if the Participant is notified by the Company or its equity plan administrator that Participant is required to enter into a Non-Competition, Non-Solicitation and Confidentiality Agreement with the Company, this Award shall be contingent upon and subject to the Participant (x) executing and delivering to the Company a Non-Competition, Non-Solicitation and Confidentiality Agreement by and between the Participant and the Company, in a form prescribed by and no later than a date designated by the Company; or (y) confirming and agreeing that the Participant remains bound by and subject to the terms of the Participant’s previously executed Non-Competition, Non-Solicitation and Confidentiality Agreement(s), which confirmation and agreement will occur upon your acceptance of this Award. For the avoidance of doubt, if the Participant has not executed and delivered to the Company a Non-Competition, Non-Solicitation and Confidentiality Agreement or confirmed and agreed (through acceptance of this Award) the terms of the Participant’s existing Non-Competition, Non-Solicitation and Confidentiality Agreement(s) no later than 90 days from the date of this Award, this Award will not take effect and will be null and void.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(iv)The acknowledgements and agreements set forth in this section are material conditions to receiving this Award, which would not have been made to the Participant otherwise.</w:t>
      </w:r>
    </w:p>
    <w:p>
      <w:pPr>
        <w:pStyle w:val="TextBody"/>
        <w:bidi w:val="0"/>
        <w:spacing w:before="0" w:after="0"/>
        <w:jc w:val="both"/>
        <w:rPr/>
      </w:pPr>
      <w:r>
        <w:rPr/>
      </w:r>
    </w:p>
    <w:p>
      <w:pPr>
        <w:pStyle w:val="TextBody"/>
        <w:bidi w:val="0"/>
        <w:spacing w:lineRule="auto" w:line="417" w:before="0" w:after="0"/>
        <w:jc w:val="both"/>
        <w:rPr/>
      </w:pPr>
      <w:r>
        <w:rPr>
          <w:color w:val="000000"/>
        </w:rPr>
        <w:t>    </w:t>
      </w:r>
      <w:r>
        <w:rPr>
          <w:rFonts w:ascii="Times New Roman;sans-serif" w:hAnsi="Times New Roman;sans-serif"/>
          <w:b w:val="false"/>
          <w:color w:val="000000"/>
          <w:sz w:val="24"/>
        </w:rPr>
        <w:t xml:space="preserve">2.    This Agreement relates to an Award providing the Participant with the potential ability to earn shares of the Company’s Common Stock contingent on the Company’s performance in achieving a pre-established cumulative EPS target over the Performance Period, as adjusted by the TSR Modifiers. The cumulative EPS target for the Performance Period are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The threshold and maximum levels for cumulative EPS, as well as the TSR Modifiers, contributing to shares being earned under this Award are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to this Agreement. Following the end of the Performance Period, the Committee will determine the Company’s cumulative EPS over the Performance Period and the TSR Modifiers over the Performance Period. The Committee will certify the Company’s cumulative EPS over the Performance Period and the TSR Modifiers over the Performance Period as promptly as is reasonably possible following the completion of the Performance Period. The Award, to the extent earned based on attainment of the performance measures as certified by the Committee, will fully vest on __________, 2028 (the “Vesting Date”). </w:t>
      </w:r>
    </w:p>
    <w:p>
      <w:pPr>
        <w:pStyle w:val="TextBody"/>
        <w:bidi w:val="0"/>
        <w:spacing w:lineRule="auto" w:line="417" w:before="0" w:after="0"/>
        <w:jc w:val="both"/>
        <w:rPr/>
      </w:pPr>
      <w:r>
        <w:rPr>
          <w:color w:val="000000"/>
        </w:rPr>
        <w:t>    </w:t>
      </w:r>
      <w:r>
        <w:rPr>
          <w:rFonts w:ascii="Times New Roman;sans-serif" w:hAnsi="Times New Roman;sans-serif"/>
          <w:b w:val="false"/>
          <w:color w:val="000000"/>
          <w:sz w:val="24"/>
        </w:rPr>
        <w:t xml:space="preserve">3.    For purposes of this Award, the Company’s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to this Agreement. Further, EPS will be calculated based on actual results translated at exchange rates established at the beginning of the Performance Period. </w:t>
      </w:r>
    </w:p>
    <w:p>
      <w:pPr>
        <w:pStyle w:val="TextBody"/>
        <w:bidi w:val="0"/>
        <w:spacing w:lineRule="auto" w:line="417"/>
        <w:jc w:val="both"/>
        <w:rPr/>
      </w:pPr>
      <w:r>
        <w:rPr>
          <w:color w:val="000000"/>
        </w:rPr>
        <w:t>    </w:t>
      </w:r>
      <w:r>
        <w:rPr>
          <w:rFonts w:ascii="Times New Roman;sans-serif" w:hAnsi="Times New Roman;sans-serif"/>
          <w:b w:val="false"/>
          <w:color w:val="000000"/>
          <w:sz w:val="24"/>
        </w:rPr>
        <w:t xml:space="preserve">4.    The target number of shares of Common Stock which may be issuable under this Award in the event of 100% achievement of a pre-established cumulative EPS over the Performance Period is the specified number of shares communicated by separate communication to the Participant (the “Target Shares”). The table appearing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to this Agreement sets forth the contingent number of shares of Common Stock which the Participant may actually earn under this Award, as a percentage of the Target Shares, based upon certain performance by the Company in achieving the EPS target. To compute the actual number of shares of Common Stock, if any, which may be earned by the Participant, the cumulative EPS performance of the Company, weighted at 100%, is applied to the table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and then such number of shares of Common Stock, if any, are subject to a +/- 25% modifier for the Company’s TSR Performance against the TSR Comparator Group (as defined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Times New Roman;sans-serif" w:hAnsi="Times New Roman;sans-serif"/>
          <w:b w:val="false"/>
          <w:color w:val="000000"/>
          <w:sz w:val="24"/>
        </w:rPr>
        <w:t xml:space="preserve">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Notwithstanding the foregoing and anything herein to the contrary, if the Company’s </w:t>
      </w:r>
      <w:r>
        <w:rPr>
          <w:rFonts w:ascii="Times New Roman;sans-serif" w:hAnsi="Times New Roman;sans-serif"/>
          <w:b w:val="false"/>
          <w:i/>
          <w:color w:val="000000"/>
          <w:sz w:val="24"/>
          <w:u w:val="single"/>
        </w:rPr>
        <w:t>absolute</w:t>
      </w:r>
      <w:r>
        <w:rPr>
          <w:color w:val="000000"/>
        </w:rPr>
        <w:t xml:space="preserve"> </w:t>
      </w:r>
      <w:r>
        <w:rPr>
          <w:rFonts w:ascii="Times New Roman;sans-serif" w:hAnsi="Times New Roman;sans-serif"/>
          <w:b w:val="false"/>
          <w:color w:val="000000"/>
          <w:sz w:val="24"/>
        </w:rPr>
        <w:t xml:space="preserve">cumulative TSR performance achieves a minimum of 33% at the conclusion of the Performance Period, the greater of (i) 50% of the Target Shares or (ii) the number of shares that is otherwise achieved based on the cumulative EPS performance and the </w:t>
      </w:r>
      <w:r>
        <w:rPr>
          <w:rFonts w:ascii="Times New Roman;sans-serif" w:hAnsi="Times New Roman;sans-serif"/>
          <w:b w:val="false"/>
          <w:i/>
          <w:color w:val="000000"/>
          <w:sz w:val="24"/>
          <w:u w:val="single"/>
        </w:rPr>
        <w:t>relative</w:t>
      </w:r>
      <w:r>
        <w:rPr>
          <w:color w:val="000000"/>
        </w:rPr>
        <w:t xml:space="preserve"> </w:t>
      </w:r>
      <w:r>
        <w:rPr>
          <w:rFonts w:ascii="Times New Roman;sans-serif" w:hAnsi="Times New Roman;sans-serif"/>
          <w:b w:val="false"/>
          <w:color w:val="000000"/>
          <w:sz w:val="24"/>
        </w:rPr>
        <w:t xml:space="preserve">TSR performance shall vest, irrespective of the Company’s EPS and </w:t>
      </w:r>
      <w:r>
        <w:rPr>
          <w:rFonts w:ascii="Times New Roman;sans-serif" w:hAnsi="Times New Roman;sans-serif"/>
          <w:b w:val="false"/>
          <w:i/>
          <w:color w:val="000000"/>
          <w:sz w:val="24"/>
          <w:u w:val="single"/>
        </w:rPr>
        <w:t>relative</w:t>
      </w:r>
      <w:r>
        <w:rPr>
          <w:color w:val="000000"/>
        </w:rPr>
        <w:t xml:space="preserve"> </w:t>
      </w:r>
      <w:r>
        <w:rPr>
          <w:rFonts w:ascii="Times New Roman;sans-serif" w:hAnsi="Times New Roman;sans-serif"/>
          <w:b w:val="false"/>
          <w:color w:val="000000"/>
          <w:sz w:val="24"/>
        </w:rPr>
        <w:t xml:space="preserve">TSR performance.     </w:t>
      </w:r>
    </w:p>
    <w:p>
      <w:pPr>
        <w:pStyle w:val="TextBody"/>
        <w:bidi w:val="0"/>
        <w:spacing w:lineRule="auto" w:line="417" w:before="0" w:after="0"/>
        <w:jc w:val="both"/>
        <w:rPr>
          <w:color w:val="000000"/>
        </w:rPr>
      </w:pPr>
      <w:r>
        <w:rPr>
          <w:color w:val="000000"/>
        </w:rPr>
        <w:t>    </w:t>
      </w:r>
      <w:r>
        <w:rPr>
          <w:rFonts w:ascii="Times New Roman;sans-serif" w:hAnsi="Times New Roman;sans-serif"/>
          <w:b w:val="false"/>
          <w:color w:val="000000"/>
          <w:sz w:val="24"/>
        </w:rPr>
        <w:t xml:space="preserve">On the date that the Company pays a cash dividend to holders of Common Stock, unless otherwise determined by the Committee in its sole discretion, the Company shall credit each Target Share with a dividend equivalent unit (“DEU”). DEUs will be calculated at the same dividend rate paid to other holders of shares of Common Stock and will equal the total number of Target Shares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Target Shares and will vest in accordance with the vesting schedule applicable to the shares subject to this Award. The Participant shall not be entitled to any voting rights with respect to the DEUs prior to vesting. </w:t>
      </w:r>
    </w:p>
    <w:p>
      <w:pPr>
        <w:pStyle w:val="TextBody"/>
        <w:bidi w:val="0"/>
        <w:spacing w:lineRule="auto" w:line="417" w:before="0" w:after="0"/>
        <w:jc w:val="both"/>
        <w:rPr/>
      </w:pPr>
      <w:r>
        <w:rPr>
          <w:color w:val="000000"/>
        </w:rPr>
        <w:t xml:space="preserve">     </w:t>
      </w:r>
      <w:r>
        <w:rPr>
          <w:rFonts w:ascii="Times New Roman;sans-serif" w:hAnsi="Times New Roman;sans-serif"/>
          <w:b w:val="false"/>
          <w:color w:val="000000"/>
          <w:sz w:val="24"/>
        </w:rPr>
        <w:t>5. Subject to the terms of this Agreement, once the Company has determined the actual number of shares of Common Stock, if any, which have been earned by the Participant, the Company or its designee will as promptly as possible after the Vesting Date, but in all events not later than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of the fourth month following the end of the calendar year in which the Performance Period ends, issue any such shares of Common Stock which have been deemed earned to the Participant. </w:t>
      </w:r>
    </w:p>
    <w:p>
      <w:pPr>
        <w:pStyle w:val="TextBody"/>
        <w:bidi w:val="0"/>
        <w:spacing w:lineRule="auto" w:line="556"/>
        <w:jc w:val="both"/>
        <w:rPr>
          <w:color w:val="000000"/>
        </w:rPr>
      </w:pPr>
      <w:r>
        <w:rPr>
          <w:color w:val="000000"/>
        </w:rPr>
        <w:t>    </w:t>
      </w:r>
      <w:r>
        <w:rPr>
          <w:rFonts w:ascii="Times New Roman;sans-serif" w:hAnsi="Times New Roman;sans-serif"/>
          <w:b w:val="false"/>
          <w:color w:val="000000"/>
          <w:sz w:val="24"/>
        </w:rPr>
        <w:t xml:space="preserve">6. 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556"/>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designate, in United States dollars, in the amount of any withholding required by law for any and all federal, state, local or foreign taxes payable as a result of the Participant earning any shares under this Award or being issued any shares pursuant to the provisions below 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its designee, the shares payable pursuant to the Award (less any shares deducted to pay Taxes).</w: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7.    Until such time, if any, that actual shares of Common Stock become due and are issued to the Participant in accordance with the terms of this Agreement, the Participant will not receive any dividends and will not have any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pStyle w:val="TextBody"/>
        <w:bidi w:val="0"/>
        <w:spacing w:lineRule="auto" w:line="556"/>
        <w:jc w:val="both"/>
        <w:rPr>
          <w:color w:val="000000"/>
        </w:rPr>
      </w:pPr>
      <w:r>
        <w:rPr>
          <w:color w:val="000000"/>
        </w:rPr>
        <w:t>    </w:t>
      </w:r>
      <w:r>
        <w:rPr>
          <w:rFonts w:ascii="Times New Roman;sans-serif" w:hAnsi="Times New Roman;sans-serif"/>
          <w:b w:val="false"/>
          <w:color w:val="000000"/>
          <w:sz w:val="24"/>
        </w:rPr>
        <w:t>8.    (a)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 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 xml:space="preserve">(b) If a Participant with at least one year of Credited Service of the Company suffers a permanent physical or mental disability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target, as adjusted by the TSR Modifiers. That actual number of shares of Common Stock which would have been earned under the Award over the entire Performance Period, as adjusted by the TSR Modifiers,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 </w:t>
      </w:r>
    </w:p>
    <w:p>
      <w:pPr>
        <w:pStyle w:val="TextBody"/>
        <w:bidi w:val="0"/>
        <w:spacing w:lineRule="auto" w:line="556"/>
        <w:jc w:val="both"/>
        <w:rPr>
          <w:color w:val="000000"/>
        </w:rPr>
      </w:pPr>
      <w:r>
        <w:rPr>
          <w:color w:val="000000"/>
        </w:rPr>
        <w:t>        </w:t>
      </w:r>
      <w:r>
        <w:rPr>
          <w:rFonts w:ascii="Times New Roman;sans-serif" w:hAnsi="Times New Roman;sans-serif"/>
          <w:b w:val="false"/>
          <w:color w:val="000000"/>
          <w:sz w:val="24"/>
        </w:rPr>
        <w:t xml:space="preserve">(c) 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target, as adjusted by the TSR Modifiers. That actual number of shares of Common Stock which would have been earned under the Award over the entire Performance Period, as adjusted by the TSR Modifiers,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(d)    Except as otherwise determined by the Committee (or, if delegated by the Committee, by a subcommittee of the Committee or an officer of the Company), if a Participant ceases to be employed by the Company or by a direct or indirect subsidiary of the Company before the Vesting Date for any reason other than the reasons set forth in subsections (a), (b) and (c) of this Section 8, including, without limitation, if Participant resigns from the Company (or a direct or indirect subsidiary of the Company) or the Participant’s employment is terminated by the Company (or a direct or indirect subsidiary of the Company) without cause or for cause or for any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 rights under the Award, including, without limitation, any rights to receive shares of Common Stock.</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For purposes of subsections (a), (b) and (c) above:</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A year of "Credited Service" shall mean a calendar year in which the Participant is paid for at least 1,000 hours of employment with the Company or of a subsidiary of the Company. </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 with or immediately following the attainment of age fifty-five (55) and the completion of ten (l0) years of Credited Service, and "early retirement" shall mean retirement by an eligible Participant at the Early Retirement Date.</w:t>
      </w:r>
    </w:p>
    <w:p>
      <w:pPr>
        <w:pStyle w:val="TextBody"/>
        <w:bidi w:val="0"/>
        <w:spacing w:lineRule="auto" w:line="556"/>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"Normal Retirement Date" shall mean: the day on which a Participant who has attained age sixty-five (65) with five (5) or more years of Credited Service, retires. A Participant is eligible for normal retirement on the first day of the calendar month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coincident with or immediately following the Participant's attainment of age sixty-five (65) and completion of five (5) or more years of Credited Service, and "normal retirement" shall mean the retirement by an eligible Participant at the Normal Retirement Date.</w:t>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 xml:space="preserve">9.    In the event of a Change in Control (as defined in the Plan) prior to the Vesting Date,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 </w: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10.    The adjustment provisions set forth in Section 8 of the Plan shall apply to this Award.</w:t>
      </w:r>
    </w:p>
    <w:p>
      <w:pPr>
        <w:pStyle w:val="TextBody"/>
        <w:bidi w:val="0"/>
        <w:spacing w:lineRule="auto" w:line="556"/>
        <w:jc w:val="both"/>
        <w:rPr>
          <w:color w:val="000000"/>
        </w:rPr>
      </w:pPr>
      <w:r>
        <w:rPr>
          <w:color w:val="000000"/>
        </w:rPr>
        <w:t>    </w:t>
      </w:r>
      <w:r>
        <w:rPr>
          <w:rFonts w:ascii="Times New Roman;sans-serif" w:hAnsi="Times New Roman;sans-serif"/>
          <w:b w:val="false"/>
          <w:color w:val="000000"/>
          <w:sz w:val="24"/>
        </w:rPr>
        <w:t>11.    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12.    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13.    This Agreement shall be construed and enforced in accordance with the internal laws of the State of Rhode Island and Providence Plantations and applicable Federal law.</w: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14.    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pStyle w:val="TextBody"/>
        <w:bidi w:val="0"/>
        <w:spacing w:lineRule="auto" w:line="556"/>
        <w:jc w:val="both"/>
        <w:rPr>
          <w:color w:val="000000"/>
        </w:rPr>
      </w:pPr>
      <w:r>
        <w:rPr>
          <w:color w:val="000000"/>
        </w:rPr>
        <w:t>    </w:t>
      </w:r>
      <w:r>
        <w:rPr>
          <w:rFonts w:ascii="Times New Roman;sans-serif" w:hAnsi="Times New Roman;sans-serif"/>
          <w:b w:val="false"/>
          <w:color w:val="000000"/>
          <w:sz w:val="24"/>
        </w:rPr>
        <w:t>15.    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 xml:space="preserve">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 </w:t>
      </w:r>
    </w:p>
    <w:p>
      <w:pPr>
        <w:pStyle w:val="TextBody"/>
        <w:bidi w:val="0"/>
        <w:spacing w:before="0" w:after="0"/>
        <w:jc w:val="both"/>
        <w:rPr/>
      </w:pPr>
      <w:r>
        <w:rPr/>
      </w:r>
    </w:p>
    <w:p>
      <w:pPr>
        <w:pStyle w:val="TextBody"/>
        <w:bidi w:val="0"/>
        <w:spacing w:lineRule="auto" w:line="556" w:before="0" w:after="0"/>
        <w:jc w:val="both"/>
        <w:rPr>
          <w:color w:val="000000"/>
        </w:rPr>
      </w:pPr>
      <w:r>
        <w:rPr>
          <w:color w:val="000000"/>
        </w:rPr>
        <w:t>    </w:t>
      </w:r>
      <w:r>
        <w:rPr>
          <w:rFonts w:ascii="Times New Roman;sans-serif" w:hAnsi="Times New Roman;sans-serif"/>
          <w:b w:val="false"/>
          <w:color w:val="000000"/>
          <w:sz w:val="24"/>
        </w:rPr>
        <w:t>HASBRO, INC.</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Chris Cocks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4"/>
        </w:rPr>
        <w:t>Chris Cocks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By: _________________________</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Participant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Performance Criteria and Conditions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u w:val="single"/>
        </w:rPr>
        <w:t>Performance Target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cumulative EPS target for the Performance Period 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EPS:                $______</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For purposes of this Agreement, the Company’s cumulative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to this Agreement. Further, EPS will be calculated based on actual results translated at exchange rates established at the beginning of the Performance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Number of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total number of shares of Common Stock which may be issuable under this Award will be equal to the product of the (i) the Target Shares and (ii) the Payout Factor set forth below, subject to adjustment for the TSR Modifiers as described below (with any fractional shares rounded up to the next whole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Payout Factor for EPS Metric:</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EPS metric is weighted at 100%. The payout percentage for the EPS metric shall be determined resulting in a total payout factor (the “Payout Factor”), prior to the adjustment for the TSR Modifiers. By way of example, if performance for the cumulative EPS metric is achieved at 80% (i.e., threshold), then the payout for that metric would be 50%, resulting in an overall Payout Factor (prior to adjustment for the TSR Modifiers) of 50% (i.e., 100% weighting x 50% payout for the EPS metric).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achievement for a metric is between threshold (80%) and target (100%) or between target (100%) and maximum (125%) for cumulative EPS performance, the applicable payout percentage will be determined by linear interpolation between threshold and target performance or target and maximum performance, as applicable.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is no payout for the EPS metric if achievement is less than threshold. </w:t>
      </w:r>
    </w:p>
    <w:p>
      <w:pPr>
        <w:pStyle w:val="TextBody"/>
        <w:bidi w:val="0"/>
        <w:spacing w:lineRule="auto" w:line="288" w:before="0" w:after="0"/>
        <w:jc w:val="left"/>
        <w:rPr>
          <w:color w:val="000000"/>
        </w:rPr>
      </w:pPr>
      <w:r>
        <w:rPr>
          <w:color w:val="000000"/>
        </w:rPr>
        <w:t> </w:t>
      </w:r>
    </w:p>
    <w:tbl>
      <w:tblPr>
        <w:tblW w:w="4217" w:type="dxa"/>
        <w:jc w:val="left"/>
        <w:tblInd w:w="0" w:type="dxa"/>
        <w:tblLayout w:type="fixed"/>
        <w:tblCellMar>
          <w:top w:w="28" w:type="dxa"/>
          <w:left w:w="28" w:type="dxa"/>
          <w:bottom w:w="28" w:type="dxa"/>
          <w:right w:w="28" w:type="dxa"/>
        </w:tblCellMar>
      </w:tblPr>
      <w:tblGrid>
        <w:gridCol w:w="724"/>
        <w:gridCol w:w="635"/>
        <w:gridCol w:w="651"/>
        <w:gridCol w:w="455"/>
        <w:gridCol w:w="455"/>
        <w:gridCol w:w="456"/>
        <w:gridCol w:w="246"/>
        <w:gridCol w:w="246"/>
        <w:gridCol w:w="349"/>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EPS</w:t>
            </w:r>
          </w:p>
        </w:tc>
        <w:tc>
          <w:tcPr>
            <w:tcW w:w="136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Achievement</w:t>
            </w:r>
          </w:p>
        </w:tc>
        <w:tc>
          <w:tcPr>
            <w:tcW w:w="84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Payout</w:t>
            </w:r>
          </w:p>
        </w:tc>
      </w:tr>
      <w:tr>
        <w:trPr/>
        <w:tc>
          <w:tcPr>
            <w:tcW w:w="20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Less than $_____</w:t>
            </w:r>
          </w:p>
        </w:tc>
        <w:tc>
          <w:tcPr>
            <w:tcW w:w="136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&lt;80%</w:t>
            </w:r>
          </w:p>
        </w:tc>
        <w:tc>
          <w:tcPr>
            <w:tcW w:w="84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r>
      <w:tr>
        <w:trPr/>
        <w:tc>
          <w:tcPr>
            <w:tcW w:w="20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 (Threshold)</w:t>
            </w:r>
          </w:p>
        </w:tc>
        <w:tc>
          <w:tcPr>
            <w:tcW w:w="136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c>
        <w:tc>
          <w:tcPr>
            <w:tcW w:w="84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c>
      </w:tr>
      <w:tr>
        <w:trPr/>
        <w:tc>
          <w:tcPr>
            <w:tcW w:w="2010"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 (Target)</w:t>
            </w:r>
          </w:p>
        </w:tc>
        <w:tc>
          <w:tcPr>
            <w:tcW w:w="1366"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841"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r>
        <w:trPr/>
        <w:tc>
          <w:tcPr>
            <w:tcW w:w="2010"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$_____ (Maximum)</w:t>
            </w:r>
          </w:p>
        </w:tc>
        <w:tc>
          <w:tcPr>
            <w:tcW w:w="1366" w:type="dxa"/>
            <w:gridSpan w:val="3"/>
            <w:tcBorders>
              <w:top w:val="single" w:sz="8" w:space="0" w:color="000000"/>
              <w:left w:val="single" w:sz="8" w:space="0" w:color="000000"/>
              <w:bottom w:val="single" w:sz="8"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841" w:type="dxa"/>
            <w:gridSpan w:val="3"/>
            <w:tcBorders>
              <w:top w:val="single" w:sz="8" w:space="0" w:color="000000"/>
              <w:left w:val="single" w:sz="8" w:space="0" w:color="000000"/>
              <w:bottom w:val="single" w:sz="8" w:space="0" w:color="000000"/>
              <w:right w:val="single" w:sz="8"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Adjustment for TSR Modifiers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 xml:space="preserve">A.Relative TSR: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shares earned based on the Payout Factor, as determined above, is subject to a +/- 25% modifier based on the Company’s TSR Performance against the TSR Comparator Group over the TSR Performance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If the Company’s TSR Performance is below the 25th percentile of the TSR Performance of the TSR Comparator Group over the TSR Performance Period, then the number of shares earned according to the Payout Factor will be reduced by 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If the Company’s TSR Performance is greater than the 75th percentile of the TSR Performance of the TSR Comparator Group over the TSR Performance Period, then the number of shares earned according to the Payout Factor will be increased by 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number of shares earned based on the Payout Factor will not be modified if the Company’s TSR Performance is between the 25th and 75th percentile of the TSR Performance of the TSR Comparator Group.</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 xml:space="preserve">B.Absolute TSR: </w:t>
      </w:r>
    </w:p>
    <w:p>
      <w:pPr>
        <w:pStyle w:val="TextBody"/>
        <w:bidi w:val="0"/>
        <w:spacing w:lineRule="auto" w:line="288" w:before="0" w:after="0"/>
        <w:jc w:val="both"/>
        <w:rPr/>
      </w:pPr>
      <w:r>
        <w:rPr>
          <w:rFonts w:ascii="Times New Roman;sans-serif" w:hAnsi="Times New Roman;sans-serif"/>
          <w:b w:val="false"/>
          <w:color w:val="000000"/>
          <w:sz w:val="24"/>
        </w:rPr>
        <w:t xml:space="preserve">If the overall payout factor as defined above results in less than a 50% payout and if the </w:t>
      </w:r>
      <w:r>
        <w:rPr>
          <w:rFonts w:ascii="Times New Roman;sans-serif" w:hAnsi="Times New Roman;sans-serif"/>
          <w:b w:val="false"/>
          <w:i/>
          <w:color w:val="000000"/>
          <w:sz w:val="24"/>
          <w:u w:val="single"/>
        </w:rPr>
        <w:t>absolute</w:t>
      </w:r>
      <w:r>
        <w:rPr>
          <w:color w:val="000000"/>
        </w:rPr>
        <w:t xml:space="preserve"> </w:t>
      </w:r>
      <w:r>
        <w:rPr>
          <w:rFonts w:ascii="Times New Roman;sans-serif" w:hAnsi="Times New Roman;sans-serif"/>
          <w:b w:val="false"/>
          <w:color w:val="000000"/>
          <w:sz w:val="24"/>
        </w:rPr>
        <w:t xml:space="preserve">cumulative TSR achieves a minimum of 33% at the conclusion of the Performance Period, the Award will payout at the greater of (i) 50% of the target shares or (ii) the number of shares that is otherwise achieved based on the Payout Factor and the </w:t>
      </w:r>
      <w:r>
        <w:rPr>
          <w:rFonts w:ascii="Times New Roman;sans-serif" w:hAnsi="Times New Roman;sans-serif"/>
          <w:b w:val="false"/>
          <w:i/>
          <w:color w:val="000000"/>
          <w:sz w:val="24"/>
          <w:u w:val="single"/>
        </w:rPr>
        <w:t>relative</w:t>
      </w:r>
      <w:r>
        <w:rPr>
          <w:color w:val="000000"/>
        </w:rPr>
        <w:t xml:space="preserve"> </w:t>
      </w:r>
      <w:r>
        <w:rPr>
          <w:rFonts w:ascii="Times New Roman;sans-serif" w:hAnsi="Times New Roman;sans-serif"/>
          <w:b w:val="false"/>
          <w:color w:val="000000"/>
          <w:sz w:val="24"/>
        </w:rPr>
        <w:t xml:space="preserve">TSR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definitions shall apply for the purpose of applying the TSR Modifiers: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TSR Performance Calculation</w:t>
      </w:r>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Hasbro’s stock price change + Dividends (assumed reinvested) divided by the beginning stock price. The change in stock price will be calculated using a 20-trading average closing stock price including adjustments for cash and stock dividends prior to the beginning and the end of the performance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Beginning Stock Price</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Relative TSR, the beginning stock price will be determined using the 20-trading day average closing stock price ending on the first day of the performance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Absolute TSR, the beginning stock price will be determined using the closing stock price on the last trading day before the start of the Performance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Ending Stock Price</w:t>
      </w:r>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both Relative and Absolute TSR, the ending stock price will be determined using the 20-trading day average closing stock price ending on the last day of the performance period.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4"/>
          <w:u w:val="single"/>
        </w:rPr>
        <w:t>20-Trading Day Average Closing Price</w:t>
      </w:r>
      <w:r>
        <w:rPr>
          <w:color w:val="000000"/>
        </w:rPr>
        <w:t xml:space="preserve">” </w:t>
      </w:r>
      <w:r>
        <w:rPr>
          <w:rFonts w:ascii="Times New Roman;sans-serif" w:hAnsi="Times New Roman;sans-serif"/>
          <w:b w:val="false"/>
          <w:color w:val="000000"/>
          <w:sz w:val="24"/>
        </w:rPr>
        <w:t>means the average of the closing transaction prices of a share of Common Stock of the Company, as reported on the principal national stock exchange on which such Common Stock is traded for the 20 business days immediately preceding the date for which the average stock price is being determined.</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ans-serif" w:hAnsi="Times New Roman;sans-serif"/>
          <w:b w:val="false"/>
          <w:color w:val="000000"/>
          <w:sz w:val="24"/>
          <w:u w:val="single"/>
        </w:rPr>
        <w:t>TSR Comparator Group</w:t>
      </w:r>
      <w:r>
        <w:rPr>
          <w:color w:val="000000"/>
        </w:rPr>
        <w:t xml:space="preserve">” </w:t>
      </w:r>
      <w:r>
        <w:rPr>
          <w:rFonts w:ascii="Times New Roman;sans-serif" w:hAnsi="Times New Roman;sans-serif"/>
          <w:b w:val="false"/>
          <w:color w:val="000000"/>
          <w:sz w:val="24"/>
        </w:rPr>
        <w:t xml:space="preserve">means the S&amp;P 500. For purposes of determining TSR Performance with respect to the TSR Performance Period, the companies included in S&amp;P 500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determined at the beginning of the TSR Performance Period, excluding those entities that are bankrupt, listed on the pink sheets or not listed at all. Should a company within the TSR Comparator Group become bankrupt after the start of the TSR Performance Period, they shall be assigned a TSR of -100%. Companies emerging from bankruptcy shall not be tracked for purposes of the current TSR Performance Period. If a company is acquired during the TSR Performance Period or is taken private, it will be eliminated for the entire measurement period. Companies with stock splits or recapitalizations during the TSR Performance Period will have their opening share price adjusted for the split or recapitalization. If two companies within the TSR Comparator Group merge, only the surviving entity shall be counted. Should a company within the TSR Comparator Group merge with a company outside of the TSR Comparator Group, then that entity shall be excluded from the final calculation.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u w:val="single"/>
        </w:rPr>
        <w:t>Percentile Rank</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Hasbro’s percentile rank compared to the comparator companies (excluding Hasbro) is determined by interpolating between the percentile ranks for the comparator companies immediately above and below them based on differences in TSR. </w:t>
      </w:r>
    </w:p>
    <w:p>
      <w:pPr>
        <w:pStyle w:val="TextBody"/>
        <w:bidi w:val="0"/>
        <w:spacing w:before="0" w:after="0"/>
        <w:jc w:val="both"/>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20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Adjustments</w:t>
      </w:r>
    </w:p>
    <w:p>
      <w:pPr>
        <w:pStyle w:val="TextBody"/>
        <w:bidi w:val="0"/>
        <w:spacing w:before="0" w:after="0"/>
        <w:jc w:val="both"/>
        <w:rPr/>
      </w:pPr>
      <w:r>
        <w:rPr/>
      </w:r>
    </w:p>
    <w:p>
      <w:pPr>
        <w:pStyle w:val="TextBody"/>
        <w:bidi w:val="0"/>
        <w:spacing w:lineRule="auto" w:line="288" w:before="77"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EPS metric will be computed excluding the impact of the following events or activities which occur during the Performance Period: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(i)Non-GAAP adjustments, including but not limited to:</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a.Hasbro Transformation Office (“HTO”) charges, including severance, consulting fees and other one-time costs associated with the transformation program.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b.eOne acquisition intangible amortization; and</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c.Other Non-GAAP adjustments not contemplated in the plan, including non-cash impairment charges, acquisition or divestiture costs, and other restructuring events outside of the HTO program.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results of any material divesture or acquisition made by the Company in any fiscal year during the Performance Period.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Unusual, one-time, non-operating or other significant unbudgeted costs or expenses in excess of $25 million in any fiscal year during the Performance Period, which costs, or expenses are related to changes in accounting rules that are effective after the date of this Agreement.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Unusual, one-time, non-operating or other significant unbudgeted costs or expenses in excess of $25 million in any fiscal year during the Performance Period, which costs, or expenses relate to litigations, arbitrations, or regulatory matters, or cash settlements.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Unanticipated one-time operational or tax costs associated with changes to the US or international tax codes that impact cash flow, operating profit and/or tax expense in excess of $25 million in any fiscal year during the Performance Period.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Any customer bankruptcy or significant financial issue that is estimated to have an impact on the Company’s net sales of $100,000,000 or more over the Performance Period.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(vii)     Significant unanticipated or unbudgeted payments outside the normal course of business in any fiscal year during the Performance Period related to unanticipated tax payments greater than $25 million or contract amendments, renewals, or arrangements greater than $25 million.</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(viii)    Variance between 2025 budget FX and 2024 actual FX rates, which generates an impact greater than $100 million on revenues and the related operating profit impact.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(ix)    Management along with the Committee will take a principle-based approach to considering the impact of tariffs on business results over the Performance Period, and the Committee will make such adjustments, if any, as it deems appropriate.</w:t>
      </w:r>
    </w:p>
    <w:p>
      <w:pPr>
        <w:pStyle w:val="TextBody"/>
        <w:bidi w:val="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tbl>
      <w:tblPr>
        <w:tblW w:w="3254" w:type="dxa"/>
        <w:jc w:val="left"/>
        <w:tblInd w:w="0" w:type="dxa"/>
        <w:tblLayout w:type="fixed"/>
        <w:tblCellMar>
          <w:top w:w="28" w:type="dxa"/>
          <w:left w:w="28" w:type="dxa"/>
          <w:bottom w:w="28" w:type="dxa"/>
          <w:right w:w="28" w:type="dxa"/>
        </w:tblCellMar>
      </w:tblPr>
      <w:tblGrid>
        <w:gridCol w:w="1042"/>
        <w:gridCol w:w="915"/>
        <w:gridCol w:w="1297"/>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28" w:before="0" w:after="0"/>
              <w:jc w:val="center"/>
              <w:rPr>
                <w:rFonts w:ascii="Times New Roman;sans-serif" w:hAnsi="Times New Roman;sans-serif"/>
                <w:b/>
                <w:color w:val="000000"/>
                <w:sz w:val="22"/>
              </w:rPr>
            </w:pPr>
            <w:r>
              <w:rPr>
                <w:rFonts w:ascii="Times New Roman;sans-serif" w:hAnsi="Times New Roman;sans-serif"/>
                <w:b/>
                <w:color w:val="000000"/>
                <w:sz w:val="22"/>
              </w:rPr>
              <w:t>SETTLEMENT AGREEMENT</w:t>
            </w:r>
          </w:p>
        </w:tc>
      </w:tr>
    </w:tbl>
    <w:p>
      <w:pPr>
        <w:pStyle w:val="TextBody"/>
        <w:bidi w:val="0"/>
        <w:spacing w:lineRule="auto" w:line="835" w:before="4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dated</w:t>
      </w:r>
    </w:p>
    <w:p>
      <w:pPr>
        <w:pStyle w:val="TextBody"/>
        <w:bidi w:val="0"/>
        <w:spacing w:lineRule="auto" w:line="835"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DATE 1 OCTOBER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HASBRO EUROPEAN SERVICES</w:t>
      </w:r>
    </w:p>
    <w:p>
      <w:pPr>
        <w:pStyle w:val="TextBody"/>
        <w:bidi w:val="0"/>
        <w:spacing w:lineRule="auto" w:line="288" w:before="36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MATTHEW AUSTIN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180"/>
        <w:jc w:val="both"/>
        <w:rPr>
          <w:rFonts w:ascii="Times New Roman;sans-serif" w:hAnsi="Times New Roman;sans-serif"/>
          <w:b/>
          <w:color w:val="000000"/>
          <w:sz w:val="22"/>
        </w:rPr>
      </w:pPr>
      <w:r>
        <w:rPr>
          <w:rFonts w:ascii="Times New Roman;sans-serif" w:hAnsi="Times New Roman;sans-serif"/>
          <w:b/>
          <w:color w:val="000000"/>
          <w:sz w:val="22"/>
        </w:rPr>
        <w:t>SETTLEMENT AGREEMENT</w:t>
      </w:r>
    </w:p>
    <w:p>
      <w:pPr>
        <w:pStyle w:val="TextBody"/>
        <w:bidi w:val="0"/>
        <w:spacing w:lineRule="auto" w:line="288" w:before="0" w:after="180"/>
        <w:jc w:val="both"/>
        <w:rPr/>
      </w:pPr>
      <w:r>
        <w:rPr>
          <w:rFonts w:ascii="Times New Roman;sans-serif" w:hAnsi="Times New Roman;sans-serif"/>
          <w:b/>
          <w:color w:val="000000"/>
          <w:sz w:val="22"/>
        </w:rPr>
        <w:t>This Agreement</w:t>
      </w:r>
      <w:r>
        <w:rPr>
          <w:color w:val="000000"/>
        </w:rPr>
        <w:t xml:space="preserve"> </w:t>
      </w:r>
      <w:r>
        <w:rPr>
          <w:rFonts w:ascii="Times New Roman;sans-serif" w:hAnsi="Times New Roman;sans-serif"/>
          <w:b w:val="false"/>
          <w:color w:val="000000"/>
          <w:sz w:val="22"/>
        </w:rPr>
        <w:t>is dated 1 October 2024</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Between</w:t>
      </w:r>
    </w:p>
    <w:p>
      <w:pPr>
        <w:pStyle w:val="TextBody"/>
        <w:bidi w:val="0"/>
        <w:spacing w:lineRule="auto" w:line="288" w:before="0" w:after="180"/>
        <w:jc w:val="both"/>
        <w:rPr/>
      </w:pPr>
      <w:r>
        <w:rPr>
          <w:rFonts w:ascii="Times New Roman;sans-serif" w:hAnsi="Times New Roman;sans-serif"/>
          <w:b/>
          <w:color w:val="000000"/>
          <w:sz w:val="22"/>
        </w:rPr>
        <w:t>Hasbro European Services</w:t>
      </w:r>
      <w:r>
        <w:rPr>
          <w:color w:val="000000"/>
        </w:rPr>
        <w:t xml:space="preserve"> </w:t>
      </w:r>
      <w:r>
        <w:rPr>
          <w:rFonts w:ascii="Times New Roman;sans-serif" w:hAnsi="Times New Roman;sans-serif"/>
          <w:b w:val="false"/>
          <w:color w:val="000000"/>
          <w:sz w:val="22"/>
        </w:rPr>
        <w:t xml:space="preserve">whose registered office is at 4 The Square, Stockley Park, Uxbridge, Middlesex, UB11 1ET ("the </w:t>
      </w:r>
      <w:r>
        <w:rPr>
          <w:rFonts w:ascii="Times New Roman;sans-serif" w:hAnsi="Times New Roman;sans-serif"/>
          <w:b/>
          <w:color w:val="000000"/>
          <w:sz w:val="22"/>
        </w:rPr>
        <w:t>Company</w:t>
      </w:r>
      <w:r>
        <w:rPr>
          <w:rFonts w:ascii="Times New Roman;sans-serif" w:hAnsi="Times New Roman;sans-serif"/>
          <w:b w:val="false"/>
          <w:color w:val="000000"/>
          <w:sz w:val="22"/>
        </w:rPr>
        <w:t>"); and</w:t>
      </w:r>
    </w:p>
    <w:p>
      <w:pPr>
        <w:pStyle w:val="TextBody"/>
        <w:bidi w:val="0"/>
        <w:spacing w:lineRule="auto" w:line="288" w:before="0" w:after="180"/>
        <w:jc w:val="both"/>
        <w:rPr/>
      </w:pPr>
      <w:r>
        <w:rPr>
          <w:rFonts w:ascii="Times New Roman;sans-serif" w:hAnsi="Times New Roman;sans-serif"/>
          <w:b/>
          <w:color w:val="000000"/>
          <w:sz w:val="22"/>
        </w:rPr>
        <w:t>Matthew Austin</w:t>
      </w:r>
      <w:r>
        <w:rPr>
          <w:rFonts w:ascii="Times New Roman;sans-serif" w:hAnsi="Times New Roman;sans-serif"/>
          <w:b w:val="false"/>
          <w:color w:val="000000"/>
          <w:sz w:val="22"/>
        </w:rPr>
        <w:t xml:space="preserve">, of _____________, ____________ ("the </w:t>
      </w:r>
      <w:r>
        <w:rPr>
          <w:rFonts w:ascii="Times New Roman;sans-serif" w:hAnsi="Times New Roman;sans-serif"/>
          <w:b/>
          <w:color w:val="000000"/>
          <w:sz w:val="22"/>
        </w:rPr>
        <w:t>Employee</w:t>
      </w:r>
      <w:r>
        <w:rPr>
          <w:rFonts w:ascii="Times New Roman;sans-serif" w:hAnsi="Times New Roman;sans-serif"/>
          <w:b w:val="false"/>
          <w:color w:val="000000"/>
          <w:sz w:val="22"/>
        </w:rPr>
        <w:t>").</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It is agreed as follows:</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1.Termination of employment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1.The Employee's employment with the Company and all Associated Companies shall terminate on 31 March 2025 (the "Termination Date"), and the Employee’s six month notice period shall run from 30 September 2024 until the Termination Date. Between the date of this Agreement and the Termination Date, the Employee shall continue to receive their normal salary and contractual benefits, including pension, private medical insurance and company car allowance, subject to appropriate deductions for tax and National Insurance contributions and subject always to the Company's policies and rules governing any such benefits in place from time to time.</w:t>
      </w:r>
    </w:p>
    <w:p>
      <w:pPr>
        <w:pStyle w:val="TextBody"/>
        <w:bidi w:val="0"/>
        <w:spacing w:lineRule="auto" w:line="328" w:before="0" w:after="180"/>
        <w:ind w:left="0" w:right="0" w:hanging="709"/>
        <w:jc w:val="both"/>
        <w:rPr/>
      </w:pPr>
      <w:r>
        <w:rPr>
          <w:rFonts w:ascii="Times New Roman;sans-serif" w:hAnsi="Times New Roman;sans-serif"/>
          <w:b w:val="false"/>
          <w:color w:val="000000"/>
          <w:sz w:val="22"/>
        </w:rPr>
        <w:t>1.2     Until 31 December 2024 (the “</w:t>
      </w:r>
      <w:r>
        <w:rPr>
          <w:rFonts w:ascii="Times New Roman;sans-serif" w:hAnsi="Times New Roman;sans-serif"/>
          <w:b/>
          <w:color w:val="000000"/>
          <w:sz w:val="22"/>
        </w:rPr>
        <w:t>Garden Leave Date</w:t>
      </w:r>
      <w:r>
        <w:rPr>
          <w:color w:val="000000"/>
        </w:rPr>
        <w:t>”</w:t>
      </w:r>
      <w:r>
        <w:rPr>
          <w:rFonts w:ascii="Times New Roman;sans-serif" w:hAnsi="Times New Roman;sans-serif"/>
          <w:b w:val="false"/>
          <w:color w:val="000000"/>
          <w:sz w:val="22"/>
        </w:rPr>
        <w:t>) the Employee will continue to perform their normal duties. From the Garden Leave Date until the Termination Date the Employee will be placed on garden leave (“</w:t>
      </w:r>
      <w:r>
        <w:rPr>
          <w:rFonts w:ascii="Times New Roman;sans-serif" w:hAnsi="Times New Roman;sans-serif"/>
          <w:b/>
          <w:color w:val="000000"/>
          <w:sz w:val="22"/>
        </w:rPr>
        <w:t>Garden Leave</w:t>
      </w:r>
      <w:r>
        <w:rPr>
          <w:color w:val="000000"/>
        </w:rPr>
        <w:t>”</w:t>
      </w:r>
      <w:r>
        <w:rPr>
          <w:rFonts w:ascii="Times New Roman;sans-serif" w:hAnsi="Times New Roman;sans-serif"/>
          <w:b w:val="false"/>
          <w:color w:val="000000"/>
          <w:sz w:val="22"/>
        </w:rPr>
        <w:t>) in accordance with Clause 16 of the employment contract made between the Employee and the Company dated 25 May 2019 (the “</w:t>
      </w:r>
      <w:r>
        <w:rPr>
          <w:rFonts w:ascii="Times New Roman;sans-serif" w:hAnsi="Times New Roman;sans-serif"/>
          <w:b/>
          <w:color w:val="000000"/>
          <w:sz w:val="22"/>
        </w:rPr>
        <w:t>Employment Contract</w:t>
      </w:r>
      <w:r>
        <w:rPr>
          <w:color w:val="000000"/>
        </w:rPr>
        <w:t>”</w:t>
      </w:r>
      <w:r>
        <w:rPr>
          <w:rFonts w:ascii="Times New Roman;sans-serif" w:hAnsi="Times New Roman;sans-serif"/>
          <w:b w:val="false"/>
          <w:color w:val="000000"/>
          <w:sz w:val="22"/>
        </w:rPr>
        <w:t xml:space="preserve">). </w:t>
      </w:r>
    </w:p>
    <w:p>
      <w:pPr>
        <w:pStyle w:val="TextBody"/>
        <w:bidi w:val="0"/>
        <w:spacing w:lineRule="auto" w:line="32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    The Employee will take all accrued but untaken holiday outstanding as at the Garden Leave Date prior to the Termination Date. There will be no outstanding holiday pay due.</w:t>
      </w:r>
    </w:p>
    <w:p>
      <w:pPr>
        <w:pStyle w:val="TextBody"/>
        <w:bidi w:val="0"/>
        <w:spacing w:lineRule="auto" w:line="32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    The Employee shall submit on or before 31 March 2025 their final expenses claim in the usual way and the Company shall reimburse the Employee for any expenses properly incurred before the Termination Date in the usual way.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3.The Company agrees that it shall not, and that no Associated Company shall, after the date of this Agreement and until the Employee’s employment terminates on the Termination Date, terminate the Employee’s employment by paying in lieu of notice (whether pursuant to the Employment Contract or otherwise) or terminating the Employee’s employment in breach of contract, provided always that nothing in this Clause 1.3 shall prevent the Company or any Associated Company from terminating the Employee’s employment without notice in circumstances where it is lawfully entitled to do so by reason of the Employee’s act or default. </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2.Payments to the employee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1.The Company shall, subject to the Employee and Adviser complying with Clause 8 of this Agreement, on its own behalf, and on behalf of all Associated Companies, pay the following sums to the Employee within 28 days of the later of the Termination Date and the date when the Employee provides the Company with a copy of this Agreement re-executed in accordance with Clause 8:-</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2235"/>
                <wp:effectExtent l="0" t="0" r="0" b="0"/>
                <wp:wrapNone/>
                <wp:docPr id="64" name="Frame6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(a)any outstanding salary up to the Termination Date in respect of the month in which that date falls less appropriate deductions for income tax and employees' National Insurance contributions. At the Termination Date the Employee will have completed the period of notice to which they are entitled under Clause 15.2 of the Employment Contract. The Company will pay the Employee’s salary and benefits for that period, in accordance with Clauses 1.1 and this 2.1(a) of this Agreement, and the parties accordingly believe that the Employee’s Post-Employment Notice Period and Post-Employment Notice Pay (each as defined in the Income Tax (Earnings and Pensions) Act 2003) are nil;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 payment in respect of any outstanding business expenses incurred by the Employee up to the Termination Date in accordance with the Company's usual policies and procedures relating to expenses;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(c)a payment of £582,059.00, without any admission of liability whatsoever, as compensation for loss of employment and in respect of the Particular Claims and Proceedings (as defined in clause 4 below) less any appropriate deductions for income tax and employees' National Insurance contributions, and inclusive of Employee’s statutory redundancy entitlement;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(d)a further one-off payment of £590,219.00 less any appropriate deductions for income tax and employees’ National Insurance contributions, should all three of the following objectives be achieved in full:</w:t>
      </w:r>
    </w:p>
    <w:p>
      <w:pPr>
        <w:pStyle w:val="TextBody"/>
        <w:bidi w:val="0"/>
        <w:spacing w:lineRule="auto" w:line="288" w:before="0" w:after="180"/>
        <w:ind w:left="0" w:right="0" w:hanging="70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Employee uses his best endeavours until the Garden Leave Date to assist in the design and implementation of the proposed organisational transition of Hasbro, Inc. and its direct and indirect subsidiaries (together, the “Hasbro Group”), and </w:t>
      </w:r>
    </w:p>
    <w:p>
      <w:pPr>
        <w:pStyle w:val="TextBody"/>
        <w:bidi w:val="0"/>
        <w:spacing w:lineRule="auto" w:line="288" w:before="0" w:after="180"/>
        <w:ind w:left="0" w:right="0" w:hanging="70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Employee uses his best endeavours until the Garden Leave Date to position the Hasbro Group to achieve its goals and objectives for financial year 2025, and </w:t>
      </w:r>
    </w:p>
    <w:p>
      <w:pPr>
        <w:pStyle w:val="TextBody"/>
        <w:bidi w:val="0"/>
        <w:spacing w:lineRule="auto" w:line="288" w:before="0" w:after="180"/>
        <w:ind w:left="0" w:right="0" w:hanging="70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Hasbro Group achieves worldwide net revenue from the sale of toys and games products, excluding revenue from Wizards of the Coast products and excluding any licensing revenue, of at least US$_____________ within the last six months of the 2024 financial year (excluding any revenue realised in the first six months of the 2024 financial year), as measured according to applicable Hasbro Group accounting practices. </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the Employee will not be entitled any payment under this clause 2.1(d) if any or all of the objectives set out above are only partially achieved; and</w:t>
      </w:r>
    </w:p>
    <w:p>
      <w:pPr>
        <w:pStyle w:val="TextBody"/>
        <w:bidi w:val="0"/>
        <w:spacing w:lineRule="auto" w:line="288" w:before="0" w:after="180"/>
        <w:ind w:left="0" w:right="0" w:hanging="709"/>
        <w:jc w:val="both"/>
        <w:rPr/>
      </w:pPr>
      <w:r>
        <w:rPr>
          <w:rFonts w:ascii="Times New Roman;sans-serif" w:hAnsi="Times New Roman;sans-serif"/>
          <w:b w:val="false"/>
          <w:color w:val="000000"/>
          <w:sz w:val="24"/>
        </w:rPr>
        <w:t>(e)</w:t>
      </w:r>
      <w:r>
        <w:rPr>
          <w:rFonts w:ascii="Times New Roman;sans-serif" w:hAnsi="Times New Roman;sans-serif"/>
          <w:b w:val="false"/>
          <w:color w:val="000000"/>
          <w:sz w:val="22"/>
        </w:rPr>
        <w:t xml:space="preserve">a payment of £100.00 in respect of the Employee’s obligations under clause 6.2 of this Agreement less appropriate deductions for income tax and employees’ National Insurance contributions. </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2.The Employee agrees that: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may deduct from the sums referred to in clause 2.1 any monies owed by the Employee to the Company or any Associated Company including, but not limited to, amounts due in respect of outstanding loan payments and excess holiday pay;</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2235"/>
                <wp:effectExtent l="0" t="0" r="0" b="0"/>
                <wp:wrapNone/>
                <wp:docPr id="65" name="Frame6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3</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(b)except for the sums and benefits referred to in this Agreement, no other sums or benefits are due to the Employee from the Company or any Associated Company; </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(c)notwithstanding the parties' belief that the first £30,000 in value of the payments and benefits provided, or to be provided, to the Employee pursuant to clause 2.1(c) of this Agreement is exempt from tax and National Insurance liability, they</w:t>
      </w:r>
      <w:r>
        <w:rPr>
          <w:color w:val="000000"/>
        </w:rPr>
        <w:t xml:space="preserve"> </w:t>
      </w:r>
      <w:r>
        <w:rPr>
          <w:rFonts w:ascii="Times New Roman;sans-serif" w:hAnsi="Times New Roman;sans-serif"/>
          <w:b w:val="false"/>
          <w:color w:val="000000"/>
          <w:sz w:val="22"/>
        </w:rPr>
        <w:t>will indemnify the Company against all taxes and employees' National Insurance contributions in respect of the payments and benefits provided, or to be provided, pursuant to this Agreement, and all costs, claims, expenses or proceedings, penalties and interest incurred by the Company (save where arising due to the unreasonable delay or default of the Company or any Associated Company) which arise out of or in connection with any liability to pay (or deduct) tax or employees' National Insurance contributions in respect of such payments and benefits. The Company shall give the Employee reasonable notice of any demand for tax and/or employee’s National Insurance contributions which may lead to liabilities on the Employee under this indemnity and shall provide the Employee with reasonable access to any documentation they may reasonably require to dispute such a claim (provided that nothing in this clause shall prevent the Company or any Associated Company from complying with its or their legal obligations with regard to HMRC or other competent body); and</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(d)the compensation payment referred to in clause</w:t>
      </w:r>
      <w:r>
        <w:rPr>
          <w:color w:val="000000"/>
        </w:rPr>
        <w:t xml:space="preserve"> </w:t>
      </w:r>
      <w:r>
        <w:rPr>
          <w:rFonts w:ascii="Times New Roman;sans-serif" w:hAnsi="Times New Roman;sans-serif"/>
          <w:b w:val="false"/>
          <w:color w:val="000000"/>
          <w:sz w:val="22"/>
        </w:rPr>
        <w:t>2.1(c) above shall be treated as advance payment for any compensation or awards which may be made to the Employee by the Employment Tribunals, the County Court and/or the High Court arising from or connected with the Employee's employment with the Company or any Associated Company and/or the termination thereof, although no admission of liability for any such compensation or awards is hereby made.</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3.Benefits to the Employee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without any admission of liability whatsoever, provide the following benefits to the Employee:-</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1.Legal Costs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pay directly to the Adviser, within 30 days from the first date on which a copy of this Agreement signed by the Employee and attaching a certificate in the form attached as Annexure 1 signed by the Adviser in accordance with Clause 7.2 is provided to the Company, the Employee's legal costs up to a limit of £10,800 (inclusive of disbursements) plus VAT subject to receiving from the Adviser: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(a)written confirmation that such legal costs were incurred exclusively in advising the Employee in connection with the termination of the Employee's employment;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(b)a copy of an invoice in respect of such costs addressed to the Employee but marked payable by the Company.</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2.Reference, Announcement and Reemployment Assistance</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 xml:space="preserve">(a)The Company shall give to any prospective employer (or employment agency) on request a reference in the terms of </w:t>
      </w:r>
      <w:hyperlink w:anchor="i2b7f0cb8380e4b5b8d5617f1a096582e_10">
        <w:r>
          <w:rPr>
            <w:rStyle w:val="InternetLink"/>
            <w:rFonts w:ascii="Times New Roman;sans-serif" w:hAnsi="Times New Roman;sans-serif"/>
            <w:b w:val="false"/>
            <w:strike w:val="false"/>
            <w:dstrike w:val="false"/>
            <w:color w:val="000000"/>
            <w:sz w:val="22"/>
            <w:u w:val="none"/>
            <w:effect w:val="none"/>
          </w:rPr>
          <w:t>Annexure 3</w:t>
        </w:r>
      </w:hyperlink>
      <w:r>
        <w:rPr>
          <w:rFonts w:ascii="Times New Roman;sans-serif" w:hAnsi="Times New Roman;sans-serif"/>
          <w:b w:val="false"/>
          <w:color w:val="000000"/>
          <w:sz w:val="22"/>
        </w:rPr>
        <w:t xml:space="preserve"> hereto</w:t>
      </w:r>
      <w:r>
        <w:rPr>
          <w:color w:val="000000"/>
        </w:rPr>
        <w:t xml:space="preserve"> </w:t>
      </w:r>
      <w:r>
        <w:rPr>
          <w:rFonts w:ascii="Times New Roman;sans-serif" w:hAnsi="Times New Roman;sans-serif"/>
          <w:b w:val="false"/>
          <w:color w:val="000000"/>
          <w:sz w:val="22"/>
        </w:rPr>
        <w:t>subject always to the Company's compliance with its obligations to third parties relating to the giving of references, and provided always that all such requests (whether oral or in writing) must be directed to the Company's EMEA HR Services.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(b)Subject to any legal, regulatory or other obligation, the Company will not make an external announcement about the Employee’s departure from the Company without </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2235"/>
                <wp:effectExtent l="0" t="0" r="0" b="0"/>
                <wp:wrapNone/>
                <wp:docPr id="66" name="Frame6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first agreeing the wording of any such annoucement with the Employee. The Company will make an internal announcement about the Employee’s departure from the Company in due course and agree the wording of such announcement with the Employee, subject to any legal, regulatory or other obligation.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(c)The Company shall further bear the costs of executive-level outplacement counselling services for the Employee by the firm Lee Hecht Harrison for the period of six months from the Garden Leave Date.. </w:t>
      </w:r>
    </w:p>
    <w:p>
      <w:pPr>
        <w:pStyle w:val="TextBody"/>
        <w:bidi w:val="0"/>
        <w:spacing w:before="0" w:after="180"/>
        <w:jc w:val="both"/>
        <w:rPr/>
      </w:pPr>
      <w:r>
        <w:rPr/>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3.Performance Rewards Programme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(a)The Employee shall remain eligible to participate in the Company's Performance Rewards Programme (the "Programme") in respect of 2024, subject to the rules of the Programme in place from time to time. If the Employee is eligible to receive a discretionary bonus payment under the Programme, such bonus will be paid, less appropriate deductions for tax and National Insurance contributions, at the same time as bonuses are paid to other Programme participants. The Employee agrees that nothing in this clause 3.3 provides the Employee with an entitlement to receive a bonus payment under the Programme and the amount of any bonus payment (which for the avoidance of doubt may be nil) will be determined exclusively in accordance with the Programme rules in place from time to time.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(b)For the purposes of this Clause 3.3, the Employee’s eligibility to receive a discretionary bonus payment under the Programme, and the timing, approach to calculation and amount of any such payment, shall not be adversely affected (including without limitation by way of reduction, non-eligibility and/or non-payment) by reason of or in connection with the Employee being under notice of termination of employment or the Employee’s employment having terminated or being due to terminate, or by reason of or in connection with the Employee being placed on Garden Leave (and further, to the extent that any discretion is exercised for the purposes of the Programme in respect of 2024 widely in relation to, and to the benefit of, the whole or the majority of the Company’s and its Associated Companies’ Consumer Products business, such discretion will be so exercised in relation to the Employee); any such discretionary bonus payment (if any) shall be calculated and if applicable paid as if the Employee had remained, and were remaining, in full time working employment with the Company in the role he holds as at the date of this Agreement. </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4.Long Term Incentives</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 to and until the Termination Date the Employee will continue to be eligible for any awards vesting or becoming exercisable under the Hasbro, Inc. Restated 2003 Stock Incentive Performance Plan, as Amended (the “Plan”). Any such vestings or exercisability shall be determined exclusively in accordance with the governing documents of the Plan from time to time in force, including any award agreement or amendments under the Plan. Pursuant to the terms of the Plan and applicable award agreement, any outstanding, unvested awards granted under the Plan will lapse on the Termination Date. After the Termination Date the Employee shall not receive any further equity awards. </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5.Outside Accounting Services</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2235"/>
                <wp:effectExtent l="0" t="0" r="0" b="0"/>
                <wp:wrapNone/>
                <wp:docPr id="67" name="Frame6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5</w:t>
                      </w:r>
                    </w:p>
                  </w:txbxContent>
                </v:textbox>
                <w10:wrap type="none"/>
              </v:rect>
            </w:pict>
          </mc:Fallback>
        </mc:AlternateConten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procure and fund the services of an outside accounting firm as reasonably required to prepare the Employee’s UK and Switzerland personal tax returns for the tax years where multi-country tax obligations arise directly pursuant to the Employee's employment with the Company and all Associated Companies. This notwithstanding, the Employee will be solely responsible for complying with worldwide personal income or other tax laws relating to the Employee's employment with the Company and all Associated Companies.</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6.Private Medical Insurance</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Employee’s private medical insurance coverage under the “Vitality” scheme will be extended past the Termination Date and until 30 June 2025, subject to any applicable Company policies and any other rules regarding the “Vitality” scheme.</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4.Settlement and waiver of claims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1.The Employee considers that they have or may have statutory claims, and therefore could bring proceedings, against the Company, or any Associated Company, or its or their employees, officers or shareholders, for: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(a)Unfair dismissal under section 94 of the Employment Rights Act 1996;</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(b)Automatic unfair dismissal under sections 94 and 103A and protection from suffering detriment under section 47B of the Employment Rights Act 1996 (protected disclosures);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(c)Automatic unfair dismissal under sections 94 and 104 of the Employment Rights Act 1996 (assertion of statutory rights);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(d)Automatic unfair dismissal under section 94 of the Employment Rights Act 1996 and section 12 of the Employment Relations Act 1999 (right to accompaniment);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(e)Deductions from wages and payments to employers under Part II of the Employment Rights Act 1996;</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(f)Right to accompaniment and protection from suffering detriment under sections 10 and 12 of the Employment Relations Act 1999;</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(g)Statutory redundancy payment under section 135 of the Employment Rights Act 1996;</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(h)The following claims under the Equality Act 2010 in relation to age: sections 39, 40 and 108 (discrimination, harassment and victimisation); section 61 (breach of a non discrimination rule); section 110 (contraventions by employees); section 111 (instructing causing or inducing contraventions) and section 112 (knowingly helping a contravention),</w: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(together the "Particular Claims and Proceedings").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2.The Employee agrees to accept the sums and benefits referred to in this Agreement in full and final settlement of:</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Employee's prospective entitlement to bring the Particular Claims and Proceedings;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(b)any other Statutory Employment Protection Claim; and</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2235"/>
                <wp:effectExtent l="0" t="0" r="0" b="0"/>
                <wp:wrapNone/>
                <wp:docPr id="68" name="Frame6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6</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(c)any claim for breach of contract of employment between the Employee and the Company or any Associated Company and all other claims and rights of action (whether under statute, contract, common law or otherwise and whether or not the Employee is aware of the claim at the time of entering into this Agreement) in any jurisdiction in the world, howsoever arising which the Employee has or may have now or at any point in the future against the Company or any Associated Company, its or their officers, employees or shareholders, arising from or connected with the Employee's employment with the Company or any Associated Company and/or the termination thereof.</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3.The parties agree that clause 4.2 shall not apply to any claims against the Company or any Associated Company in respect of:-</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(a)personal injury caused by the Company's or any Associated Company's negligence (save for any claims for compensation, or damages, for personal injury which may be brought pursuant to discrimination legislation and/or pursuant to Part V of the Employment Rights Act 1996);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(b)any pension rights or pension benefits which have accrued to the Employee up to the Termination Date;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(c)any claims to enforce the terms of this Agreement.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4.The parties agree that clause 4.2 shall have effect irrespective of whether or not, as at the date of this Agreement, the Employee is or could be aware of such claims or has such claims in express contemplation (including but not limited to claims which arise or of which the Employee becomes aware after the date of this Agreement whether as a result of new legislation or the development of common law or equity or otherwise).</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5.Employee's warranties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As a strict condition of receiving the sums and benefits under this Agreement, the Employee warrants and represents as follows and acknowledges that the Company enters into this Agreement in reliance on these warranties:-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1.that the Particular Claims and Proceedings are all of the claims and proceedings (whether statutory or otherwise) that the Employee considers they have, or may have, against the Company, any Associated Company, its or their employees, officers or shareholders arising out of or in connection with the Employee's employment with the Company, or any Associated Company, or its termination;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2.before entering into this Agreement, the Employee has raised with the Adviser all facts and issues relevant to the Employee's employment and its termination which could give rise to a claim against the Company or any Associated Company;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3.that the Employee is not aware of any condition, mental or physical, or any other facts or circumstances, which could constitute the basis for a claim by him or on his behalf against the Company or any Associated Company for personal injury (whether at the date of signing this Agreement or at any time in the future);</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4.that the Employee has not contacted ACAS pursuant to s.18A of the Employment Tribunals Act 1996 or presented or issued a claim to the Employment Tribunals, a County Court or a High Court in respect of any matter connected with the Employee's employment or its termination and that neither the Employee nor anyone acting on the Employee's behalf will contact ACAS pursuant to s.18A of the Employment Tribunals Act 1996</w:t>
      </w:r>
      <w:r>
        <w:rPr>
          <w:color w:val="000000"/>
        </w:rPr>
        <w:t xml:space="preserve"> </w:t>
      </w:r>
      <w:r>
        <w:rPr>
          <w:rFonts w:ascii="Times New Roman;sans-serif" w:hAnsi="Times New Roman;sans-serif"/>
          <w:b w:val="false"/>
          <w:color w:val="000000"/>
          <w:sz w:val="22"/>
        </w:rPr>
        <w:t>or present or issue such a claim;</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2235"/>
                <wp:effectExtent l="0" t="0" r="0" b="0"/>
                <wp:wrapNone/>
                <wp:docPr id="69" name="Frame6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7</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5.that the Employee has not committed any act or any omission which could amount to a breach of the express or implied terms of the Employee's contract of employment with the Company and/or any act of misconduct under the Company's Disciplinary Procedure and will not commit any such act or omission between the date of this Agreement and the Termination Date and, further, that the Employee has not withheld or failed to disclose any material fact concerning the performance of the Employee's duties with the Company or any Associated Company which would have entitled the Company to terminate the Employee's employment without notice, or which, if it had been done or omitted after the date of this Agreement, would constitute a breach of any of its terms; and</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6.that all grievances have been raised by the Employee and are hereby withdrawn and the Employee further warrants that they have no other grievance with the Company or any Associated Company in respect of or in connection with the Employee's employment with the Company or any Associated Company, its termination or any other matter.</w:t>
      </w:r>
      <w:r>
        <w:rPr>
          <w:color w:val="FF00FF"/>
        </w:rPr>
        <w:t xml:space="preserve"> </w:t>
      </w:r>
    </w:p>
    <w:p>
      <w:pPr>
        <w:pStyle w:val="TextBody"/>
        <w:bidi w:val="0"/>
        <w:spacing w:lineRule="auto" w:line="288" w:before="0" w:after="180"/>
        <w:ind w:left="0" w:right="0" w:hanging="709"/>
        <w:jc w:val="both"/>
        <w:rPr>
          <w:rFonts w:ascii="Times New Roman;sans-serif" w:hAnsi="Times New Roman;sans-serif"/>
          <w:b/>
          <w:color w:val="000000"/>
          <w:sz w:val="22"/>
        </w:rPr>
      </w:pPr>
      <w:r>
        <w:rPr>
          <w:rFonts w:ascii="Times New Roman;sans-serif" w:hAnsi="Times New Roman;sans-serif"/>
          <w:b/>
          <w:color w:val="000000"/>
          <w:sz w:val="22"/>
        </w:rPr>
        <w:t>6.Employee's obligations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1.The Employee agrees:-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(a)to account for and return to the Company all Company Property on or before the Garden Leave Date;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(b)to comply immediately with any request from the Company to delete, disclose details of, produce copies of, and/or permit inspection of all information and/or documents (including Confidential Information) relating to or belonging to the Company or any Associated Company which are held and/or saved on any computer, telecommunications or other electronic equipment belonging to or in the possession of the Employee;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(c)on request to disclose to the Company all passwords (including passwords to all protected files) created or protected by them which are held and/or saved on any computer, telecommunications or other electronic equipment belonging to the Company;</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(d)to repay to the Company on demand and in full the payments and benefits received pursuant to clause 2.1(c)</w:t>
      </w:r>
      <w:r>
        <w:rPr>
          <w:color w:val="000000"/>
        </w:rPr>
        <w:t xml:space="preserve"> </w:t>
      </w:r>
      <w:r>
        <w:rPr>
          <w:rFonts w:ascii="Times New Roman;sans-serif" w:hAnsi="Times New Roman;sans-serif"/>
          <w:b w:val="false"/>
          <w:color w:val="000000"/>
          <w:sz w:val="22"/>
        </w:rPr>
        <w:t>above in the event that the Employee brings any claims or proceedings, whether statutory or otherwise, relating to the Employee's employment with the Company or any Associated Company, or its termination, against the Company, any Associated Company, its or their employees, officers or shareholders, whether in an Employment Tribunal, a County Court, a High Court or otherwise (save for claims which fall within the exclusions set out in clause 4.3 above). The Employee agrees that this sum shall be recoverable as a debt, together with all costs, including legal costs, reasonably incurred by the Company in recovering the sum and/or in relation to any claims or proceedings so brought by the Employee;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(e)that they are, and will continue to be, bound by clauses 11, 12 and 18 of the Employment Contract.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2.In consideration of the provision of the reference referred to in clause 3.2 and the payment referred to in clause 2.1(e) above, and the Company’s obligations entered into in clause 6.3 below, the Employee agrees: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(a)subject to clauses 6.4 and 6.5 not to disclose (directly or indirectly) to any party the existence or contents of this Agreement except to the Employee's professional advisers, the Employee's spouse or registered civil partner (on the basis that each of the foregoing parties agrees to keep the same confidential) and HM Revenue &amp; </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2235"/>
                <wp:effectExtent l="0" t="0" r="0" b="0"/>
                <wp:wrapNone/>
                <wp:docPr id="70" name="Frame7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Customs (provided always that nothing in this clause 6.2(a) shall prevent the Employee from supplying a copy of this Agreement and its Annexures to any court of competent jurisdiction, or as otherwise required by law);</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(b)without limitation in time not to divulge or make use of (whether directly or indirectly and whether for the Employee's own or another's benefit or purposes) any Confidential Information (this obligation does not apply to any disclosures required or protected by law or to any information in the public domain other than by way of unauthorised disclosure (whether by the Employee or another person));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(c)that the Employee will, on the request of the Company or any Associated Company, assist it or them in any threatened or actual litigation or (internal or external) investigation concerning it or them where the Company or any Associated Company reasonably believes that the Employee has in their possession or knowledge any facts or other matters which the Company or any Associated Company reasonably considers are relevant to such legal proceedings or investigation (including but not limited to being interviewed, giving statements/affidavits, meeting with their legal and other professional advisers, attending any legal hearing and giving evidence) PROVIDED ALWAYS that the Company or the relevant Associated Company shall reimburse the Employee for reasonable expenses (including reasonable loss of income) properly incurred and evidenced by the Employee in giving such assistance and agreed in advance between the Employee and the Company (or relevant Associated Company);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(d)not to make, or cause to be made, (directly or indirectly) any derogatory or critical comments or statements (whether orally or in writing and including, for the avoidance of doubt, electronically or online) about the Company or any Associated Company or its or their respective officers or employees;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(e)not to make, or cause to be made (directly or indirectly), any statement or comment to the press or other media concerning the Employee's employment with the Company, or its termination without the prior written consent of the Company;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(f)not to hold themself out as remaining employed by or otherwise continuing to work for the Company or any Associated Company after the Termination Date, and on the Termination Date to update their LinkedIn profile and any other online presence accordingly.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3.The Company agrees that neither it, Hasbro, Inc., and/or Hasbro SA shall formally authorise any of its or their officers or employees to make or cause to be made, (directly or indirectly) any derogatory or critical comments or statements (whether orally or in writing and including, for the avoidance of doubt, electronically or online) about the Employee.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4.For the avoidance of doubt, nothing in this clause 6 shall prevent the Employee, or any officer or employee of the Company, Hasbro, Inc. and/or Hasbro SA, from: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(a)reporting misconduct or a serious breach of regulatory requirements to any body responsible for supervising or regulating the matters in question;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(b)making a protected disclosure within the meaning of Part IVA of the Employment Rights Act 1996 (Protected Disclosures) provided that the disclosure is made in accordance with the provisions of that Act;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(c)reporting in good faith an offence or a suspected offence to a law enforcement agency; </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2235"/>
                <wp:effectExtent l="0" t="0" r="0" b="0"/>
                <wp:wrapNone/>
                <wp:docPr id="71" name="Frame7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9</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(d)co-operating in good faith with a criminal investigation or prosecution;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(e)reporting, in the public interest, misconduct, or a serious breach of regulatory requirements, to an appropriate regulator; 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(f)giving evidence to or complying with an order of a court or tribunal of competent jurisdiction; </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5.For the avoidance of doubt, nothing in this clause 6 shall prevent the Employee from:</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(a)representing themselves at any investigation or proceedings brought by the Employee's regulatory or professional body relating to matters arising from their employment;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(b)making a disclosure in respect of this Agreement or circumstances surrounding the Agreement to HM Revenue &amp; Customs, and the Employee's professional advisers (such as legal and medical professionals and counsellors, and tax advisers), who are bound by a duty of confidentiality, in respect of professional advice;</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(c)making a disclosure to the Employee's spouse or civil partner on condition that they also keep that information confidential;</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(d)making a claim for benefits to any government benefits agency; 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(e)making a claim to the Employee's insurer for the purposes of processing a claim for loss of employment.</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7.Settlement agreement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1.It is agreed that the Employee's acceptance of the terms of this Agreement constitutes a settlement agreement satisfying all of the conditions relating to settlement agreements under S.203(3) Employment Rights Act 1996, S.147 Equality Act 2010, S.288(2B) Trade Union and Labour Relations (Consolidation) Act 1992, S.49(4) National Minimum Wage Act 1998, Regulation 35(3) Working Time Regulations 1998, Regulation 41 (4) of the Transnational Information and Consultation of Employees Regulations 1999, Regulation 40(4) of the Information and Consultation of Employees Regulations 2004, Paragraph 13 of the Schedule to the Occupational and Personal Pension Schemes (Consultation by Employers and Miscellaneous Amendment) Regulations 2006 and S.58(5) Pensions Act 2008, and Regulation 39 European Public Limited-Liability Company (Employee Involvement) (Great Britain) Regulations 2009.</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2.____________________________(the "Adviser") is a qualified lawyer and an independent adviser for the purposes of the legislation referred to in clause 7.1 and has advised the Employee on the terms and effect of this Agreement (including in particular its effect on the Employee's ability to pursue any complaints before an Employment Tribunal) and has signed a certificate attached as Annexure 1. The Employee confirms that the Adviser has advised that there is in force a policy of insurance or an indemnity provided for members of a profession or professional body covering the risk of claims by the Employee in respect of any loss arising in consequence of that advice.</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8.Re-execution of Settlement Agreement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1.The Employee will take further legal advice from the Adviser on or after the Termination Date and will provide the Adviser with all available information, facts and issues relevant to their employment and its termination at that point, which have not been already been provided at the date of this Agreement and which could give rise to a claim by or on behalf of the Employee against the Company or any Associated Company or any of its or their officers, </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2235"/>
                <wp:effectExtent l="0" t="0" r="0" b="0"/>
                <wp:wrapNone/>
                <wp:docPr id="72" name="Frame7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employees or shareholders and take advice from the Adviser on whether they have any claims other than the Particular Claims and Proceedings. Following such advice the Employee will notify the Company in writing of such claims which are identified (which shall become Particular Claims and Proceedings) or that there are no such claims.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2.The Employee, having complied with Clause 8.1, will re-execute this Agreement (and the Adviser shall re-execute the certificate attached as Annexure 1,) and by doing so the Employee will confirm:</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(a)their compliance with Clause 8.1;</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(b)that the provisions of Clause 4.2 extend to any claims notified in accordance with Clause 8.1 and any or all claims which might have arisen up to the date of such re-execution;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(c)that the Particular Claims and Proceedings are all of the claims and proceedings (whether statutory or otherwise) that the Employee considers they have, or may have, against the Company, any Associated Company, its or their employees, officers or shareholders arising out of or in connection with the Employee's employment with the Company, or any Associated Company, or its termination.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3.This Clause 8 does not limit the generality of Clause 4.2 or its application to claims of which the Employee is not or could not be aware or which are not within the Employee's express contemplation at the date of this Agreement and the parties agree that the terms of this Agreement will become binding with effect from the date of this Agreement and will remain binding irrespective of compliance with this Clause 8 provided that, for the avoidance of doubt, the Company's obligations under Clauses 2 and 3 shall be conditional upon the Employee and the Adviser complying with this Clause 8.</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4.Subject to the Employee and the Adviser complying with the provisions of this Clause 8, the Company shall pay directly to the Adviser the Employee's legal costs incurred in complying with this Clause 8 up to a limit of £1000 (inclusive of disbursements) plus VAT subject to receiving from the Adviser: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(a)written confirmation that such legal costs were incurred exclusively in advising the Employee in connection with the termination of the Employee's employment;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(b)a copy of an invoice in respect of such costs addressed to the Employee but marked payable by the Company.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5.The Employee agrees that in respect of their compliance with this Clause 8 there will be no obligation on the Company to provide any additional payments or benefits, and the Employee acknowledges that the consideration given pursuant to clause 2.1(c) of the Agreement is given also in respect of the re-executed Agreement.</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9.Definitions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Agreement the following words and phrases shall have the meanings set out below:</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1.An "</w:t>
      </w:r>
      <w:r>
        <w:rPr>
          <w:rFonts w:ascii="Times New Roman;sans-serif" w:hAnsi="Times New Roman;sans-serif"/>
          <w:b/>
          <w:color w:val="000000"/>
          <w:sz w:val="22"/>
        </w:rPr>
        <w:t>Associated Company</w:t>
      </w:r>
      <w:r>
        <w:rPr>
          <w:rFonts w:ascii="Times New Roman;sans-serif" w:hAnsi="Times New Roman;sans-serif"/>
          <w:b w:val="false"/>
          <w:color w:val="000000"/>
          <w:sz w:val="22"/>
        </w:rPr>
        <w:t>" includes any firm, company, business entity or other organisation:</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(a)which is directly or indirectly Controlled by the Company; 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(b)which directly or indirectly Controls the Company; or</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02235"/>
                <wp:effectExtent l="0" t="0" r="0" b="0"/>
                <wp:wrapNone/>
                <wp:docPr id="73" name="Frame7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11</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(c)which is directly or indirectly Controlled by a third party who also directly or indirectly Controls the Company; 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(d)of which the Company or any Associated Company is a partner; or</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(e)of which the Company or any Associated Companies referred to in clauses 9.1(a) to (d) above owns or has a beneficial interest (whether directly or indirectly) in 20% or more of the issued share capital or 20% or more of the capital assets.</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2."</w:t>
      </w:r>
      <w:r>
        <w:rPr>
          <w:rFonts w:ascii="Times New Roman;sans-serif" w:hAnsi="Times New Roman;sans-serif"/>
          <w:b/>
          <w:color w:val="000000"/>
          <w:sz w:val="22"/>
        </w:rPr>
        <w:t>Company Property</w:t>
      </w:r>
      <w:r>
        <w:rPr>
          <w:rFonts w:ascii="Times New Roman;sans-serif" w:hAnsi="Times New Roman;sans-serif"/>
          <w:b w:val="false"/>
          <w:color w:val="000000"/>
          <w:sz w:val="22"/>
        </w:rPr>
        <w:t>" means all property belonging to the Company or any Associated Company which is or has been in the Employee's possession or control including but not limited to Company car, mobile telephone, credit cards, keys and passes, laptop computer and related equipment, documents, notes, correspondence, files, e-mails, memos, reports, minutes, plans, records, surveys, software, diagrams, computer print-outs, disks, USB flash drives, memory cards or sticks, cards, manuals, customer documentation or any other medium for storing information, and all copies, drafts, reproductions, notes, extracts or summaries (howsoever made) of the foregoing.</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3."</w:t>
      </w:r>
      <w:r>
        <w:rPr>
          <w:rFonts w:ascii="Times New Roman;sans-serif" w:hAnsi="Times New Roman;sans-serif"/>
          <w:b/>
          <w:color w:val="000000"/>
          <w:sz w:val="22"/>
        </w:rPr>
        <w:t>Confidential Information</w:t>
      </w:r>
      <w:r>
        <w:rPr>
          <w:rFonts w:ascii="Times New Roman;sans-serif" w:hAnsi="Times New Roman;sans-serif"/>
          <w:b w:val="false"/>
          <w:color w:val="000000"/>
          <w:sz w:val="22"/>
        </w:rPr>
        <w:t>" means trade secrets or confidential information including but not limited to such information relating to business plans or dealings, technical data, existing and potential projects, financial information dealings and plans, sales specifications or targets, customer lists or specifications, customers, business developments and plans, research plans or reports, sales or marketing programmes or policies or plans, price lists or pricing policies, employees or officers, source codes, computer systems, software, designs, formula, prototypes, past and proposed business dealings or transactions, product lines, services and research activities belonging to or which relate to the affairs of the Company or any Associated Company, or any document marked "Confidential" (or with a similar expression), or any information which the Employee has been told is confidential or which the Employee might reasonably expect the Company would regard as confidential or information which has been given in confidence to the Company or any Associated Company by a third party.</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4."</w:t>
      </w:r>
      <w:r>
        <w:rPr>
          <w:rFonts w:ascii="Times New Roman;sans-serif" w:hAnsi="Times New Roman;sans-serif"/>
          <w:b/>
          <w:color w:val="000000"/>
          <w:sz w:val="22"/>
        </w:rPr>
        <w:t>Control</w:t>
      </w:r>
      <w:r>
        <w:rPr>
          <w:rFonts w:ascii="Times New Roman;sans-serif" w:hAnsi="Times New Roman;sans-serif"/>
          <w:b w:val="false"/>
          <w:color w:val="000000"/>
          <w:sz w:val="22"/>
        </w:rPr>
        <w:t>" and its derivatives has the meaning set out in Sections 450 - 451 of the Corporation Tax Act 2010.</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5."</w:t>
      </w:r>
      <w:r>
        <w:rPr>
          <w:rFonts w:ascii="Times New Roman;sans-serif" w:hAnsi="Times New Roman;sans-serif"/>
          <w:b/>
          <w:color w:val="000000"/>
          <w:sz w:val="22"/>
        </w:rPr>
        <w:t>Statutory Employment Protection Claim</w:t>
      </w:r>
      <w:r>
        <w:rPr>
          <w:rFonts w:ascii="Times New Roman;sans-serif" w:hAnsi="Times New Roman;sans-serif"/>
          <w:b w:val="false"/>
          <w:color w:val="000000"/>
          <w:sz w:val="22"/>
        </w:rPr>
        <w:t>" means any of the claims listed in Annexure 2 which the Employee has or may have against the Company or any Associated Company (whether or not the Employee is aware of the claims at the time of entering into this Agreement).</w:t>
      </w:r>
    </w:p>
    <w:p>
      <w:pPr>
        <w:pStyle w:val="TextBody"/>
        <w:bidi w:val="0"/>
        <w:spacing w:lineRule="auto" w:line="288" w:before="0" w:after="180"/>
        <w:ind w:left="0" w:right="0" w:hanging="709"/>
        <w:jc w:val="left"/>
        <w:rPr>
          <w:rFonts w:ascii="Times New Roman;sans-serif" w:hAnsi="Times New Roman;sans-serif"/>
          <w:b/>
          <w:color w:val="000000"/>
          <w:sz w:val="22"/>
        </w:rPr>
      </w:pPr>
      <w:r>
        <w:rPr>
          <w:rFonts w:ascii="Times New Roman;sans-serif" w:hAnsi="Times New Roman;sans-serif"/>
          <w:b/>
          <w:color w:val="000000"/>
          <w:sz w:val="22"/>
        </w:rPr>
        <w:t>10.Miscellaneous</w:t>
      </w:r>
    </w:p>
    <w:p>
      <w:pPr>
        <w:pStyle w:val="TextBody"/>
        <w:bidi w:val="0"/>
        <w:spacing w:lineRule="auto" w:line="288" w:before="0" w:after="180"/>
        <w:ind w:left="0" w:right="0" w:hanging="709"/>
        <w:jc w:val="both"/>
        <w:rPr/>
      </w:pPr>
      <w:r>
        <w:rPr>
          <w:rFonts w:ascii="Times New Roman;sans-serif" w:hAnsi="Times New Roman;sans-serif"/>
          <w:b w:val="false"/>
          <w:color w:val="000000"/>
          <w:sz w:val="22"/>
        </w:rPr>
        <w:t>1.This Agreement although marked "Without Prejudice" and "Subject to Contract" will, upon signature by both parties</w:t>
      </w:r>
      <w:r>
        <w:rPr>
          <w:color w:val="FF4500"/>
        </w:rPr>
        <w:t xml:space="preserve"> </w:t>
      </w:r>
      <w:r>
        <w:rPr>
          <w:rFonts w:ascii="Times New Roman;sans-serif" w:hAnsi="Times New Roman;sans-serif"/>
          <w:b w:val="false"/>
          <w:color w:val="000000"/>
          <w:sz w:val="22"/>
        </w:rPr>
        <w:t>and the completion of the Adviser's certificate at Annexure 1, be treated as an open document evidencing an agreement binding on the parties.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2.This Agreement may be executed by counterparts which together shall constitute one agreement. Either party may enter into this Agreement by executing a counterpart and this Agreement shall not take effect until it has been executed by both parties.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3.The construction, validity and performance of this Agreement and all non-contractual obligations (if any) arising from or connected with this Agreement shall be governed by the laws of England.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4.Each party irrevocably agrees to submit to the exclusive jurisdiction of the courts of England over any claim or matter (including any non-contractual claim) arising under or in connection with this Agreement.</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02235"/>
                <wp:effectExtent l="0" t="0" r="0" b="0"/>
                <wp:wrapNone/>
                <wp:docPr id="74" name="Frame7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12</w:t>
                      </w:r>
                    </w:p>
                  </w:txbxContent>
                </v:textbox>
                <w10:wrap type="none"/>
              </v:rect>
            </w:pict>
          </mc:Fallback>
        </mc:AlternateConten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5.All references in this Agreement and its Annexes to the Company or any Associated Companies shall include any successor in title or assign of the Company or any of the Associated Companies.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6.The terms of this Agreement constitute the entire agreement and understanding between the parties hereto and it supersedes and replaces all prior negotiations, agreements, arrangements or understanding (whether implied or expressed, orally or in writing) concerning the subject-matter hereof, all of which are hereby treated as terminated by mutual consent. The Employee acknowledges and warrants that they are not entering into this Agreement in reliance on any representation not expressly set out in this Agreement.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7.A reference to a particular law is a reference to it as it is in force for the time being taking account of any amendment, extension, or re-enactment and includes any subordinate legislation for the time being in force made under it.</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8.The various provisions and sub-provisions of this Agreement and its Annexures are severable and if any provision or identifiable part thereof is held to be unenforceable by any court of competent jurisdiction then such unenforceability shall not affect the enforceability of the remaining provisions or identifiable parts thereof in this Agreement or its Annexures.</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9.The Company is entering into this Agreement for itself and as agent for and trustee of all Associated Companies. Subject to and in accordance with the provisions of the Contracts (Rights of Third Parties) Act 1999:</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(a)the parties intend that each Associated Company should be able to enforce any of the terms of this Agreement which expressly or impliedly confer a benefit on that company;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(b)the parties further intend that each officer, employee or shareholder of the Company and any Associated Company should be able to enforce any of the terms of Clauses 4 or 5 which expressly or impliedly confer a benefit on them, but that such officers, employees or shareholders should not be able to enforce any of the other terms of this Agreement; and</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(c)the consent of any party who is not a party to this Agreement shall not be required for the variation or termination of this Agreement, even if that variation or termination affects the benefits conferred on such party.</w:t>
      </w:r>
    </w:p>
    <w:p>
      <w:pPr>
        <w:pStyle w:val="TextBody"/>
        <w:bidi w:val="0"/>
        <w:spacing w:lineRule="auto" w:line="288" w:before="0" w:after="180"/>
        <w:ind w:left="0" w:right="0" w:hanging="709"/>
        <w:jc w:val="both"/>
        <w:rPr>
          <w:rFonts w:ascii="Times New Roman;sans-serif" w:hAnsi="Times New Roman;sans-serif"/>
          <w:b w:val="false"/>
          <w:color w:val="000000"/>
          <w:sz w:val="22"/>
        </w:rPr>
      </w:pPr>
      <w:r>
        <w:rPr>
          <w:rFonts w:ascii="Times New Roman;sans-serif" w:hAnsi="Times New Roman;sans-serif"/>
          <w:b w:val="false"/>
          <w:color w:val="000000"/>
          <w:sz w:val="22"/>
        </w:rPr>
        <w:t>10.Headings are inserted for convenience only and shall not affect the construction of this Agreement.</w:t>
      </w:r>
    </w:p>
    <w:p>
      <w:pPr>
        <w:pStyle w:val="TextBody"/>
        <w:bidi w:val="0"/>
        <w:spacing w:before="480" w:after="920"/>
        <w:jc w:val="left"/>
        <w:rPr/>
      </w:pPr>
      <w:r>
        <w:rPr/>
      </w:r>
    </w:p>
    <w:p>
      <w:pPr>
        <w:pStyle w:val="TextBody"/>
        <w:bidi w:val="0"/>
        <w:spacing w:before="480" w:after="920"/>
        <w:jc w:val="left"/>
        <w:rPr/>
      </w:pPr>
      <w:r>
        <w:rPr/>
      </w:r>
    </w:p>
    <w:p>
      <w:pPr>
        <w:pStyle w:val="TextBody"/>
        <w:bidi w:val="0"/>
        <w:spacing w:before="480" w:after="920"/>
        <w:jc w:val="left"/>
        <w:rPr/>
      </w:pPr>
      <w:r>
        <w:rPr/>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2235"/>
                <wp:effectExtent l="0" t="0" r="0" b="0"/>
                <wp:wrapNone/>
                <wp:docPr id="75" name="Frame7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13</w:t>
                      </w:r>
                    </w:p>
                  </w:txbxContent>
                </v:textbox>
                <w10:wrap type="none"/>
              </v:rect>
            </w:pict>
          </mc:Fallback>
        </mc:AlternateContent>
      </w:r>
    </w:p>
    <w:p>
      <w:pPr>
        <w:pStyle w:val="TextBody"/>
        <w:bidi w:val="0"/>
        <w:spacing w:lineRule="auto" w:line="288" w:before="480" w:after="920"/>
        <w:jc w:val="left"/>
        <w:rPr>
          <w:rFonts w:ascii="Times New Roman;sans-serif" w:hAnsi="Times New Roman;sans-serif"/>
          <w:b/>
          <w:color w:val="000000"/>
          <w:sz w:val="22"/>
        </w:rPr>
      </w:pPr>
      <w:r>
        <w:rPr>
          <w:rFonts w:ascii="Times New Roman;sans-serif" w:hAnsi="Times New Roman;sans-serif"/>
          <w:b/>
          <w:color w:val="000000"/>
          <w:sz w:val="22"/>
        </w:rPr>
        <w:t>SIGNED by or on behalf of the parties on the date first above written:</w:t>
        <w:br/>
        <w:br/>
        <w:br/>
        <w:br/>
        <w:t>For and on behalf of</w:t>
        <w:br/>
        <w:t>HASBRO EUROPEAN SERVICES</w:t>
        <w:br/>
        <w:br/>
        <w:t>__________________________</w:t>
        <w:br/>
        <w:br/>
        <w:br/>
        <w:t>MATTHEW AUSTIN</w:t>
        <w:br/>
        <w:br/>
        <w:t>_________________________</w:t>
        <w:br/>
        <w:br/>
        <w:br/>
        <w:t>RE-EXECUTED on _________________________________:</w:t>
        <w:br/>
        <w:br/>
        <w:t>MATTHEW AUSTIN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02235"/>
                <wp:effectExtent l="0" t="0" r="0" b="0"/>
                <wp:wrapNone/>
                <wp:docPr id="76" name="Frame7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Annexure 1</w:t>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Adviser's Certificate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 ____________, confirm that Matthew Austin of _________________ (the "Employee") has received independent legal advice from me on the terms and effect of this Agreement (including in particular its effect on the Employee's ability to pursue any claims before an Employment Tribunal) in accordance with the provisions of S.203(3) Employment Rights Act 1996, S147 Equality Act 2010, S.288(2B) Trade Union and Labour Relations (Consolidation) Act 1992, S.49(4) National Minimum Wage Act 1998, Regulation 35(3) Working Time Regulations 1998, Regulation 41 (4) of the Transnational Information and Consultation of Employees Regulations 1999, Regulation 40(4) of the Information and Consultation of Employees Regulations 2004, Paragraph 13 of the Schedule to the Occupational and Personal Pension Schemes (Consultation by Employers and Miscellaneous Amendment) Regulations 2006 and s.58(5) Pensions Act 2008.</w:t>
      </w:r>
    </w:p>
    <w:p>
      <w:pPr>
        <w:pStyle w:val="TextBody"/>
        <w:bidi w:val="0"/>
        <w:spacing w:lineRule="auto" w:line="288" w:before="0" w:after="180"/>
        <w:jc w:val="both"/>
        <w:rPr/>
      </w:pPr>
      <w:r>
        <w:rPr>
          <w:rFonts w:ascii="Times New Roman;sans-serif" w:hAnsi="Times New Roman;sans-serif"/>
          <w:b w:val="false"/>
          <w:color w:val="000000"/>
          <w:sz w:val="22"/>
        </w:rPr>
        <w:t>I also warrant and confirm that I am a solicitor of the Senior Courts, who holds a valid practising certificate and whose Firm,</w:t>
      </w:r>
      <w:r>
        <w:rPr>
          <w:color w:val="000000"/>
        </w:rPr>
        <w:t xml:space="preserve"> </w:t>
      </w:r>
      <w:r>
        <w:rPr>
          <w:rFonts w:ascii="Times New Roman;sans-serif" w:hAnsi="Times New Roman;sans-serif"/>
          <w:b/>
          <w:color w:val="000000"/>
          <w:sz w:val="22"/>
        </w:rPr>
        <w:t xml:space="preserve">__________________ </w:t>
      </w:r>
      <w:r>
        <w:rPr>
          <w:rFonts w:ascii="Times New Roman;sans-serif" w:hAnsi="Times New Roman;sans-serif"/>
          <w:b w:val="false"/>
          <w:color w:val="000000"/>
          <w:sz w:val="22"/>
        </w:rPr>
        <w:t>is covered by a policy of insurance, or an indemnity provided for members of a profession or professional body, which covers the risk of claims by the Employee in respect of any loss arising in consequence of such advice that I have given to the Employee in connection with the terms and effect of this Agreement.</w:t>
      </w:r>
    </w:p>
    <w:tbl>
      <w:tblPr>
        <w:tblW w:w="4355" w:type="dxa"/>
        <w:jc w:val="left"/>
        <w:tblInd w:w="0" w:type="dxa"/>
        <w:tblLayout w:type="fixed"/>
        <w:tblCellMar>
          <w:top w:w="28" w:type="dxa"/>
          <w:left w:w="28" w:type="dxa"/>
          <w:bottom w:w="28" w:type="dxa"/>
          <w:right w:w="28" w:type="dxa"/>
        </w:tblCellMar>
      </w:tblPr>
      <w:tblGrid>
        <w:gridCol w:w="298"/>
        <w:gridCol w:w="263"/>
        <w:gridCol w:w="264"/>
        <w:gridCol w:w="595"/>
        <w:gridCol w:w="595"/>
        <w:gridCol w:w="595"/>
        <w:gridCol w:w="109"/>
        <w:gridCol w:w="109"/>
        <w:gridCol w:w="109"/>
        <w:gridCol w:w="239"/>
        <w:gridCol w:w="239"/>
        <w:gridCol w:w="241"/>
        <w:gridCol w:w="109"/>
        <w:gridCol w:w="109"/>
        <w:gridCol w:w="10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Signed:</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Adviser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357" w:type="dxa"/>
        <w:jc w:val="left"/>
        <w:tblInd w:w="0" w:type="dxa"/>
        <w:tblLayout w:type="fixed"/>
        <w:tblCellMar>
          <w:top w:w="28" w:type="dxa"/>
          <w:left w:w="28" w:type="dxa"/>
          <w:bottom w:w="28" w:type="dxa"/>
          <w:right w:w="28" w:type="dxa"/>
        </w:tblCellMar>
      </w:tblPr>
      <w:tblGrid>
        <w:gridCol w:w="499"/>
        <w:gridCol w:w="440"/>
        <w:gridCol w:w="441"/>
        <w:gridCol w:w="519"/>
        <w:gridCol w:w="519"/>
        <w:gridCol w:w="521"/>
        <w:gridCol w:w="109"/>
        <w:gridCol w:w="109"/>
        <w:gridCol w:w="109"/>
        <w:gridCol w:w="239"/>
        <w:gridCol w:w="239"/>
        <w:gridCol w:w="241"/>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Re-Executed:</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Rhodri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Adviser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02235"/>
                <wp:effectExtent l="0" t="0" r="0" b="0"/>
                <wp:wrapNone/>
                <wp:docPr id="77" name="Frame7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15</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Annexure 2</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Statutory employment protection claims</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Employment Rights Act and related rights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100 and protection from suffering detriment under section 44 of the Employment Rights Act 1996 (health and safety cases).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104B and protection from suffering detriment under section 47D of the Employment Rights Act 1996 (tax credits).</w:t>
      </w:r>
    </w:p>
    <w:p>
      <w:pPr>
        <w:pStyle w:val="TextBody"/>
        <w:bidi w:val="0"/>
        <w:spacing w:lineRule="auto" w:line="288" w:before="0" w:after="180"/>
        <w:jc w:val="both"/>
        <w:rPr/>
      </w:pPr>
      <w:r>
        <w:rPr>
          <w:rFonts w:ascii="Times New Roman;sans-serif" w:hAnsi="Times New Roman;sans-serif"/>
          <w:b w:val="false"/>
          <w:color w:val="000000"/>
          <w:sz w:val="22"/>
        </w:rPr>
        <w:t>Automatic unfair dismissal under sections 94 and 105 of the Employment Rights Act 1996 (selection for redundancy on prohibited grounds</w:t>
      </w:r>
      <w:r>
        <w:rPr>
          <w:rFonts w:ascii="Times New Roman;sans-serif" w:hAnsi="Times New Roman;sans-serif"/>
          <w:b w:val="false"/>
          <w:color w:val="000000"/>
          <w:sz w:val="14"/>
        </w:rPr>
        <w:t>1</w:t>
      </w:r>
      <w:r>
        <w:rPr>
          <w:rFonts w:ascii="Times New Roman;sans-serif" w:hAnsi="Times New Roman;sans-serif"/>
          <w:b w:val="false"/>
          <w:color w:val="000000"/>
          <w:sz w:val="22"/>
        </w:rPr>
        <w:t>).</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regulation 7 of the Transfer of Undertakings (Protection of Employment) Regulations 2006.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and 98B and protection from suffering detriment under section 43M of the Employment Rights Act 1996 (jury service)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104D of the Employment Rights Act 1996 (pension enrolment)</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Statement of employment particulars and itemised pay statement under Part I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public duties under section 50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to look for work and arrange training under sections 52 and 53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Suspension from work under Part VII of the Employment Rights Act 1996.</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Minimum notice under Part IX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Written statement of reasons for dismissal under section 92 of the Employment Rights Act 1996.</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Statutory redundancy payment under section 135 of the Employment Rights Act 1996.</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Guarantee payments under section 34 of the Employment Rights Act 1996.</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Working Time and National Minimum Wage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Working time rights which can be enforced in the Employment Tribunal under Regulation 30 of the Working Time Regulations 1998.</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101A and protection from suffering detriment under section 45A Employment Rights Act 1996 (working time cases).</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Blacklisting</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104F of the Employment Rights Act 1996 (blacklists) and protection from suffering detriment under regulation 9 of the Employment Relations Act 1999 (Blacklists) Regulations 2010.</w:t>
      </w:r>
    </w:p>
    <w:p>
      <w:pPr>
        <w:pStyle w:val="TextBody"/>
        <w:bidi w:val="0"/>
        <w:spacing w:lineRule="auto" w:line="288"/>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Prohibited grounds reflect the grounds on which dismissal is automatically unfair and include working time cases, protected disclosures, assertion of statutory rights etc.</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02235"/>
                <wp:effectExtent l="0" t="0" r="0" b="0"/>
                <wp:wrapNone/>
                <wp:docPr id="78" name="Frame7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16</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Pensions Enrolment</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sections 55 and 56 of the Pensions Act 2008.</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Family Friendly</w:t>
      </w:r>
    </w:p>
    <w:p>
      <w:pPr>
        <w:pStyle w:val="TextBody"/>
        <w:bidi w:val="0"/>
        <w:spacing w:lineRule="auto" w:line="288" w:before="0" w:after="180"/>
        <w:jc w:val="left"/>
        <w:rPr>
          <w:rFonts w:ascii="Times New Roman;sans-serif" w:hAnsi="Times New Roman;sans-serif"/>
          <w:b/>
          <w:i/>
          <w:color w:val="000000"/>
          <w:sz w:val="22"/>
        </w:rPr>
      </w:pPr>
      <w:r>
        <w:rPr>
          <w:rFonts w:ascii="Times New Roman;sans-serif" w:hAnsi="Times New Roman;sans-serif"/>
          <w:b/>
          <w:i/>
          <w:color w:val="000000"/>
          <w:sz w:val="22"/>
        </w:rPr>
        <w:t>Maternity</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Breach of a maternity equality clause under sections 73 and 74 Equality Act 2010 or breach of a maternity equality rule under section 75 Equality Act 2010.</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Maternity leave under Part VIII of the Employment Rights Act 1996 and the Maternity and Parental Leave etc Regulations 1999.</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Time off for ante-natal care under sections 55 and 56 of the Employment Rights Act 1996.</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and regulation 20 of the Maternity and Parental Leave etc Regulations 1999.</w:t>
      </w:r>
    </w:p>
    <w:p>
      <w:pPr>
        <w:pStyle w:val="TextBody"/>
        <w:bidi w:val="0"/>
        <w:spacing w:lineRule="auto" w:line="288"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(leave for family and domestic reasons) and regulation 19 of the Maternity and Parental Leave etc Regulations 1999.</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Time off to accompany a woman to attend ante-natal care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to accompany a woman to ante-natal care under section 57ZE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Paternity</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Paternity leave under Part VIII of the Employment Rights Act 1996, Paternity and Adoption Leave Regulations 2002 and the Additional Paternity Leave Regulations 2010.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regulation 29 of the Paternity and Adoption Leave Regulations 2002 and Regulation 34 of the Additional Paternity Leave Regulations 2010.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(leave for family and domestic reasons), regulation 28 of the Paternity and Adoption Leave Regulations 2002 and regulation 33 of the Additional Paternity Leave Regulations 2010.</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Parental Leave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Parental leave under Part VIII of the Employment Rights Act 1996 and the Maternity and Parental Leave etc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and regulation 20 of the Maternity and Parental Leave etc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(leave for family and domestic reasons) and regulation 19 of the Maternity and Parental Leave etc Regulations 1999.</w:t>
      </w:r>
    </w:p>
    <w:p>
      <w:pPr>
        <w:pStyle w:val="TextBody"/>
        <w:bidi w:val="0"/>
        <w:spacing w:lineRule="auto" w:line="328" w:before="0" w:after="180"/>
        <w:jc w:val="both"/>
        <w:rPr>
          <w:rFonts w:ascii="Times New Roman;sans-serif" w:hAnsi="Times New Roman;sans-serif"/>
          <w:b/>
          <w:i/>
          <w:color w:val="000000"/>
          <w:sz w:val="22"/>
        </w:rPr>
      </w:pPr>
      <w:r>
        <w:rPr>
          <w:rFonts w:ascii="Times New Roman;sans-serif" w:hAnsi="Times New Roman;sans-serif"/>
          <w:b/>
          <w:i/>
          <w:color w:val="000000"/>
          <w:sz w:val="22"/>
        </w:rPr>
        <w:t>Shared Parental Leave</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02235"/>
                <wp:effectExtent l="0" t="0" r="0" b="0"/>
                <wp:wrapNone/>
                <wp:docPr id="79" name="Frame7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17</w:t>
                      </w:r>
                    </w:p>
                  </w:txbxContent>
                </v:textbox>
                <w10:wrap type="none"/>
              </v:rect>
            </w:pict>
          </mc:Fallback>
        </mc:AlternateContent>
      </w:r>
    </w:p>
    <w:p>
      <w:pPr>
        <w:pStyle w:val="TextBody"/>
        <w:bidi w:val="0"/>
        <w:spacing w:before="0" w:after="180"/>
        <w:jc w:val="right"/>
        <w:rPr/>
      </w:pPr>
      <w:r>
        <w:rPr/>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Shared parental leave under Part VIII of the Employment Rights Act 1996 and the Shared Parental Leave Regulations 2014.</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and regulation 43 of the Shared Parental Leave Regulations 2014.</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(leave for family and domestic reasons) and under regulation 42 of the Shared Parental Leave Regulations 2014.</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Flexible Working</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Request for flexible working under section 80F of the Employment Rights Act 1996 (statutory right to request contract variation).</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104C and protection from suffering detriment under section 47E of the Employment Rights Act 1996 (flexible working).</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Time off for dependents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dependents under section 57A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and regulation 20 of the Maternity and Parental Leave etc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(leave for family and domestic reasons) and regulation 19 of the Maternity and Parental Leave etc Regulations 1999.</w:t>
      </w:r>
    </w:p>
    <w:p>
      <w:pPr>
        <w:pStyle w:val="TextBody"/>
        <w:bidi w:val="0"/>
        <w:spacing w:lineRule="auto" w:line="288" w:before="0" w:after="180"/>
        <w:jc w:val="both"/>
        <w:rPr>
          <w:rFonts w:ascii="Times New Roman;sans-serif" w:hAnsi="Times New Roman;sans-serif"/>
          <w:b/>
          <w:i/>
          <w:color w:val="000000"/>
          <w:sz w:val="22"/>
        </w:rPr>
      </w:pPr>
      <w:r>
        <w:rPr>
          <w:rFonts w:ascii="Times New Roman;sans-serif" w:hAnsi="Times New Roman;sans-serif"/>
          <w:b/>
          <w:i/>
          <w:color w:val="000000"/>
          <w:sz w:val="22"/>
        </w:rPr>
        <w:t>Parental Bereavement Leave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Parental bereavement leave under Part VIII of the Employment Rights Act 1996 and the Parental Bereavement Leave Regulations 2020.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99 of the Employment Rights Act 1996 (leave for family reasons) and Regulation 13 of the Parental Bereavement Leave Regulations 2020.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section 47C of the Employment Rights Act 1996 and Regulation 12 of the Parental Bereavement Leave Regulations 2020.</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Discrimination &amp; Harassment</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disability</w:t>
      </w:r>
      <w:r>
        <w:rPr>
          <w:rFonts w:ascii="Times New Roman;sans-serif" w:hAnsi="Times New Roman;sans-serif"/>
          <w:b w:val="false"/>
          <w:color w:val="000000"/>
          <w:sz w:val="22"/>
        </w:rPr>
        <w:t>: sections 39, 40 and 108 (discrimination, harassment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race</w:t>
      </w:r>
      <w:r>
        <w:rPr>
          <w:rFonts w:ascii="Times New Roman;sans-serif" w:hAnsi="Times New Roman;sans-serif"/>
          <w:b w:val="false"/>
          <w:color w:val="000000"/>
          <w:sz w:val="22"/>
        </w:rPr>
        <w:t>: sections 39, 40 and 108 (discrimination, harassment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religion and belief</w:t>
      </w:r>
      <w:r>
        <w:rPr>
          <w:rFonts w:ascii="Times New Roman;sans-serif" w:hAnsi="Times New Roman;sans-serif"/>
          <w:b w:val="false"/>
          <w:color w:val="000000"/>
          <w:sz w:val="22"/>
        </w:rPr>
        <w:t>: sections 39, 40 and 108 (discrimination, harassment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02235"/>
                <wp:effectExtent l="0" t="0" r="0" b="0"/>
                <wp:wrapNone/>
                <wp:docPr id="80" name="Frame8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18</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sex</w:t>
      </w:r>
      <w:r>
        <w:rPr>
          <w:rFonts w:ascii="Times New Roman;sans-serif" w:hAnsi="Times New Roman;sans-serif"/>
          <w:b w:val="false"/>
          <w:color w:val="000000"/>
          <w:sz w:val="22"/>
        </w:rPr>
        <w:t>: sections 39, 40 and 108 (discrimination, harassment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sexual orientation</w:t>
      </w:r>
      <w:r>
        <w:rPr>
          <w:rFonts w:ascii="Times New Roman;sans-serif" w:hAnsi="Times New Roman;sans-serif"/>
          <w:b w:val="false"/>
          <w:color w:val="000000"/>
          <w:sz w:val="22"/>
        </w:rPr>
        <w:t>: sections 39, 40 and 108 (discrimination, harassment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pregnancy and maternity</w:t>
      </w:r>
      <w:r>
        <w:rPr>
          <w:rFonts w:ascii="Times New Roman;sans-serif" w:hAnsi="Times New Roman;sans-serif"/>
          <w:b w:val="false"/>
          <w:color w:val="000000"/>
          <w:sz w:val="22"/>
        </w:rPr>
        <w:t>: sections 39 and 108 (discrimination and victimisation); section 61 (breach of a non 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pPr>
      <w:r>
        <w:rPr>
          <w:rFonts w:ascii="Times New Roman;sans-serif" w:hAnsi="Times New Roman;sans-serif"/>
          <w:b w:val="false"/>
          <w:color w:val="000000"/>
          <w:sz w:val="22"/>
        </w:rPr>
        <w:t xml:space="preserve">The following claims under the Equality Act 2010 in relation to </w:t>
      </w:r>
      <w:r>
        <w:rPr>
          <w:rFonts w:ascii="Times New Roman;sans-serif" w:hAnsi="Times New Roman;sans-serif"/>
          <w:b/>
          <w:color w:val="000000"/>
          <w:sz w:val="22"/>
        </w:rPr>
        <w:t>marriage and civil partnership</w:t>
      </w:r>
      <w:r>
        <w:rPr>
          <w:rFonts w:ascii="Times New Roman;sans-serif" w:hAnsi="Times New Roman;sans-serif"/>
          <w:b w:val="false"/>
          <w:color w:val="000000"/>
          <w:sz w:val="22"/>
        </w:rPr>
        <w:t>: sections 39 and 108 (discrimination and victimisation); section 61 (breach of a non-discrimination rule); section 110 (contraventions by employees); section 111 (instructing causing or inducing contraventions) and section 112 (knowingly helping a contravention).</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Equal pay under sections 66 and 67 Equality Act 2010 or relying on Article 157 of the Treaty on the Functioning of the European Union and the Equal Treatment Directive (Recast) (2006/54/EC) (including reliance on those provisions as part of retained EU law within the meaning of section 6(7) of the European Union (Withdrawal) Act 2018).</w:t>
      </w:r>
    </w:p>
    <w:p>
      <w:pPr>
        <w:pStyle w:val="TextBody"/>
        <w:bidi w:val="0"/>
        <w:spacing w:lineRule="auto" w:line="288" w:before="0" w:after="180"/>
        <w:jc w:val="both"/>
        <w:rPr/>
      </w:pPr>
      <w:r>
        <w:rPr>
          <w:rFonts w:ascii="Times New Roman;sans-serif" w:hAnsi="Times New Roman;sans-serif"/>
          <w:b w:val="false"/>
          <w:color w:val="000000"/>
          <w:sz w:val="22"/>
        </w:rPr>
        <w:t>Victimisation because of a relevant pay disclosure under sections</w:t>
      </w:r>
      <w:r>
        <w:rPr>
          <w:color w:val="000000"/>
        </w:rPr>
        <w:t xml:space="preserve"> </w:t>
      </w:r>
      <w:r>
        <w:rPr>
          <w:rFonts w:ascii="Times New Roman;sans-serif" w:hAnsi="Times New Roman;sans-serif"/>
          <w:b w:val="false"/>
          <w:color w:val="000000"/>
          <w:sz w:val="22"/>
        </w:rPr>
        <w:t>39 and 77 Equality Act 2010.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Less favourable treatment on the grounds of being a part-time worker and right to receive written statement of reasons for less favourable treatment under regulations 5 and 6 of the Part-time Workers (Prevention of Less Favourable Treatment) Regulations 2000.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regulation 7 of the Part-Time Workers (Prevention of Less Favourable Treatment) Regulations 2000.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a detriment under regulation 7 of the Part-time Workers (Prevention of Less Favourable Treatment) Regulations 2000.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Less favourable treatment on the grounds of being a fixed-term employee, right to receive written statement of reasons for less favourable treatment and successive fixed-term contracts under regulations 3, 5, 8 and 9 of the Fixed-Term Employees (Prevention of Less Favourable Treatment) Regulations 2002.</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regulation 6 of the Fixed-Term Employees (Prevention of Less Favourable Treatment) Regulations 2002.</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regulation 6 of the Fixed-Term Employees (Prevention of Less Favourable Treatment) Regulations 2002.</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Harassment under section 3 of the Protection from Harassment Act 1997 and any other claim for which the Company may be vicariously liable for the acts of its employees under statute and/or tort.</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Collective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sections 94 and 103 and protection from suffering detriment under section 47 of the Employment Rights Act 1996 (employee representatives).</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02235"/>
                <wp:effectExtent l="0" t="0" r="0" b="0"/>
                <wp:wrapNone/>
                <wp:docPr id="81" name="Frame8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19</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regulation 30 the Information and Consultation of Employees Regulations 2004.</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regulation 28 of the Transnational Information and Consultation of Employees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Automatic unfair dismissal under section 94 of the Employment Rights Act 1996 and paragraph 5 of the Schedule to the Occupational and Personal Pension Schemes (Consultation by Employers and Miscellaneous Amendment) Regulations 2006.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regulation 31 of the Transnational Information and Consultation of Employees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regulation 32 of the Information and Consultation of Employees Regulations 2004.</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claim relating to employee involvement under Part 3 of the European Public Limited-Liability Company Regulations 2004 or any claim under the European Public Limited-Liability company (Employee Involvement) (Great Britain) Regulations 2009.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under Regulation 43 of the Companies (Cross-Border Mergers) Regulations 2007.</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unfair dismissal or detriment under Regulations 46, 47, 49 and 50 of the Companies (Cross-Border Mergers) Regulations 2007.</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suffering detriment under paragraph 7 of the Schedule to the Occupational and Personal Pension Schemes (Consultation by Employers and Miscellaneous Amendment) Regulations 2006.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employee representatives under sections 61 and 62 of the Employment Rights Act 1996.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members of a European Works Council etc under regulations 25 and 26 of the Transnational Information and Consultation of Employees Regulations 1999.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information and consultation representatives etc under regulations 27 and 28 of the Information and Consultation of Employees Regulations 2004.</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consulted representatives under regulations 2 and 3 of the Occupational and Personal Pension Schemes (Consultation by Employers and Miscellaneous Amendment) Regulations 2006.</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claim in respect of the obligation to elect and consult appropriate representatives or any claim in respect of a protective award, including a failure or pay a protective award in whole or in part under the Trade Union and Labour Relations (Consolidation) Act 1992.</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claim in respect of the obligations to elect appropriate representatives or any entitlement to compensation under the Transfer of Undertakings (Protection of Employment) Regulations 2006.</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rights under the Trade Unions and Labour Relations (Consolidation) Act 1992 (TULRCA):</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Deductions of unauthorised subscriptions under section 68.</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Training consultation under section 70B.</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Refusal of employment, action short of dismissal, dismissal and selection for redundancy under sections 137, 146, 152 and 153.</w:t>
      </w: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02235"/>
                <wp:effectExtent l="0" t="0" r="0" b="0"/>
                <wp:wrapNone/>
                <wp:docPr id="82" name="Frame8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20</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Time off for carrying out trade union duties, for learning representatives or trade union activities under sections 168, 168A, 169 and 170.</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Protection from dismissal in relation to industrial action under sections 237, 238 and 239.</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Inducement relating to union membership or activities or collective bargaining under sections 145A, 145B.</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Right not to be excluded or expelled from a union under section 174.</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Right not to be subjected to a detriment under s156 of Schedule A1.</w:t>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Obligations under the Human Rights Act 1998.</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Claims arising as a consequence of the United Kingdom's membership or former membership of the European Union, or withdrawal therefrom, including any claim under retained EU law within the meaning of section 6(7) of the European Union (Withdrawal) Act 2018.</w:t>
      </w:r>
    </w:p>
    <w:p>
      <w:pPr>
        <w:pStyle w:val="TextBody"/>
        <w:bidi w:val="0"/>
        <w:spacing w:lineRule="auto" w:line="288" w:before="0" w:after="180"/>
        <w:jc w:val="both"/>
        <w:rPr/>
      </w:pPr>
      <w:r>
        <w:rPr>
          <w:rFonts w:ascii="Times New Roman;sans-serif" w:hAnsi="Times New Roman;sans-serif"/>
          <w:b w:val="false"/>
          <w:color w:val="000000"/>
          <w:sz w:val="22"/>
        </w:rPr>
        <w:t>Any claim under and/or relating to data protection legislation including the EU General Data Protection Regulation (Regulation (EU) 2016/679) (GDPR), the Data Protection Act 2018</w:t>
      </w:r>
      <w:r>
        <w:rPr>
          <w:color w:val="000000"/>
        </w:rPr>
        <w:t xml:space="preserve"> </w:t>
      </w:r>
      <w:r>
        <w:rPr>
          <w:rFonts w:ascii="Times New Roman;sans-serif" w:hAnsi="Times New Roman;sans-serif"/>
          <w:b w:val="false"/>
          <w:color w:val="000000"/>
          <w:sz w:val="22"/>
        </w:rPr>
        <w:t>(DPA 2018), the UK GDPR within the meaning of sections 3(10) and 205(4) of the DPA 2018,</w:t>
      </w:r>
      <w:r>
        <w:rPr>
          <w:color w:val="000000"/>
        </w:rPr>
        <w:t xml:space="preserve"> </w:t>
      </w:r>
      <w:r>
        <w:rPr>
          <w:rFonts w:ascii="Times New Roman;sans-serif" w:hAnsi="Times New Roman;sans-serif"/>
          <w:b w:val="false"/>
          <w:color w:val="000000"/>
          <w:sz w:val="22"/>
        </w:rPr>
        <w:t>and any other implementation of the GDPR in local law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516"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WITHOUT PREJUDICE AND SUBJECT TO CONTRACT</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2235"/>
                <wp:effectExtent l="0" t="0" r="0" b="0"/>
                <wp:wrapNone/>
                <wp:docPr id="83" name="Frame8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Annexure 3</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Terms of agreed reference</w:t>
      </w:r>
    </w:p>
    <w:p>
      <w:pPr>
        <w:pStyle w:val="TextBody"/>
        <w:bidi w:val="0"/>
        <w:spacing w:before="0" w:after="180"/>
        <w:jc w:val="left"/>
        <w:rPr/>
      </w:pPr>
      <w:r>
        <w:rPr/>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Dear [NAME],</w:t>
      </w:r>
    </w:p>
    <w:p>
      <w:pPr>
        <w:pStyle w:val="TextBody"/>
        <w:bidi w:val="0"/>
        <w:spacing w:lineRule="auto" w:line="288" w:before="0" w:after="180"/>
        <w:jc w:val="both"/>
        <w:rPr/>
      </w:pPr>
      <w:r>
        <w:rPr>
          <w:rFonts w:ascii="Times New Roman;sans-serif" w:hAnsi="Times New Roman;sans-serif"/>
          <w:b w:val="false"/>
          <w:color w:val="000000"/>
          <w:sz w:val="22"/>
        </w:rPr>
        <w:t>Confirmation of Employment –</w:t>
      </w:r>
      <w:r>
        <w:rPr>
          <w:color w:val="000000"/>
        </w:rPr>
        <w:t xml:space="preserve"> </w:t>
      </w:r>
      <w:r>
        <w:rPr>
          <w:rFonts w:ascii="Times New Roman;sans-serif" w:hAnsi="Times New Roman;sans-serif"/>
          <w:b/>
          <w:color w:val="000000"/>
          <w:sz w:val="22"/>
        </w:rPr>
        <w:t>Matthew Austin</w:t>
      </w:r>
    </w:p>
    <w:p>
      <w:pPr>
        <w:pStyle w:val="TextBody"/>
        <w:bidi w:val="0"/>
        <w:spacing w:lineRule="auto" w:line="288" w:before="0" w:after="180"/>
        <w:jc w:val="both"/>
        <w:rPr/>
      </w:pPr>
      <w:r>
        <w:rPr>
          <w:rFonts w:ascii="Times New Roman;sans-serif" w:hAnsi="Times New Roman;sans-serif"/>
          <w:b w:val="false"/>
          <w:color w:val="000000"/>
          <w:sz w:val="22"/>
        </w:rPr>
        <w:t xml:space="preserve">I can confirm that </w:t>
      </w:r>
      <w:r>
        <w:rPr>
          <w:rFonts w:ascii="Times New Roman;sans-serif" w:hAnsi="Times New Roman;sans-serif"/>
          <w:b/>
          <w:color w:val="000000"/>
          <w:sz w:val="22"/>
        </w:rPr>
        <w:t>Matthew Austin</w:t>
      </w:r>
      <w:r>
        <w:rPr>
          <w:color w:val="000000"/>
        </w:rPr>
        <w:t xml:space="preserve"> </w:t>
      </w:r>
      <w:r>
        <w:rPr>
          <w:rFonts w:ascii="Times New Roman;sans-serif" w:hAnsi="Times New Roman;sans-serif"/>
          <w:b w:val="false"/>
          <w:color w:val="000000"/>
          <w:sz w:val="22"/>
        </w:rPr>
        <w:t>was employed on a permanent basis by Hasbro European Services</w:t>
      </w:r>
      <w:r>
        <w:rPr>
          <w:color w:val="000000"/>
        </w:rPr>
        <w:t xml:space="preserve"> </w:t>
      </w:r>
      <w:r>
        <w:rPr>
          <w:rFonts w:ascii="Times New Roman;sans-serif" w:hAnsi="Times New Roman;sans-serif"/>
          <w:b/>
          <w:color w:val="000000"/>
          <w:sz w:val="22"/>
        </w:rPr>
        <w:t xml:space="preserve">(the "Company") </w:t>
      </w:r>
      <w:r>
        <w:rPr>
          <w:rFonts w:ascii="Times New Roman;sans-serif" w:hAnsi="Times New Roman;sans-serif"/>
          <w:b w:val="false"/>
          <w:color w:val="000000"/>
          <w:sz w:val="22"/>
        </w:rPr>
        <w:t xml:space="preserve">from 8 October 2019 until 31 March 2025, most recently in the role of Chief Revenue Officer. </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This reference is given in the strictest confidence and without legal liability on the part of the Company or its employees.</w:t>
      </w: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Yours faithfully, </w: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Position</w:t>
      </w:r>
    </w:p>
    <w:p>
      <w:pPr>
        <w:pStyle w:val="TextBody"/>
        <w:bidi w:val="0"/>
        <w:spacing w:lineRule="auto" w:line="32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For and on behalf of Company</w:t>
      </w:r>
    </w:p>
    <w:p>
      <w:pPr>
        <w:pStyle w:val="TextBody"/>
        <w:bidi w:val="0"/>
        <w:spacing w:before="0" w:after="180"/>
        <w:jc w:val="left"/>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2235"/>
                <wp:effectExtent l="0" t="0" r="0" b="0"/>
                <wp:wrapNone/>
                <wp:docPr id="84" name="Frame8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color w:val="000000"/>
                          <w:sz w:val="14"/>
                        </w:rPr>
                      </w:pPr>
                      <w:r>
                        <w:rPr>
                          <w:rFonts w:ascii="Times New Roman;sans-serif" w:hAnsi="Times New Roman;sans-serif"/>
                          <w:b/>
                          <w:color w:val="000000"/>
                          <w:sz w:val="14"/>
                        </w:rPr>
                        <w:t>22</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 Cocks, certify that: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Cocks</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Gina Goetter, certify that: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Hasbro, Inc.;</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tbl>
      <w:tblPr>
        <w:tblW w:w="4887" w:type="dxa"/>
        <w:jc w:val="center"/>
        <w:tblInd w:w="0" w:type="dxa"/>
        <w:tblLayout w:type="fixed"/>
        <w:tblCellMar>
          <w:top w:w="28" w:type="dxa"/>
          <w:left w:w="28" w:type="dxa"/>
          <w:bottom w:w="28" w:type="dxa"/>
          <w:right w:w="28" w:type="dxa"/>
        </w:tblCellMar>
      </w:tblPr>
      <w:tblGrid>
        <w:gridCol w:w="124"/>
        <w:gridCol w:w="109"/>
        <w:gridCol w:w="109"/>
        <w:gridCol w:w="1331"/>
        <w:gridCol w:w="1331"/>
        <w:gridCol w:w="1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Gina Goetter</w:t>
              <w:br/>
              <w:t>Chief Financial Officer and Chief Operating Officer</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CHAPTER 63 OF TITLE 18, UNITED STATES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March 30,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Company's 10-Q Report fairly presents, in all material respects, the financial condition and results of operations of the Company.</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Chris Cocks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 Cocks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6, 2025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CHAPTER 63 OF TITLE 18, UNITED STATES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quarter ended March 30, 2025, as filed with the Securities and Exchange Commission (the “10-Q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Company's 10-Q Report fairly presents, in all material respects, the financial condition and results of operations of the Company.</w:t>
      </w:r>
    </w:p>
    <w:tbl>
      <w:tblPr>
        <w:tblW w:w="5862" w:type="dxa"/>
        <w:jc w:val="center"/>
        <w:tblInd w:w="0" w:type="dxa"/>
        <w:tblLayout w:type="fixed"/>
        <w:tblCellMar>
          <w:top w:w="28" w:type="dxa"/>
          <w:left w:w="28" w:type="dxa"/>
          <w:bottom w:w="28" w:type="dxa"/>
          <w:right w:w="28" w:type="dxa"/>
        </w:tblCellMar>
      </w:tblPr>
      <w:tblGrid>
        <w:gridCol w:w="124"/>
        <w:gridCol w:w="109"/>
        <w:gridCol w:w="109"/>
        <w:gridCol w:w="1614"/>
        <w:gridCol w:w="1614"/>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Gina Goetter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Gina Goetter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of Hasbro, Inc.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6, 2025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080/000004608000000013/0000046080-00-000013-0002.txt" TargetMode="External"/><Relationship Id="rId3" Type="http://schemas.openxmlformats.org/officeDocument/2006/relationships/hyperlink" Target="https://www.sec.gov/Archives/edgar/data/46080/000004608000000013/0000046080-00-000013-0005.txt" TargetMode="External"/><Relationship Id="rId4" Type="http://schemas.openxmlformats.org/officeDocument/2006/relationships/hyperlink" Target="https://www.sec.gov/Archives/edgar/data/46080/000004608003000022/ex3-3q203.htm" TargetMode="External"/><Relationship Id="rId5" Type="http://schemas.openxmlformats.org/officeDocument/2006/relationships/hyperlink" Target="https://www.sec.gov/Archives/edgar/data/46080/000004608022000109/hasbro-secondamendedandres.htm" TargetMode="External"/><Relationship Id="rId6" Type="http://schemas.openxmlformats.org/officeDocument/2006/relationships/hyperlink" Target="https://www.sec.gov/Archives/edgar/data/46080/000004608000000013/0000046080-00-000013-0003.txt" TargetMode="External"/><Relationship Id="rId7" Type="http://schemas.openxmlformats.org/officeDocument/2006/relationships/hyperlink" Target="https://www.sec.gov/Archives/edgar/data/46080/000004608000000013/0000046080-00-000013-0004.txt" TargetMode="External"/><Relationship Id="rId8" Type="http://schemas.openxmlformats.org/officeDocument/2006/relationships/hyperlink" Target="https://www.sec.gov/Archives/edgar/data/46080/0000950172-98-000702.txt" TargetMode="External"/><Relationship Id="rId9" Type="http://schemas.openxmlformats.org/officeDocument/2006/relationships/hyperlink" Target="https://www.sec.gov/Archives/edgar/data/46080/000004608000000003/0000046080-00-000003.txt" TargetMode="External"/><Relationship Id="rId10" Type="http://schemas.openxmlformats.org/officeDocument/2006/relationships/hyperlink" Target="https://www.sec.gov/Archives/edgar/data/46080/000095013507005709/b66906hbexv4w1.htm" TargetMode="External"/><Relationship Id="rId11" Type="http://schemas.openxmlformats.org/officeDocument/2006/relationships/hyperlink" Target="https://www.sec.gov/Archives/edgar/data/46080/000095013509003948/b75462hiexv4w1.htm" TargetMode="External"/><Relationship Id="rId12" Type="http://schemas.openxmlformats.org/officeDocument/2006/relationships/hyperlink" Target="https://www.sec.gov/Archives/edgar/data/46080/000095012310023420/b80058exv4w1.htm" TargetMode="External"/><Relationship Id="rId13" Type="http://schemas.openxmlformats.org/officeDocument/2006/relationships/hyperlink" Target="https://www.sec.gov/Archives/edgar/data/46080/000119312514196726/d727293dex41.htm" TargetMode="External"/><Relationship Id="rId14" Type="http://schemas.openxmlformats.org/officeDocument/2006/relationships/hyperlink" Target="https://www.sec.gov/Archives/edgar/data/46080/000119312517283854/d456734dex41.htm" TargetMode="External"/><Relationship Id="rId15" Type="http://schemas.openxmlformats.org/officeDocument/2006/relationships/hyperlink" Target="https://www.sec.gov/Archives/edgar/data/46080/000119312519295544/d822953dex12.htm" TargetMode="External"/><Relationship Id="rId16" Type="http://schemas.openxmlformats.org/officeDocument/2006/relationships/hyperlink" Target="https://www.sec.gov/Archives/edgar/data/46080/000119312524138322/d838682dex4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34561</Words>
  <Characters>188410</Characters>
  <CharactersWithSpaces>221481</CharactersWithSpaces>
  <Paragraphs>3163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