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360" w:right="1460" w:hanging="4136"/>
        <w:spacing w:after="0" w:line="383" w:lineRule="auto"/>
        <w:tabs>
          <w:tab w:leader="none" w:pos="6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1-6682</w:t>
      </w:r>
    </w:p>
    <w:p>
      <w:pPr>
        <w:ind w:left="4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HASBRO,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05-0155090</w:t>
            </w:r>
          </w:p>
        </w:tc>
      </w:tr>
      <w:tr>
        <w:trPr>
          <w:trHeight w:val="257"/>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1"/>
        </w:trPr>
        <w:tc>
          <w:tcPr>
            <w:tcW w:w="5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620" w:type="dxa"/>
            <w:vAlign w:val="bottom"/>
          </w:tcPr>
          <w:p>
            <w:pPr>
              <w:spacing w:after="0"/>
              <w:rPr>
                <w:sz w:val="24"/>
                <w:szCs w:val="24"/>
                <w:color w:val="auto"/>
              </w:rPr>
            </w:pPr>
          </w:p>
        </w:tc>
      </w:tr>
      <w:tr>
        <w:trPr>
          <w:trHeight w:val="257"/>
        </w:trPr>
        <w:tc>
          <w:tcPr>
            <w:tcW w:w="53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6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r>
      <w:tr>
        <w:trPr>
          <w:trHeight w:val="256"/>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 431-8697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HAS</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387" w:lineRule="exact"/>
        <w:rPr>
          <w:sz w:val="24"/>
          <w:szCs w:val="24"/>
          <w:color w:val="auto"/>
        </w:rPr>
      </w:pPr>
    </w:p>
    <w:p>
      <w:pPr>
        <w:jc w:val="both"/>
        <w:ind w:right="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7" w:lineRule="exact"/>
        <w:rPr>
          <w:sz w:val="24"/>
          <w:szCs w:val="24"/>
          <w:color w:val="auto"/>
        </w:rPr>
      </w:pPr>
    </w:p>
    <w:p>
      <w:pPr>
        <w:ind w:right="300" w:firstLine="56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27" w:lineRule="exact"/>
        <w:rPr>
          <w:sz w:val="24"/>
          <w:szCs w:val="24"/>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320"/>
              <w:spacing w:after="0"/>
              <w:rPr>
                <w:sz w:val="20"/>
                <w:szCs w:val="20"/>
                <w:color w:val="auto"/>
              </w:rPr>
            </w:pPr>
            <w:r>
              <w:rPr>
                <w:rFonts w:ascii="Wingdings" w:cs="Wingdings" w:eastAsia="Wingdings" w:hAnsi="Wingdings"/>
                <w:sz w:val="18"/>
                <w:szCs w:val="18"/>
                <w:b w:val="1"/>
                <w:bCs w:val="1"/>
                <w:color w:val="auto"/>
              </w:rPr>
              <w:t>x</w:t>
            </w: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4" w:lineRule="exact"/>
        <w:rPr>
          <w:sz w:val="24"/>
          <w:szCs w:val="24"/>
          <w:color w:val="auto"/>
        </w:rPr>
      </w:pPr>
    </w:p>
    <w:p>
      <w:pPr>
        <w:ind w:left="5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22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par value $.50 per share, outstanding as of April 25, 2024 was 139,215,964.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12529"/>
        </w:rPr>
        <w:t>Hasbro,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 the Quarter Ended March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80" w:type="dxa"/>
            <w:vAlign w:val="bottom"/>
            <w:shd w:val="clear" w:color="auto" w:fill="CCEEFF"/>
          </w:tcPr>
          <w:p>
            <w:pPr>
              <w:spacing w:after="0"/>
              <w:rPr>
                <w:sz w:val="17"/>
                <w:szCs w:val="17"/>
                <w:color w:val="auto"/>
              </w:rPr>
            </w:pPr>
          </w:p>
        </w:tc>
        <w:tc>
          <w:tcPr>
            <w:tcW w:w="15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6380" w:type="dxa"/>
            <w:vAlign w:val="bottom"/>
            <w:gridSpan w:val="11"/>
            <w:shd w:val="clear" w:color="auto" w:fill="CCEEFF"/>
          </w:tcPr>
          <w:p>
            <w:pPr>
              <w:spacing w:after="0"/>
              <w:rPr>
                <w:sz w:val="17"/>
                <w:szCs w:val="17"/>
                <w:color w:val="auto"/>
              </w:rPr>
            </w:pPr>
          </w:p>
        </w:tc>
        <w:tc>
          <w:tcPr>
            <w:tcW w:w="13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80" w:type="dxa"/>
            <w:vAlign w:val="bottom"/>
          </w:tcPr>
          <w:p>
            <w:pPr>
              <w:spacing w:after="0"/>
              <w:rPr>
                <w:sz w:val="16"/>
                <w:szCs w:val="16"/>
                <w:color w:val="auto"/>
              </w:rPr>
            </w:pPr>
          </w:p>
        </w:tc>
        <w:tc>
          <w:tcPr>
            <w:tcW w:w="15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6380" w:type="dxa"/>
            <w:vAlign w:val="bottom"/>
            <w:gridSpan w:val="11"/>
          </w:tcPr>
          <w:p>
            <w:pPr>
              <w:spacing w:after="0"/>
              <w:rPr>
                <w:sz w:val="16"/>
                <w:szCs w:val="16"/>
                <w:color w:val="auto"/>
              </w:rPr>
            </w:pPr>
          </w:p>
        </w:tc>
        <w:tc>
          <w:tcPr>
            <w:tcW w:w="1380" w:type="dxa"/>
            <w:vAlign w:val="bottom"/>
            <w:gridSpan w:val="3"/>
          </w:tcPr>
          <w:p>
            <w:pPr>
              <w:ind w:left="120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960" w:type="dxa"/>
            <w:vAlign w:val="bottom"/>
            <w:gridSpan w:val="18"/>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380" w:type="dxa"/>
            <w:vAlign w:val="bottom"/>
            <w:gridSpan w:val="3"/>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960" w:type="dxa"/>
            <w:vAlign w:val="bottom"/>
            <w:gridSpan w:val="18"/>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380" w:type="dxa"/>
            <w:vAlign w:val="bottom"/>
            <w:gridSpan w:val="3"/>
          </w:tcPr>
          <w:p>
            <w:pPr>
              <w:ind w:left="120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960" w:type="dxa"/>
            <w:vAlign w:val="bottom"/>
            <w:gridSpan w:val="18"/>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Earnings (Loss)</w:t>
            </w:r>
          </w:p>
        </w:tc>
        <w:tc>
          <w:tcPr>
            <w:tcW w:w="1380" w:type="dxa"/>
            <w:vAlign w:val="bottom"/>
            <w:gridSpan w:val="3"/>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960" w:type="dxa"/>
            <w:vAlign w:val="bottom"/>
            <w:gridSpan w:val="18"/>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380" w:type="dxa"/>
            <w:vAlign w:val="bottom"/>
            <w:gridSpan w:val="3"/>
          </w:tcPr>
          <w:p>
            <w:pPr>
              <w:ind w:left="120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960" w:type="dxa"/>
            <w:vAlign w:val="bottom"/>
            <w:gridSpan w:val="18"/>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Equity and Redeemable Noncontrolling Interests</w:t>
            </w:r>
          </w:p>
        </w:tc>
        <w:tc>
          <w:tcPr>
            <w:tcW w:w="1380" w:type="dxa"/>
            <w:vAlign w:val="bottom"/>
            <w:gridSpan w:val="3"/>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6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0000FF"/>
              </w:rPr>
              <w:t>Condensed Notes to Consolidated Financial Statements</w:t>
            </w:r>
          </w:p>
        </w:tc>
        <w:tc>
          <w:tcPr>
            <w:tcW w:w="18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0000FF"/>
              </w:rPr>
              <w:t>10</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80" w:type="dxa"/>
            <w:vAlign w:val="bottom"/>
            <w:shd w:val="clear" w:color="auto" w:fill="CCEEFF"/>
          </w:tcPr>
          <w:p>
            <w:pPr>
              <w:spacing w:after="0"/>
              <w:rPr>
                <w:sz w:val="16"/>
                <w:szCs w:val="16"/>
                <w:color w:val="auto"/>
              </w:rPr>
            </w:pPr>
          </w:p>
        </w:tc>
        <w:tc>
          <w:tcPr>
            <w:tcW w:w="79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40" w:type="dxa"/>
            <w:vAlign w:val="bottom"/>
            <w:gridSpan w:val="4"/>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24"/>
                <w:szCs w:val="24"/>
                <w:color w:val="auto"/>
              </w:rPr>
            </w:pP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2"/>
          </w:tcPr>
          <w:p>
            <w:pPr>
              <w:spacing w:after="0"/>
              <w:rPr>
                <w:sz w:val="24"/>
                <w:szCs w:val="24"/>
                <w:color w:val="auto"/>
              </w:rPr>
            </w:pPr>
          </w:p>
        </w:tc>
        <w:tc>
          <w:tcPr>
            <w:tcW w:w="184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28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6"/>
            <w:shd w:val="clear" w:color="auto" w:fill="CCEEFF"/>
          </w:tcPr>
          <w:p>
            <w:pPr>
              <w:spacing w:after="0"/>
              <w:rPr>
                <w:sz w:val="17"/>
                <w:szCs w:val="17"/>
                <w:color w:val="auto"/>
              </w:rPr>
            </w:pPr>
          </w:p>
        </w:tc>
        <w:tc>
          <w:tcPr>
            <w:tcW w:w="3600" w:type="dxa"/>
            <w:vAlign w:val="bottom"/>
            <w:gridSpan w:val="4"/>
            <w:shd w:val="clear" w:color="auto" w:fill="CCEEFF"/>
          </w:tcPr>
          <w:p>
            <w:pPr>
              <w:spacing w:after="0"/>
              <w:rPr>
                <w:sz w:val="17"/>
                <w:szCs w:val="17"/>
                <w:color w:val="auto"/>
              </w:rPr>
            </w:pPr>
          </w:p>
        </w:tc>
        <w:tc>
          <w:tcPr>
            <w:tcW w:w="1840" w:type="dxa"/>
            <w:vAlign w:val="bottom"/>
            <w:gridSpan w:val="4"/>
            <w:shd w:val="clear" w:color="auto" w:fill="CCEEFF"/>
          </w:tcPr>
          <w:p>
            <w:pPr>
              <w:ind w:left="1200"/>
              <w:spacing w:after="0" w:line="203" w:lineRule="exact"/>
              <w:rPr>
                <w:sz w:val="20"/>
                <w:szCs w:val="20"/>
                <w:color w:val="auto"/>
              </w:rPr>
            </w:pPr>
            <w:r>
              <w:rPr>
                <w:rFonts w:ascii="Times New Roman" w:cs="Times New Roman" w:eastAsia="Times New Roman" w:hAnsi="Times New Roman"/>
                <w:sz w:val="18"/>
                <w:szCs w:val="18"/>
                <w:color w:val="0000FF"/>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80" w:type="dxa"/>
            <w:vAlign w:val="bottom"/>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180" w:type="dxa"/>
            <w:vAlign w:val="bottom"/>
            <w:gridSpan w:val="10"/>
          </w:tcPr>
          <w:p>
            <w:pPr>
              <w:spacing w:after="0"/>
              <w:rPr>
                <w:sz w:val="16"/>
                <w:szCs w:val="16"/>
                <w:color w:val="auto"/>
              </w:rPr>
            </w:pPr>
          </w:p>
        </w:tc>
        <w:tc>
          <w:tcPr>
            <w:tcW w:w="1840" w:type="dxa"/>
            <w:vAlign w:val="bottom"/>
            <w:gridSpan w:val="4"/>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8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620" w:type="dxa"/>
            <w:vAlign w:val="bottom"/>
            <w:gridSpan w:val="13"/>
            <w:shd w:val="clear" w:color="auto" w:fill="CCEEFF"/>
          </w:tcPr>
          <w:p>
            <w:pPr>
              <w:spacing w:after="0"/>
              <w:rPr>
                <w:sz w:val="16"/>
                <w:szCs w:val="16"/>
                <w:color w:val="auto"/>
              </w:rPr>
            </w:pPr>
          </w:p>
        </w:tc>
        <w:tc>
          <w:tcPr>
            <w:tcW w:w="1840" w:type="dxa"/>
            <w:vAlign w:val="bottom"/>
            <w:gridSpan w:val="4"/>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28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620" w:type="dxa"/>
            <w:vAlign w:val="bottom"/>
            <w:gridSpan w:val="13"/>
          </w:tcPr>
          <w:p>
            <w:pPr>
              <w:spacing w:after="0"/>
              <w:rPr>
                <w:sz w:val="16"/>
                <w:szCs w:val="16"/>
                <w:color w:val="auto"/>
              </w:rPr>
            </w:pPr>
          </w:p>
        </w:tc>
        <w:tc>
          <w:tcPr>
            <w:tcW w:w="1840" w:type="dxa"/>
            <w:vAlign w:val="bottom"/>
            <w:gridSpan w:val="4"/>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80" w:type="dxa"/>
            <w:vAlign w:val="bottom"/>
            <w:shd w:val="clear" w:color="auto" w:fill="CCEEFF"/>
          </w:tcPr>
          <w:p>
            <w:pPr>
              <w:spacing w:after="0"/>
              <w:rPr>
                <w:sz w:val="16"/>
                <w:szCs w:val="16"/>
                <w:color w:val="auto"/>
              </w:rPr>
            </w:pPr>
          </w:p>
        </w:tc>
        <w:tc>
          <w:tcPr>
            <w:tcW w:w="43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600" w:type="dxa"/>
            <w:vAlign w:val="bottom"/>
            <w:gridSpan w:val="4"/>
            <w:shd w:val="clear" w:color="auto" w:fill="CCEEFF"/>
          </w:tcPr>
          <w:p>
            <w:pPr>
              <w:spacing w:after="0"/>
              <w:rPr>
                <w:sz w:val="16"/>
                <w:szCs w:val="16"/>
                <w:color w:val="auto"/>
              </w:rPr>
            </w:pPr>
          </w:p>
        </w:tc>
        <w:tc>
          <w:tcPr>
            <w:tcW w:w="1840" w:type="dxa"/>
            <w:vAlign w:val="bottom"/>
            <w:gridSpan w:val="4"/>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16"/>
                <w:szCs w:val="16"/>
                <w:color w:val="auto"/>
              </w:rPr>
            </w:pPr>
          </w:p>
        </w:tc>
        <w:tc>
          <w:tcPr>
            <w:tcW w:w="43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600" w:type="dxa"/>
            <w:vAlign w:val="bottom"/>
            <w:gridSpan w:val="4"/>
          </w:tcPr>
          <w:p>
            <w:pPr>
              <w:spacing w:after="0"/>
              <w:rPr>
                <w:sz w:val="16"/>
                <w:szCs w:val="16"/>
                <w:color w:val="auto"/>
              </w:rPr>
            </w:pPr>
          </w:p>
        </w:tc>
        <w:tc>
          <w:tcPr>
            <w:tcW w:w="1840" w:type="dxa"/>
            <w:vAlign w:val="bottom"/>
            <w:gridSpan w:val="4"/>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80" w:type="dxa"/>
            <w:vAlign w:val="bottom"/>
            <w:shd w:val="clear" w:color="auto" w:fill="CCEEFF"/>
          </w:tcPr>
          <w:p>
            <w:pPr>
              <w:spacing w:after="0"/>
              <w:rPr>
                <w:sz w:val="16"/>
                <w:szCs w:val="16"/>
                <w:color w:val="auto"/>
              </w:rPr>
            </w:pPr>
          </w:p>
        </w:tc>
        <w:tc>
          <w:tcPr>
            <w:tcW w:w="1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6180" w:type="dxa"/>
            <w:vAlign w:val="bottom"/>
            <w:gridSpan w:val="10"/>
            <w:shd w:val="clear" w:color="auto" w:fill="CCEEFF"/>
          </w:tcPr>
          <w:p>
            <w:pPr>
              <w:spacing w:after="0"/>
              <w:rPr>
                <w:sz w:val="16"/>
                <w:szCs w:val="16"/>
                <w:color w:val="auto"/>
              </w:rPr>
            </w:pPr>
          </w:p>
        </w:tc>
        <w:tc>
          <w:tcPr>
            <w:tcW w:w="1840" w:type="dxa"/>
            <w:vAlign w:val="bottom"/>
            <w:gridSpan w:val="4"/>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280" w:type="dxa"/>
            <w:vAlign w:val="bottom"/>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180" w:type="dxa"/>
            <w:vAlign w:val="bottom"/>
            <w:gridSpan w:val="10"/>
          </w:tcPr>
          <w:p>
            <w:pPr>
              <w:spacing w:after="0"/>
              <w:rPr>
                <w:sz w:val="16"/>
                <w:szCs w:val="16"/>
                <w:color w:val="auto"/>
              </w:rPr>
            </w:pPr>
          </w:p>
        </w:tc>
        <w:tc>
          <w:tcPr>
            <w:tcW w:w="1840" w:type="dxa"/>
            <w:vAlign w:val="bottom"/>
            <w:gridSpan w:val="4"/>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280" w:type="dxa"/>
            <w:vAlign w:val="bottom"/>
            <w:shd w:val="clear" w:color="auto" w:fill="CCEEFF"/>
          </w:tcPr>
          <w:p>
            <w:pPr>
              <w:spacing w:after="0"/>
              <w:rPr>
                <w:sz w:val="16"/>
                <w:szCs w:val="16"/>
                <w:color w:val="auto"/>
              </w:rPr>
            </w:pPr>
          </w:p>
        </w:tc>
        <w:tc>
          <w:tcPr>
            <w:tcW w:w="79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40" w:type="dxa"/>
            <w:vAlign w:val="bottom"/>
            <w:gridSpan w:val="4"/>
            <w:shd w:val="clear" w:color="auto" w:fill="CCEEFF"/>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0"/>
              <w:spacing w:after="0" w:line="189" w:lineRule="exact"/>
              <w:rPr>
                <w:sz w:val="20"/>
                <w:szCs w:val="20"/>
                <w:color w:val="auto"/>
              </w:rPr>
            </w:pPr>
            <w:r>
              <w:rPr>
                <w:rFonts w:ascii="Times New Roman" w:cs="Times New Roman" w:eastAsia="Times New Roman" w:hAnsi="Times New Roman"/>
                <w:sz w:val="18"/>
                <w:szCs w:val="18"/>
                <w:color w:val="0000FF"/>
              </w:rPr>
              <w:t>37</w:t>
            </w: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gridSpan w:val="15"/>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Special Note Regarding Forward-Looking Statements</w:t>
      </w:r>
    </w:p>
    <w:p>
      <w:pPr>
        <w:spacing w:after="0" w:line="22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and financial targets. Our actual actions or results may differ materially from those expected or anticipated in the forward-looking statements due to both known and unknown risks and uncertainties.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Factors that might cause such a difference include, but are not limited to:</w:t>
      </w:r>
    </w:p>
    <w:p>
      <w:pPr>
        <w:spacing w:after="0" w:line="27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execute on our business strategy and transformation initiatives, and to achieve anticipated cost savings;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compete in the play industry;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transform our business and capabilities to address the changing global consumer landscape;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design, develop, manufacture, and ship products on a timely and profitable basis;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inflation and downturns in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spacing w:after="0" w:line="132"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economic and public health conditions or regulatory changes in the markets in which we and our customers, partners, licensees, suppliers and manufacturers operate, such as inflation, rising interest rates, higher commodity prices, labor costs or transportation costs, or outbreaks of illness or disease, the occurrence of which could create work slowdowns, delays or shortages in production or shipment of products, increases in costs or delays in revenue;</w:t>
      </w:r>
    </w:p>
    <w:p>
      <w:pPr>
        <w:spacing w:after="0" w:line="127"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third party relationships, including with third party partners, manufacturers, distributors, studios, content producers, licensors, licensees, and outsourcers, which creates reliance on others and loss of control;</w:t>
      </w:r>
    </w:p>
    <w:p>
      <w:pPr>
        <w:spacing w:after="0" w:line="126"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international operations, such as conflict in territories in which we operate, currency conversion, currency fluctuations, the imposition of tariffs, quotas, shipping delays or difficulties, border adjustment taxes or other protectionist measures, and other challenges in the territories in which we operate;</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leadership changes;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and retain talented and diverse employees, particularly following recent workforce reductions;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impairment and/or write-offs of businesses, products and content we acquire and/or produce;</w:t>
      </w:r>
    </w:p>
    <w:p>
      <w:pPr>
        <w:spacing w:after="0" w:line="14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acquisitions, dispositions and other investments we complete may not provide us with the benefits we expect, or the realization of such benefits may be significantly delayed;</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our business due to seasonality;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product recalls or product liability suits and costs associated with product safety regulations;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or arbitration decisions or settlement actions;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bankruptcy or other lack of success of one or more of our significant retailers, licensees and other partners;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as may be detailed in our public announcements and U.S. Securities and Exchange Commission (“SEC”) filings.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For a detailed discussion of these and other risks, uncertainties and factors, see Part I, Item 1A— “Risk Factors” of our Annual Report on Form 10-K for the fiscal year ended December 31, 2023 (the “2023 Annual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32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$0.9 million, $13.4 million and $0.6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20" w:type="dxa"/>
            <w:vAlign w:val="bottom"/>
            <w:shd w:val="clear" w:color="auto" w:fill="CCEEFF"/>
          </w:tcPr>
          <w:p>
            <w:pPr>
              <w:spacing w:after="0"/>
              <w:rPr>
                <w:sz w:val="22"/>
                <w:szCs w:val="22"/>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w:t>
            </w:r>
          </w:p>
        </w:tc>
      </w:tr>
      <w:tr>
        <w:trPr>
          <w:trHeight w:val="225"/>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less accumulated depreciation of $625.4 million, $637.8 million</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1"/>
        </w:trPr>
        <w:tc>
          <w:tcPr>
            <w:tcW w:w="20" w:type="dxa"/>
            <w:vAlign w:val="bottom"/>
            <w:tcBorders>
              <w:bottom w:val="single" w:sz="8" w:color="CCEEFF"/>
            </w:tcBorders>
          </w:tcPr>
          <w:p>
            <w:pPr>
              <w:spacing w:after="0"/>
              <w:rPr>
                <w:sz w:val="22"/>
                <w:szCs w:val="22"/>
                <w:color w:val="auto"/>
              </w:rPr>
            </w:pPr>
          </w:p>
        </w:tc>
        <w:tc>
          <w:tcPr>
            <w:tcW w:w="7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and $618.9 million</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2,279.2</w:t>
            </w: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$1,314.7 million, $1,165.3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20" w:type="dxa"/>
            <w:vAlign w:val="bottom"/>
            <w:shd w:val="clear" w:color="auto" w:fill="CCEEFF"/>
          </w:tcPr>
          <w:p>
            <w:pPr>
              <w:spacing w:after="0"/>
              <w:rPr>
                <w:sz w:val="22"/>
                <w:szCs w:val="22"/>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 and $1,296.9 million</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w:t>
            </w:r>
          </w:p>
        </w:tc>
      </w:tr>
      <w:tr>
        <w:trPr>
          <w:trHeight w:val="223"/>
        </w:trPr>
        <w:tc>
          <w:tcPr>
            <w:tcW w:w="20" w:type="dxa"/>
            <w:vAlign w:val="bottom"/>
          </w:tcPr>
          <w:p>
            <w:pPr>
              <w:spacing w:after="0"/>
              <w:rPr>
                <w:sz w:val="19"/>
                <w:szCs w:val="19"/>
                <w:color w:val="auto"/>
              </w:rPr>
            </w:pPr>
          </w:p>
        </w:tc>
        <w:tc>
          <w:tcPr>
            <w:tcW w:w="70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auto"/>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9"/>
              </w:rPr>
              <w:t>LIABILITIES, NONCONTROLLING INTERESTS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70"/>
        </w:trPr>
        <w:tc>
          <w:tcPr>
            <w:tcW w:w="20" w:type="dxa"/>
            <w:vAlign w:val="bottom"/>
            <w:tcBorders>
              <w:bottom w:val="single" w:sz="8" w:color="CCEEFF"/>
            </w:tcBorders>
          </w:tcPr>
          <w:p>
            <w:pPr>
              <w:spacing w:after="0"/>
              <w:rPr>
                <w:sz w:val="23"/>
                <w:szCs w:val="23"/>
                <w:color w:val="auto"/>
              </w:rPr>
            </w:pPr>
          </w:p>
        </w:tc>
        <w:tc>
          <w:tcPr>
            <w:tcW w:w="7000" w:type="dxa"/>
            <w:vAlign w:val="bottom"/>
            <w:tcBorders>
              <w:bottom w:val="single" w:sz="8" w:color="CCEEFF"/>
            </w:tcBorders>
            <w:gridSpan w:val="3"/>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r>
      <w:tr>
        <w:trPr>
          <w:trHeight w:val="270"/>
        </w:trPr>
        <w:tc>
          <w:tcPr>
            <w:tcW w:w="20" w:type="dxa"/>
            <w:vAlign w:val="bottom"/>
          </w:tcPr>
          <w:p>
            <w:pPr>
              <w:spacing w:after="0"/>
              <w:rPr>
                <w:sz w:val="23"/>
                <w:szCs w:val="23"/>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2,965.8</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5,453.9</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Preference stock of $2.50 par value. Authorized 5,000,000 shares; none issued</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Common stock of $0.50 par value. Authorized 600,000,000 shares; issued 220,286,736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1"/>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at March 31, 2024, April 2, 2023, and December 31, 2023</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2,188.4</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5"/>
        </w:trPr>
        <w:tc>
          <w:tcPr>
            <w:tcW w:w="20" w:type="dxa"/>
            <w:vAlign w:val="bottom"/>
          </w:tcPr>
          <w:p>
            <w:pPr>
              <w:spacing w:after="0"/>
              <w:rPr>
                <w:sz w:val="19"/>
                <w:szCs w:val="19"/>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Treasury stock, at cost; 81,081,180 shares at March 31, 2024; 81,687,608 shares at April 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1"/>
        </w:trPr>
        <w:tc>
          <w:tcPr>
            <w:tcW w:w="20" w:type="dxa"/>
            <w:vAlign w:val="bottom"/>
          </w:tcPr>
          <w:p>
            <w:pPr>
              <w:spacing w:after="0"/>
              <w:rPr>
                <w:sz w:val="22"/>
                <w:szCs w:val="22"/>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2023; and 81,498,181 shares at December 31, 2023</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(3,625.7)</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50"/>
        </w:trPr>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noncontrolling interests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1"/>
                <w:szCs w:val="11"/>
                <w:color w:val="auto"/>
              </w:rPr>
            </w:pPr>
          </w:p>
        </w:tc>
        <w:tc>
          <w:tcPr>
            <w:tcW w:w="900" w:type="dxa"/>
            <w:vAlign w:val="bottom"/>
          </w:tcPr>
          <w:p>
            <w:pPr>
              <w:jc w:val="right"/>
              <w:ind w:right="331"/>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Cost of sales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29"/>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Royalties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Product development</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Advertising</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0"/>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3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Interest expense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Interest income</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3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3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Hasbro, Inc.</w:t>
            </w:r>
          </w:p>
        </w:tc>
        <w:tc>
          <w:tcPr>
            <w:tcW w:w="30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2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4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Basic</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Pr>
          <w:p>
            <w:pPr>
              <w:ind w:left="80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tc>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20" w:type="dxa"/>
            <w:vAlign w:val="bottom"/>
            <w:vMerge w:val="continue"/>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0"/>
        </w:trPr>
        <w:tc>
          <w:tcPr>
            <w:tcW w:w="5420" w:type="dxa"/>
            <w:vAlign w:val="bottom"/>
          </w:tcPr>
          <w:p>
            <w:pPr>
              <w:spacing w:after="0"/>
              <w:rPr>
                <w:sz w:val="24"/>
                <w:szCs w:val="24"/>
                <w:color w:val="auto"/>
              </w:rPr>
            </w:pPr>
          </w:p>
        </w:tc>
        <w:tc>
          <w:tcPr>
            <w:tcW w:w="306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23"/>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28"/>
        </w:trPr>
        <w:tc>
          <w:tcPr>
            <w:tcW w:w="8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1"/>
                <w:szCs w:val="11"/>
                <w:color w:val="auto"/>
              </w:rPr>
            </w:pPr>
          </w:p>
        </w:tc>
        <w:tc>
          <w:tcPr>
            <w:tcW w:w="96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6"/>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gains (losses) on cash flow hedging activities, net of tax</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Reclassifications to earnings, net of tax:</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Net losses (gains) on cash flow hedging activities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7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earnings (loss), net of tax</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(loss) attributable to Hasbro, Inc.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8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060" w:type="dxa"/>
            <w:vAlign w:val="bottom"/>
          </w:tcPr>
          <w:p>
            <w:pPr>
              <w:jc w:val="right"/>
              <w:ind w:right="351"/>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6"/>
        </w:trPr>
        <w:tc>
          <w:tcPr>
            <w:tcW w:w="8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non-cash items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 net of acquired balances: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inventories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Program spend,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utilized by investing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Proceeds from borrowings with maturity greater than three months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Repayments of borrowings with maturity greater than three months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repayments from other short-term borrowings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 transactions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utilized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8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4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48"/>
              <w:spacing w:after="0" w:line="153"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2,188.4</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0" w:type="dxa"/>
            <w:vAlign w:val="bottom"/>
          </w:tcPr>
          <w:p>
            <w:pPr>
              <w:spacing w:after="0"/>
              <w:rPr>
                <w:sz w:val="1"/>
                <w:szCs w:val="1"/>
                <w:color w:val="auto"/>
              </w:rPr>
            </w:pPr>
          </w:p>
        </w:tc>
      </w:tr>
      <w:tr>
        <w:trPr>
          <w:trHeight w:val="195"/>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46"/>
        </w:trPr>
        <w:tc>
          <w:tcPr>
            <w:tcW w:w="24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39"/>
        </w:trPr>
        <w:tc>
          <w:tcPr>
            <w:tcW w:w="2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owners and other foreign exchange</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2, 2023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9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25,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4,071.4</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2,861.9</w:t>
            </w: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6"/>
        </w:trPr>
        <w:tc>
          <w:tcPr>
            <w:tcW w:w="248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46"/>
        </w:trPr>
        <w:tc>
          <w:tcPr>
            <w:tcW w:w="248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39"/>
        </w:trPr>
        <w:tc>
          <w:tcPr>
            <w:tcW w:w="24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Buyout of redeemable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owners and other foreign exchange</w:t>
            </w: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April 2,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3,951.8</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1062" w:right="6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March 31, 2024, April 2, 2023, and December 31, 2023, and the results of its operations and cash flows and shareholders' equity for the periods ended March 31, 2024 and April 2, 2023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quarters ended March 31, 2024 and April 2, 2023 were 13-week and 14-week periods, respectively.</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quarter ended March 31, 2024 are not necessarily indicative of results to be expected for the full year 2024, nor were those of the comparable 2023 period representative of those actually experienced for the full year 2023.</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31, 2023 in the Company's Annual Report on Form 10-K for the year ended December 31, 2023 ("2023 Form 10-K"), which includes all such information and disclosures and, accordingly, should be read in conjunction with the financial information included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Adjustments</w:t>
      </w:r>
    </w:p>
    <w:p>
      <w:pPr>
        <w:spacing w:after="0" w:line="3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During the quarter ended March 31, 2024, the Company corrected a prior year error and recorded an $18.1 million benefit related to the reversal of stock compensation expense for the Company's performance stock awards that should have been recorded during fiscal year 2023. The $18.1 million benefit recorded during the quarter ended March 31, 2024 is not considered to be material to the full year 2023 or 2024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included in the Company's 2023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During the quarter ended March 31, 2024, there were no recently adopted accounting standards that had a material effect on the Company’s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Accounting Pronouncements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amendments in this update enhance disclosures for significant segment expenses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entities required to report segment information in accordance with ASC 280. The standard did not change the definition of a segment, the method for determining segments or the criteria for aggregating operating segments into reportable segments. The amendments are effective for fiscal years beginning after December 15, 2023, and interim periods within fiscal years beginning after December 15, 2024. Retrospective adoption is required for all prior periods presented in the financial statements. We are assessing the impact of this ASU and upon adoption expect that any impact would be limited to additional segment expense disclosures in the footnotes to our consolidated financial statements. We expect to adopt the standard beginning with our 2024 Form 10-K.</w:t>
      </w:r>
    </w:p>
    <w:p>
      <w:pPr>
        <w:spacing w:after="0" w:line="2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in Income Tax Disclosures</w:t>
      </w:r>
      <w:r>
        <w:rPr>
          <w:rFonts w:ascii="Times New Roman" w:cs="Times New Roman" w:eastAsia="Times New Roman" w:hAnsi="Times New Roman"/>
          <w:sz w:val="18"/>
          <w:szCs w:val="18"/>
          <w:color w:val="auto"/>
        </w:rPr>
        <w:t>. 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0" w:name="page11"/>
    <w:bookmarkEnd w:id="1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jurisdictions. Finally, the amendment requires entities to disclose income from continuing operations before income tax expense disaggregated between domestic and foreign and income tax expense from continuing operations disaggregated by federal, state and foreign. The new rules are effective for annual periods beginning after December 15, 2024. We are currently assessing the impact of this ASU on our consolidated financial statements.</w:t>
      </w:r>
    </w:p>
    <w:p>
      <w:pPr>
        <w:spacing w:after="0" w:line="19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The majority of the Company’s revenues are derived from sales of finished products to customers. See note 1 of the Company's 2023 Annual Report for the Company's revenue recognition accounting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Assets and Liabilities</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These digital gaming revenues are recognized over a period of time, determined based on player usage patterns or the estimated playing life of the user, or when additional downloadable content is made available, or as with subscription services, ratably over the subscription term.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and the long-term portion is recorded within Other long-term assets.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1" w:name="page12"/>
    <w:bookmarkEnd w:id="1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carrying amounts of contract assets and liabilities for the three months ended March 31, 2024 and April 2, 2023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April 2,</w:t>
            </w:r>
          </w:p>
        </w:tc>
      </w:tr>
      <w:tr>
        <w:trPr>
          <w:trHeight w:val="214"/>
        </w:trPr>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40" w:type="dxa"/>
            <w:vAlign w:val="bottom"/>
            <w:tcBorders>
              <w:bottom w:val="single" w:sz="8" w:color="CCEEFF"/>
            </w:tcBorders>
            <w:gridSpan w:val="2"/>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29"/>
        </w:trPr>
        <w:tc>
          <w:tcPr>
            <w:tcW w:w="20" w:type="dxa"/>
            <w:vAlign w:val="bottom"/>
          </w:tcPr>
          <w:p>
            <w:pPr>
              <w:spacing w:after="0"/>
              <w:rPr>
                <w:sz w:val="19"/>
                <w:szCs w:val="19"/>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Amounts reclassified to accounts receivable</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2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73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20" w:type="dxa"/>
            <w:vAlign w:val="bottom"/>
          </w:tcPr>
          <w:p>
            <w:pPr>
              <w:spacing w:after="0"/>
              <w:rPr>
                <w:sz w:val="19"/>
                <w:szCs w:val="19"/>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in beginning balance reclassified to revenue</w:t>
            </w: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20" w:type="dxa"/>
            <w:vAlign w:val="bottom"/>
          </w:tcPr>
          <w:p>
            <w:pPr>
              <w:spacing w:after="0"/>
              <w:rPr>
                <w:sz w:val="19"/>
                <w:szCs w:val="19"/>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Current year amounts reclassified to revenue</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1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Unsatisfied performance obligations</w:t>
      </w:r>
    </w:p>
    <w:p>
      <w:pPr>
        <w:spacing w:after="0" w:line="29"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March 31, 2024, unrecognized revenue attributable to unsatisfied performance obligations expected to be recognized in the future was $2.1 million. Of this amount, we expect to recognize $1.9 million in the remainder of 2024 and $0.2 million in 2025. These amounts include only fixed consideration.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Allowance for Credit Losses</w:t>
      </w:r>
    </w:p>
    <w:p>
      <w:pPr>
        <w:spacing w:after="0" w:line="29"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The Company’s balance for accounts receivable on the Consolidated Balance Sheets as of March 31, 2024 and April 2, 2023 are primarily from contracts with customers. A summary of the activity in the allowance for credit losses for the three months ended March 31, 2024 and April 2, 2023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April 2,</w:t>
            </w:r>
          </w:p>
        </w:tc>
      </w:tr>
      <w:tr>
        <w:trPr>
          <w:trHeight w:val="214"/>
        </w:trPr>
        <w:tc>
          <w:tcPr>
            <w:tcW w:w="74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Charged to costs and expenses, net</w:t>
            </w: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impact</w:t>
            </w:r>
          </w:p>
        </w:tc>
        <w:tc>
          <w:tcPr>
            <w:tcW w:w="1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revenues from contracts with customers by reportable segment: Consumer Products, Wizards of the Coast and Digital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and Entertainment. The Company further disaggregates revenues within its Consumer Products segment by major geographic region: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Europe, Latin America, and Asia Pacific; within its Wizards of the Coast and Digital Gaming segment by category: Tabletop Gaming and Digital</w:t>
      </w:r>
    </w:p>
    <w:p>
      <w:pPr>
        <w:spacing w:after="0" w:line="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and Licensed Gaming; and within its Entertainment segment by category: Film &amp; TV, Family Brands, and Other. Finally, the Company disaggregates its revenues by brand portfolio into three brand categories: Franchise Brands, Partner Brands and Portfolio Brands. We believe these collectively depict how the nature, amount, timing and uncertainty of revenue and cash flows are affected by economic factors.</w:t>
      </w:r>
    </w:p>
    <w:p>
      <w:pPr>
        <w:spacing w:after="0" w:line="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Effective in the first quarter of 2024, subsequent to the sale of the eOne Film and TV business (as defined in Note 3), the Company moved the remaining Non-Hasbro Branded Film &amp; TV brands into Portfolio Brands to align with the Company's Brand Strategy. For comparability, net revenues for quarter ended April 2, 2023, has been reclassified to reflect the movement, resulting in a change of $0.1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represents consolidated Consumer Products segment net revenues by major geographic region for the quarters ended March 31, 2024 and April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20" w:type="dxa"/>
            <w:vAlign w:val="bottom"/>
            <w:tcBorders>
              <w:bottom w:val="single" w:sz="8" w:color="auto"/>
            </w:tcBorders>
          </w:tcPr>
          <w:p>
            <w:pPr>
              <w:spacing w:after="0"/>
              <w:rPr>
                <w:sz w:val="18"/>
                <w:szCs w:val="18"/>
                <w:color w:val="auto"/>
              </w:rPr>
            </w:pPr>
          </w:p>
        </w:tc>
      </w:tr>
      <w:tr>
        <w:trPr>
          <w:trHeight w:val="158"/>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20" w:type="dxa"/>
            <w:vAlign w:val="bottom"/>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represents consolidated Wizards of the Coast and Digital Gaming segment net revenues by category for the quarters ended March 31, 2024 and April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Entertainment segment net revenues by category for the quarters ended March 31, 2024 and April 2,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Film and TV</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net revenues by brand portfolio for the quarters ended March 31, 2024 and April 2,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ind w:right="519"/>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Brands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Partner Brands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Brands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Non-Hasbro Branded Film &amp; TV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220" w:firstLine="8"/>
        <w:spacing w:after="0"/>
        <w:tabs>
          <w:tab w:leader="none" w:pos="165" w:val="left"/>
        </w:tabs>
        <w:numPr>
          <w:ilvl w:val="0"/>
          <w:numId w:val="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Non-Core Entertainment One Film and TV Business</w:t>
      </w:r>
    </w:p>
    <w:p>
      <w:pPr>
        <w:spacing w:after="0" w:line="2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The Company sold eOne Film and TV for a sales price of</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$375.0 million in cash, subject to the satisfaction of customary net working capital closing conditions and holdbacks for certain retained liabilities, plus the assumption by Lionsgate of production financing loans.</w:t>
      </w:r>
    </w:p>
    <w:p>
      <w:pPr>
        <w:spacing w:after="0" w:line="2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recorded a pre-tax non-cash charge of $539.0 million within Loss on disposal of business on the Consolidated Statements of Operations for the year ended December 31, 2023. The Company also recorded pre-tax cash transaction expenses of $35.1 million within Selling, distribution and administration expense on the Consolidated Statements of Operations for the year ended December 31, 2023. See note 3 of the Company's 2023 Annual Report for further detail of the Company's sale of the eOne Film and TV business.</w:t>
      </w:r>
    </w:p>
    <w:p>
      <w:pPr>
        <w:spacing w:after="0" w:line="203"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(loss) per share data for the quarters ended March 31, 2024 and April 2, 2023 were computed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Quarter Ended</w:t>
            </w:r>
          </w:p>
        </w:tc>
      </w:tr>
      <w:tr>
        <w:trPr>
          <w:trHeight w:val="209"/>
        </w:trPr>
        <w:tc>
          <w:tcPr>
            <w:tcW w:w="86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March 31, 2024</w:t>
            </w:r>
          </w:p>
        </w:tc>
        <w:tc>
          <w:tcPr>
            <w:tcW w:w="1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April 2, 2023</w:t>
            </w:r>
          </w:p>
        </w:tc>
      </w:tr>
      <w:tr>
        <w:trPr>
          <w:trHeight w:val="235"/>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Hasbro, Inc.</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other share-based awards</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 Shares</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Hasbro, Inc. per common share</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8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5"/>
        </w:trPr>
        <w:tc>
          <w:tcPr>
            <w:tcW w:w="8620" w:type="dxa"/>
            <w:vAlign w:val="bottom"/>
          </w:tcPr>
          <w:p>
            <w:pPr>
              <w:ind w:left="24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(0.16)</w:t>
            </w:r>
          </w:p>
        </w:tc>
      </w:tr>
    </w:tbl>
    <w:p>
      <w:pPr>
        <w:spacing w:after="0" w:line="3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quarters ended March 31, 2024 and April 2, 2023, options and restricted stock units totaling 2.6 million and 4.2 million, respectively, were excluded from the calculation of diluted earnings per share because to include them would have been anti-dilutive. Of the fiscal 2023 amount, 2.0 million would have been included in the calculation of diluted shares had the Company not had a net loss for the quarter ended April 2, 2023. Assuming that these awards and options were included, under the treasury stock method, they would have resulted in an additional 0.1 million being included in the diluted earnings per share calculation for the quarter ended April 2, 2023.</w:t>
      </w:r>
    </w:p>
    <w:p>
      <w:pPr>
        <w:spacing w:after="0" w:line="20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operating segment, for the quarters ended March 31, 2024 and April 2, 2023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Consumer</w:t>
            </w:r>
          </w:p>
        </w:tc>
        <w:tc>
          <w:tcPr>
            <w:tcW w:w="18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Wizards of the Coast</w:t>
            </w:r>
          </w:p>
        </w:tc>
        <w:tc>
          <w:tcPr>
            <w:tcW w:w="220" w:type="dxa"/>
            <w:vAlign w:val="bottom"/>
          </w:tcPr>
          <w:p>
            <w:pPr>
              <w:spacing w:after="0"/>
              <w:rPr>
                <w:sz w:val="16"/>
                <w:szCs w:val="16"/>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Entertainment</w:t>
            </w:r>
          </w:p>
        </w:tc>
        <w:tc>
          <w:tcPr>
            <w:tcW w:w="400" w:type="dxa"/>
            <w:vAlign w:val="bottom"/>
          </w:tcPr>
          <w:p>
            <w:pPr>
              <w:spacing w:after="0"/>
              <w:rPr>
                <w:sz w:val="16"/>
                <w:szCs w:val="16"/>
                <w:color w:val="auto"/>
              </w:rPr>
            </w:pPr>
          </w:p>
        </w:tc>
        <w:tc>
          <w:tcPr>
            <w:tcW w:w="134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Products</w:t>
            </w:r>
          </w:p>
        </w:tc>
        <w:tc>
          <w:tcPr>
            <w:tcW w:w="10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Digital Gaming</w:t>
            </w:r>
          </w:p>
        </w:tc>
        <w:tc>
          <w:tcPr>
            <w:tcW w:w="2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5"/>
              </w:rPr>
              <w:t>2024</w:t>
            </w:r>
          </w:p>
        </w:tc>
        <w:tc>
          <w:tcPr>
            <w:tcW w:w="34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Balance as of December 31, 2023 </w:t>
            </w:r>
            <w:r>
              <w:rPr>
                <w:rFonts w:ascii="Arial" w:cs="Arial" w:eastAsia="Arial" w:hAnsi="Arial"/>
                <w:sz w:val="21"/>
                <w:szCs w:val="21"/>
                <w:color w:val="auto"/>
                <w:vertAlign w:val="superscript"/>
              </w:rPr>
              <w:t>(1)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1,582.3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371.7</w:t>
            </w:r>
          </w:p>
        </w:tc>
        <w:tc>
          <w:tcPr>
            <w:tcW w:w="1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325.2</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2,279.2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translation</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6"/>
                <w:szCs w:val="16"/>
                <w:color w:val="auto"/>
              </w:rPr>
              <w:t>Balance as of March 31, 2024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1,582.2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371.5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325.1</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2,278.8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Consumer Products</w:t>
            </w:r>
          </w:p>
        </w:tc>
        <w:tc>
          <w:tcPr>
            <w:tcW w:w="19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Wizards of the Coast</w:t>
            </w:r>
          </w:p>
        </w:tc>
        <w:tc>
          <w:tcPr>
            <w:tcW w:w="220" w:type="dxa"/>
            <w:vAlign w:val="bottom"/>
          </w:tcPr>
          <w:p>
            <w:pPr>
              <w:spacing w:after="0"/>
              <w:rPr>
                <w:sz w:val="16"/>
                <w:szCs w:val="16"/>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Entertainment</w:t>
            </w:r>
          </w:p>
        </w:tc>
        <w:tc>
          <w:tcPr>
            <w:tcW w:w="400" w:type="dxa"/>
            <w:vAlign w:val="bottom"/>
          </w:tcPr>
          <w:p>
            <w:pPr>
              <w:spacing w:after="0"/>
              <w:rPr>
                <w:sz w:val="16"/>
                <w:szCs w:val="16"/>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Digital Gaming</w:t>
            </w:r>
          </w:p>
        </w:tc>
        <w:tc>
          <w:tcPr>
            <w:tcW w:w="2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5"/>
              </w:rPr>
              <w:t>2023</w:t>
            </w:r>
          </w:p>
        </w:tc>
        <w:tc>
          <w:tcPr>
            <w:tcW w:w="35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as of December 25, 2022</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1,584.7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371.5</w:t>
            </w:r>
          </w:p>
        </w:tc>
        <w:tc>
          <w:tcPr>
            <w:tcW w:w="1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1,513.9</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3,470.1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exchange translation</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line="210" w:lineRule="exact"/>
              <w:rPr>
                <w:sz w:val="20"/>
                <w:szCs w:val="20"/>
                <w:color w:val="auto"/>
              </w:rPr>
            </w:pPr>
            <w:r>
              <w:rPr>
                <w:rFonts w:ascii="Arial" w:cs="Arial" w:eastAsia="Arial" w:hAnsi="Arial"/>
                <w:sz w:val="16"/>
                <w:szCs w:val="16"/>
                <w:color w:val="auto"/>
              </w:rPr>
              <w:t xml:space="preserve">Balance as of April 2, 2023 </w:t>
            </w:r>
            <w:r>
              <w:rPr>
                <w:rFonts w:ascii="Arial" w:cs="Arial" w:eastAsia="Arial" w:hAnsi="Arial"/>
                <w:sz w:val="21"/>
                <w:szCs w:val="21"/>
                <w:color w:val="auto"/>
                <w:vertAlign w:val="superscript"/>
              </w:rPr>
              <w:t>(1)</w:t>
            </w: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1,584.7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371.5</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1,513.9</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3,470.1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260" w:firstLine="8"/>
        <w:spacing w:after="0" w:line="251" w:lineRule="auto"/>
        <w:tabs>
          <w:tab w:leader="none" w:pos="145" w:val="left"/>
        </w:tabs>
        <w:numPr>
          <w:ilvl w:val="0"/>
          <w:numId w:val="11"/>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During the second and fourth quarters of 2023, the Company recorded $231.2 million and $960.0 million of non-cash goodwill impairments charges, respectively, within the Entertainment segment. See further detail in the 2023 Annual Report.</w:t>
      </w:r>
    </w:p>
    <w:p>
      <w:pPr>
        <w:spacing w:after="0" w:line="222"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Earnings (Loss)</w:t>
      </w:r>
    </w:p>
    <w:p>
      <w:pPr>
        <w:spacing w:after="0" w:line="25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Components of Other comprehensive earnings (loss) are presented within the Consolidated Statements of Comprehensive Earnings (Loss). The following table presents the related tax effects on changes in Other comprehensive earnings (loss) for the quarters ended March 31, 2024 and April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156"/>
        </w:trPr>
        <w:tc>
          <w:tcPr>
            <w:tcW w:w="7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3"/>
                <w:szCs w:val="13"/>
                <w:color w:val="auto"/>
              </w:rPr>
            </w:pPr>
          </w:p>
        </w:tc>
        <w:tc>
          <w:tcPr>
            <w:tcW w:w="1080" w:type="dxa"/>
            <w:vAlign w:val="bottom"/>
          </w:tcPr>
          <w:p>
            <w:pPr>
              <w:jc w:val="right"/>
              <w:ind w:right="439"/>
              <w:spacing w:after="0" w:line="155" w:lineRule="exact"/>
              <w:rPr>
                <w:sz w:val="20"/>
                <w:szCs w:val="20"/>
                <w:color w:val="auto"/>
              </w:rPr>
            </w:pPr>
            <w:r>
              <w:rPr>
                <w:rFonts w:ascii="Arial" w:cs="Arial" w:eastAsia="Arial" w:hAnsi="Arial"/>
                <w:sz w:val="16"/>
                <w:szCs w:val="16"/>
                <w:b w:val="1"/>
                <w:bCs w:val="1"/>
                <w:color w:val="auto"/>
                <w:w w:val="99"/>
              </w:rPr>
              <w:t>April 2,</w:t>
            </w:r>
          </w:p>
        </w:tc>
      </w:tr>
      <w:tr>
        <w:trPr>
          <w:trHeight w:val="216"/>
        </w:trPr>
        <w:tc>
          <w:tcPr>
            <w:tcW w:w="7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50"/>
        </w:trPr>
        <w:tc>
          <w:tcPr>
            <w:tcW w:w="7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Other comprehensive earnings (loss), tax effect: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on cash flow hedging activities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Reclassifications to earnings, tax effect: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(benefit) expense on cash flow hedging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Total tax effect on other comprehensive earnings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earnings (loss), net of tax for the quarters ended March 31, 2024 and April 2, 2023 are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Postretirement</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for-Sale</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period other comprehensive earnings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25,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period other comprehensive earnings (loss)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2,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(Losses) on Derivative Instruments</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March 31, 2024, the Company had remaining net deferred losses on foreign currency forward contracts, net of tax, of $0.6 million in Accumulated other comprehensive earnings (loss) ("AOCE"). These instruments hedge payments related to inventory purchased in the first quarter of 2024 or forecasted to be purchased during the remainder of 2024, intercompany expenses expected to be paid or received during 2024 and cash receipts for sales made at the end of the first quarter of 2024 or forecasted to be made in the remainder of 2024. These amounts will be reclassified into the Consolidated Statements of Operations upon the sale of the related inventory or recognition of the related sales expenses.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foreign currency forward contracts, the Company entered into hedging contracts on future interest payments related to the 3.15% Notes that were repaid in full in the aggregate principal amount of $300.0 million in 2021, and the 5.10% Notes due 2044. At the date of debt issuance, these contracts were terminated and the fair value on the date of settlement was deferred in AOCE and is being amortized to interest expense over the life of the related notes using the effective interest rate method. At March 31, 2024, deferred losses, net of tax of $13.8 million related to these instruments remained in AOCE. For the quarters ended March 31, 2024 and April 2, 2023, previously deferred losses of $0.2 million related to these instruments were reclassified from AOCE to net earnings.</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Of the net deferred losses included in AOCE at March 31, 2024, the Company expects net losses of approximately $0.9 million to be reclassified to the Consolidated Statements of Operations within the next twelve months. However, the amount ultimately realized in earnings is dependent on the fair value of the hedging instruments on the settlement 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additional discussion on reclassifications from AOCE to earnings.</w:t>
      </w:r>
    </w:p>
    <w:p>
      <w:pPr>
        <w:spacing w:after="0" w:line="24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Balance Sheet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Accrued liabilities for the periods ended March 31, 2024, April 2, 2023 and December 31, 2023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140" w:type="dxa"/>
            <w:vAlign w:val="bottom"/>
          </w:tcPr>
          <w:p>
            <w:pPr>
              <w:spacing w:after="0"/>
              <w:rPr>
                <w:sz w:val="16"/>
                <w:szCs w:val="16"/>
                <w:color w:val="auto"/>
              </w:rPr>
            </w:pPr>
          </w:p>
        </w:tc>
        <w:tc>
          <w:tcPr>
            <w:tcW w:w="15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Lag and cancellation charges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taxes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vendor accruals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Participations and residuals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Advertising</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 current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management incentives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contributions plans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Freight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 IIP &amp; IIC</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include accrued income, current of $127.3 million, $423.0 million, and $85.6 million as of March 31, 2024, April 2, 2023 and December 31, 2023, respectively.</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assets include deferred tax assets of $406.3 million, $263.5 million, and $427.9 million as of March 31, 2024, April 2, 2023 and December 31, 2023, respectively, and content assets of $165.3 million, $950.2 million, and $162.8 million as of March 31, 2024, April 2, 2023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6" w:name="page17"/>
    <w:bookmarkEnd w:id="1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costs, which are equal to the outstanding principal amounts, and fair values of the Company's long-term borrowings as of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2023 and December 31, 2023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5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2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6.35%</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5.10%</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2044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Debentures Due 2028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165"/>
        </w:trPr>
        <w:tc>
          <w:tcPr>
            <w:tcW w:w="2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Variable % Notes Due December 30,</w:t>
            </w:r>
          </w:p>
        </w:tc>
        <w:tc>
          <w:tcPr>
            <w:tcW w:w="2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Production Financing Facilities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3,349.1</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debt expenses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During the fourth quarter of 2023, the Company paid the remaining principal balance of the Variable % Notes Due December 30, 2024.</w:t>
      </w:r>
    </w:p>
    <w:p>
      <w:pPr>
        <w:ind w:right="80" w:firstLine="8"/>
        <w:spacing w:after="0" w:line="278" w:lineRule="auto"/>
        <w:tabs>
          <w:tab w:leader="none" w:pos="145" w:val="left"/>
        </w:tabs>
        <w:numPr>
          <w:ilvl w:val="0"/>
          <w:numId w:val="1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Company's production financing facilities were assumed by Lionsgate effective upon the closing of the sale of the eOne Film and TV business in the fourth quarter of 2023. See note 3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Other Financing Arrangements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Company's third amended and restated revolving credit facility with Bank of America, as administrative agent, swing line lender, a letter of credit issuer and a lender and certain other financial institutions as lenders thereto (the "Amended Revolving Credit Facility")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 $47.7 million, $66.0 million and $43.3 million as of March 31, 2024, April 2, 2023 and December 31, 2023, respectively. These obligations are presented within Accounts payable in our Consolidated Balance Sheets. The activity related to this program is reflected within the operating activities section of the Consolidated Statements of Cash Flows.</w:t>
      </w:r>
    </w:p>
    <w:p>
      <w:pPr>
        <w:spacing w:after="0" w:line="217"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Productions and Investments in Acquired Content Rights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7" w:name="page18"/>
    <w:bookmarkEnd w:id="1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 that appears not to be recoverable from future net revenues is expensed as part of program cost amortization during the period the loss becomes evident.</w:t>
      </w:r>
    </w:p>
    <w:p>
      <w:pPr>
        <w:spacing w:after="0" w:line="18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Company's unamortized investments in productions and investments in acquired content rights consisted of the following at March 31, 2024, April 2, 2023, and December 31, 2023:</w:t>
      </w: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ind w:left="320"/>
              <w:spacing w:after="0" w:line="165"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4"/>
                <w:szCs w:val="14"/>
                <w:color w:val="auto"/>
              </w:rPr>
            </w:pPr>
          </w:p>
        </w:tc>
        <w:tc>
          <w:tcPr>
            <w:tcW w:w="1820" w:type="dxa"/>
            <w:vAlign w:val="bottom"/>
            <w:gridSpan w:val="2"/>
          </w:tcPr>
          <w:p>
            <w:pPr>
              <w:ind w:left="360"/>
              <w:spacing w:after="0" w:line="165" w:lineRule="exact"/>
              <w:rPr>
                <w:sz w:val="20"/>
                <w:szCs w:val="20"/>
                <w:color w:val="auto"/>
              </w:rPr>
            </w:pPr>
            <w:r>
              <w:rPr>
                <w:rFonts w:ascii="Times New Roman" w:cs="Times New Roman" w:eastAsia="Times New Roman" w:hAnsi="Times New Roman"/>
                <w:sz w:val="16"/>
                <w:szCs w:val="16"/>
                <w:b w:val="1"/>
                <w:bCs w:val="1"/>
                <w:color w:val="auto"/>
              </w:rPr>
              <w:t>April 2,</w:t>
            </w:r>
          </w:p>
        </w:tc>
        <w:tc>
          <w:tcPr>
            <w:tcW w:w="340" w:type="dxa"/>
            <w:vAlign w:val="bottom"/>
          </w:tcPr>
          <w:p>
            <w:pPr>
              <w:spacing w:after="0"/>
              <w:rPr>
                <w:sz w:val="14"/>
                <w:szCs w:val="14"/>
                <w:color w:val="auto"/>
              </w:rPr>
            </w:pPr>
          </w:p>
        </w:tc>
        <w:tc>
          <w:tcPr>
            <w:tcW w:w="1840" w:type="dxa"/>
            <w:vAlign w:val="bottom"/>
          </w:tcPr>
          <w:p>
            <w:pPr>
              <w:jc w:val="right"/>
              <w:ind w:right="539"/>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6"/>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5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(1)</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000" w:type="dxa"/>
            <w:vAlign w:val="bottom"/>
            <w:tcBorders>
              <w:bottom w:val="single" w:sz="8" w:color="auto"/>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Investment in Films and Television Programs:</w:t>
            </w:r>
          </w:p>
        </w:tc>
        <w:tc>
          <w:tcPr>
            <w:tcW w:w="13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Individual Monetization</w:t>
            </w: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Completed and not released</w:t>
            </w:r>
          </w:p>
        </w:tc>
        <w:tc>
          <w:tcPr>
            <w:tcW w:w="4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Pre-production</w:t>
            </w: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color w:val="auto"/>
              </w:rPr>
              <w:t>Film/TV Group Monetization</w:t>
            </w: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3"/>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2"/>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155"/>
        </w:trPr>
        <w:tc>
          <w:tcPr>
            <w:tcW w:w="20" w:type="dxa"/>
            <w:vAlign w:val="bottom"/>
          </w:tcPr>
          <w:p>
            <w:pPr>
              <w:spacing w:after="0"/>
              <w:rPr>
                <w:sz w:val="13"/>
                <w:szCs w:val="13"/>
                <w:color w:val="auto"/>
              </w:rPr>
            </w:pPr>
          </w:p>
        </w:tc>
        <w:tc>
          <w:tcPr>
            <w:tcW w:w="4340" w:type="dxa"/>
            <w:vAlign w:val="bottom"/>
            <w:gridSpan w:val="6"/>
          </w:tcPr>
          <w:p>
            <w:pPr>
              <w:spacing w:after="0" w:line="155" w:lineRule="exact"/>
              <w:rPr>
                <w:sz w:val="20"/>
                <w:szCs w:val="20"/>
                <w:color w:val="auto"/>
              </w:rPr>
            </w:pPr>
            <w:r>
              <w:rPr>
                <w:rFonts w:ascii="Times New Roman" w:cs="Times New Roman" w:eastAsia="Times New Roman" w:hAnsi="Times New Roman"/>
                <w:sz w:val="16"/>
                <w:szCs w:val="16"/>
                <w:color w:val="auto"/>
              </w:rPr>
              <w:t>Investment in Other Programming</w:t>
            </w: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Pre-production</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53"/>
        </w:trPr>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Total Program Investments</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right="80" w:firstLine="8"/>
        <w:spacing w:after="0" w:line="212" w:lineRule="auto"/>
        <w:tabs>
          <w:tab w:leader="none" w:pos="181" w:val="left"/>
        </w:tabs>
        <w:numPr>
          <w:ilvl w:val="0"/>
          <w:numId w:val="17"/>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Investments in productions and investments in acquired content totaling $734.8 million were removed from the Company's balance sheet as of December 31, 2023, in connection with the sale of the eOne Film and TV business completed on December 27, 2023. See note 3 for additional information.</w:t>
      </w:r>
    </w:p>
    <w:p>
      <w:pPr>
        <w:spacing w:after="0" w:line="22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Company recorded $8.1 million of program cost amortization related to released programming during the quarter ended March 31, 2024, consisting of the following:</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60" w:type="dxa"/>
            <w:vAlign w:val="bottom"/>
            <w:tcBorders>
              <w:bottom w:val="single" w:sz="8" w:color="auto"/>
            </w:tcBorders>
          </w:tcPr>
          <w:p>
            <w:pPr>
              <w:spacing w:after="0"/>
              <w:rPr>
                <w:sz w:val="18"/>
                <w:szCs w:val="18"/>
                <w:color w:val="auto"/>
              </w:rPr>
            </w:pPr>
          </w:p>
        </w:tc>
      </w:tr>
      <w:tr>
        <w:trPr>
          <w:trHeight w:val="158"/>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7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production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content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7"/>
        </w:trPr>
        <w:tc>
          <w:tcPr>
            <w:tcW w:w="7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program cost amortization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("ETR") from continuing operations was 27.1% for the quarter ended March 31, 2024 and (3.4)% for the quarter ended April 2,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caused the year-to-date ETR in 2024 to be significantly different from the prior year first quarter ETR:</w:t>
      </w:r>
    </w:p>
    <w:p>
      <w:pPr>
        <w:spacing w:after="0" w:line="9" w:lineRule="exact"/>
        <w:rPr>
          <w:sz w:val="20"/>
          <w:szCs w:val="20"/>
          <w:color w:val="auto"/>
        </w:rPr>
      </w:pPr>
    </w:p>
    <w:p>
      <w:pPr>
        <w:ind w:left="660" w:right="4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2024, the Company recorded a net discrete tax expense of $1.8 million, primarily associated with stock-based compensation.</w:t>
      </w:r>
    </w:p>
    <w:p>
      <w:pPr>
        <w:ind w:left="660" w:right="22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April 2, 2023, the Company recorded a net discrete tax expense of $3.3 million, primarily associated with stock-based compensation coupled with a pre-tax loss for the quarter.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8" w:name="page19"/>
    <w:bookmarkEnd w:id="1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at fair value. The fair value hierarchy consists of three levels:</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based on quoted market prices in active markets for identical assets or liabilities that the entity has the ability to access;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values are based on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9" w:name="page20"/>
    <w:bookmarkEnd w:id="1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At March 31, 2024, April 2, 2023 and December 31, 2023, the Company had the following assets and liabilities measured at fair value in its Consolidated Balance Sheets (excluding assets for which the fair value is measured using net asset value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Quoted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Prices in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Active</w:t>
            </w: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Identical</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auto"/>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5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line="218" w:lineRule="exact"/>
              <w:rPr>
                <w:sz w:val="20"/>
                <w:szCs w:val="20"/>
                <w:color w:val="auto"/>
              </w:rPr>
            </w:pPr>
            <w:r>
              <w:rPr>
                <w:rFonts w:ascii="Times New Roman" w:cs="Times New Roman" w:eastAsia="Times New Roman" w:hAnsi="Times New Roman"/>
                <w:sz w:val="16"/>
                <w:szCs w:val="16"/>
                <w:color w:val="auto"/>
              </w:rPr>
              <w:t xml:space="preserve">Available-for-sale securities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April 2, 2023</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4"/>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Available-for-sale securities </w:t>
            </w:r>
            <w:r>
              <w:rPr>
                <w:rFonts w:ascii="Times New Roman" w:cs="Times New Roman" w:eastAsia="Times New Roman" w:hAnsi="Times New Roman"/>
                <w:sz w:val="21"/>
                <w:szCs w:val="21"/>
                <w:color w:val="auto"/>
                <w:vertAlign w:val="superscript"/>
              </w:rPr>
              <w:t>(1)</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4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line="218" w:lineRule="exact"/>
              <w:rPr>
                <w:sz w:val="20"/>
                <w:szCs w:val="20"/>
                <w:color w:val="auto"/>
              </w:rPr>
            </w:pPr>
            <w:r>
              <w:rPr>
                <w:rFonts w:ascii="Times New Roman" w:cs="Times New Roman" w:eastAsia="Times New Roman" w:hAnsi="Times New Roman"/>
                <w:sz w:val="16"/>
                <w:szCs w:val="16"/>
                <w:color w:val="auto"/>
              </w:rPr>
              <w:t xml:space="preserve">Available-for-sale securities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Available-for-sale securities include equity securities of one company quoted on an active public market.</w:t>
      </w:r>
    </w:p>
    <w:p>
      <w:pPr>
        <w:spacing w:after="0" w:line="2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derivatives primarily consist of foreign currency forward and option contracts. The Company uses current forward rates of the respective foreign currencies to measure the fair value of these contracts. There were no changes in these valuation techniques during the quarter ended March 31, 2024. There were no material changes to fair value measurements of the Company's financial instruments which use significant unobservable inputs (Level 3) for both the quarters ended March 31, 2024 and April 2,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0" w:name="page21"/>
    <w:bookmarkEnd w:id="2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short-term borrowings, accounts payable and certain Accrued liabilities. At March 31, 2024, April 2, 2023 and December 31, 2023, the carrying cost of these instruments approximated their fair value. The Company's financial instruments at March 31, 2024, April 2, 2023 and December 31, 2023 also include certain assets and liabilities measured at fair value, as described above. See note 8 for the fair value of the Company's outstanding debt.</w:t>
      </w:r>
    </w:p>
    <w:p>
      <w:pPr>
        <w:spacing w:after="0" w:line="212"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Hasbro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primarily for the remainder of 2024, and into 2025.</w:t>
      </w:r>
    </w:p>
    <w:p>
      <w:pPr>
        <w:spacing w:after="0" w:line="21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March 31, 2024, April 2, 2023 and December 31, 2023, the notional amounts and fair values of the Company's foreign currency forward contracts designated as cash flow hedging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2, 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Hedged transaction</w:t>
            </w: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80" w:type="dxa"/>
            <w:vAlign w:val="bottom"/>
          </w:tcPr>
          <w:p>
            <w:pPr>
              <w:spacing w:after="0"/>
              <w:rPr>
                <w:sz w:val="13"/>
                <w:szCs w:val="13"/>
                <w:color w:val="auto"/>
              </w:rPr>
            </w:pPr>
          </w:p>
        </w:tc>
        <w:tc>
          <w:tcPr>
            <w:tcW w:w="102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5"/>
                <w:szCs w:val="15"/>
                <w:color w:val="auto"/>
              </w:rPr>
            </w:pPr>
          </w:p>
        </w:tc>
        <w:tc>
          <w:tcPr>
            <w:tcW w:w="1020" w:type="dxa"/>
            <w:vAlign w:val="bottom"/>
          </w:tcPr>
          <w:p>
            <w:pPr>
              <w:jc w:val="right"/>
              <w:ind w:right="379"/>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purchases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Production financing and other</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March 31, 2024, April 2, 2023 and December 31, 2023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2,</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3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2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63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Other Assets</w:t>
            </w: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63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2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1" w:name="page22"/>
    <w:bookmarkEnd w:id="2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(losses) on cash flow hedging activities have been reclassified from other comprehensive earnings (loss) to net earnings for the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April 2, 2023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500" w:type="dxa"/>
            <w:vAlign w:val="bottom"/>
          </w:tcPr>
          <w:p>
            <w:pPr>
              <w:spacing w:after="0"/>
              <w:rPr>
                <w:sz w:val="13"/>
                <w:szCs w:val="13"/>
                <w:color w:val="auto"/>
              </w:rPr>
            </w:pPr>
          </w:p>
        </w:tc>
        <w:tc>
          <w:tcPr>
            <w:tcW w:w="1040" w:type="dxa"/>
            <w:vAlign w:val="bottom"/>
          </w:tcPr>
          <w:p>
            <w:pPr>
              <w:jc w:val="center"/>
              <w:ind w:right="3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2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74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Statements of Operations Classification</w:t>
            </w:r>
          </w:p>
        </w:tc>
        <w:tc>
          <w:tcPr>
            <w:tcW w:w="49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2.5</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0.1</w:t>
            </w:r>
          </w:p>
        </w:tc>
      </w:tr>
      <w:tr>
        <w:trPr>
          <w:trHeight w:val="213"/>
        </w:trPr>
        <w:tc>
          <w:tcPr>
            <w:tcW w:w="2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7"/>
              </w:rPr>
              <w:t>(0.2)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(losses) gains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Undesignated Hedges</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March 31, 2024, April 2, 2023 and December 31, 2023, the total notional amounts of the Company's undesignated derivative instruments were $328.6 million, $723.3 million and $340.5 million, respectively.</w:t>
      </w:r>
    </w:p>
    <w:p>
      <w:pPr>
        <w:spacing w:after="0" w:line="21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At March 31, 2024, April 2, 2023 and December 31, 2023, the fair values of the Company's undesignated derivative financial instruments were recorded in the Consolidated Balance Sheets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line="165" w:lineRule="exact"/>
              <w:rPr>
                <w:sz w:val="20"/>
                <w:szCs w:val="20"/>
                <w:color w:val="auto"/>
              </w:rPr>
            </w:pPr>
            <w:r>
              <w:rPr>
                <w:rFonts w:ascii="Times New Roman" w:cs="Times New Roman" w:eastAsia="Times New Roman" w:hAnsi="Times New Roman"/>
                <w:sz w:val="16"/>
                <w:szCs w:val="16"/>
                <w:b w:val="1"/>
                <w:bCs w:val="1"/>
                <w:color w:val="auto"/>
              </w:rPr>
              <w:t>April 2,</w:t>
            </w:r>
          </w:p>
        </w:tc>
        <w:tc>
          <w:tcPr>
            <w:tcW w:w="200" w:type="dxa"/>
            <w:vAlign w:val="bottom"/>
          </w:tcPr>
          <w:p>
            <w:pPr>
              <w:spacing w:after="0"/>
              <w:rPr>
                <w:sz w:val="14"/>
                <w:szCs w:val="14"/>
                <w:color w:val="auto"/>
              </w:rPr>
            </w:pPr>
          </w:p>
        </w:tc>
        <w:tc>
          <w:tcPr>
            <w:tcW w:w="1320" w:type="dxa"/>
            <w:vAlign w:val="bottom"/>
          </w:tcPr>
          <w:p>
            <w:pPr>
              <w:jc w:val="right"/>
              <w:ind w:right="199"/>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3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3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2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recorded net gains of $9.1 million and $4.4 million on these instruments to Other (income) expense, net for the quarters ended March 31, 2024 and April 2, 2023, respectively, relating to the change in fair value of such derivatives, substantially offsetting gains and losses from the change in fair value of intercompany loans to which the contracts relate.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the Company's derivative financial instruments (see notes 6 and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2" w:name="page23"/>
    <w:bookmarkEnd w:id="2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Actions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2018 and 2020, the Company took certain restructuring actions including headcount reduction aimed at right-sizing the Company’s cost-structure and integration actions related to the acquisition of eOne. As of March 31, 2024, the Company had a remaining balance of $1.0 million in severance and other employee expenses related to these programs included within Other accrued liabilities in the Consolidated Balance Sheets, after making payments of $1.6 million in the first quarter of 2024. Substantially all of the remaining cash payments related to these programs are expected to be made by the end of 2024.</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2022 and 2023, Hasbro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which will include voluntary early retirement for certain groups of employees and additional involuntary reduction in employees ("Additional Actions"). The Company currently anticipates that the Additional Actions will be substantially complete over the next 18 to 24 months.</w:t>
      </w:r>
    </w:p>
    <w:p>
      <w:pPr>
        <w:spacing w:after="0" w:line="21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Charges related to the Program were recorded in Selling, distribution and administration within Corporate and Other. Going forward, the Company may implement further cost-saving initiatives under the Program that could result in additional restructuring charges including severance and other employee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liability balance associated with the Program related restructuring actions consisted of severance payments recorded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in the Consolidated Balance Sheets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gridSpan w:val="2"/>
            <w:vMerge w:val="restart"/>
          </w:tcPr>
          <w:p>
            <w:pPr>
              <w:spacing w:after="0"/>
              <w:rPr>
                <w:sz w:val="20"/>
                <w:szCs w:val="20"/>
                <w:color w:val="auto"/>
              </w:rPr>
            </w:pPr>
            <w:r>
              <w:rPr>
                <w:rFonts w:ascii="Arial" w:cs="Arial" w:eastAsia="Arial" w:hAnsi="Arial"/>
                <w:sz w:val="16"/>
                <w:szCs w:val="16"/>
                <w:color w:val="auto"/>
              </w:rPr>
              <w:t>Operational Excellence</w:t>
            </w:r>
          </w:p>
        </w:tc>
        <w:tc>
          <w:tcPr>
            <w:tcW w:w="220" w:type="dxa"/>
            <w:vAlign w:val="bottom"/>
          </w:tcPr>
          <w:p>
            <w:pPr>
              <w:spacing w:after="0"/>
              <w:rPr>
                <w:sz w:val="13"/>
                <w:szCs w:val="13"/>
                <w:color w:val="auto"/>
              </w:rPr>
            </w:pPr>
          </w:p>
        </w:tc>
        <w:tc>
          <w:tcPr>
            <w:tcW w:w="1280" w:type="dxa"/>
            <w:vAlign w:val="bottom"/>
            <w:gridSpan w:val="2"/>
          </w:tcPr>
          <w:p>
            <w:pPr>
              <w:ind w:left="100"/>
              <w:spacing w:after="0" w:line="155" w:lineRule="exact"/>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6"/>
                <w:szCs w:val="16"/>
                <w:b w:val="1"/>
                <w:bCs w:val="1"/>
                <w:color w:val="auto"/>
              </w:rPr>
              <w:t>April 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3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39"/>
              <w:spacing w:after="0" w:line="175"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beginning of the year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restructuring charges incurred to date under the Program, along with the estimated charges expected to be incurred on approved initiatives under the Programs as of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80" w:type="dxa"/>
            <w:vAlign w:val="bottom"/>
            <w:gridSpan w:val="2"/>
          </w:tcPr>
          <w:p>
            <w:pPr>
              <w:spacing w:after="0"/>
              <w:rPr>
                <w:sz w:val="20"/>
                <w:szCs w:val="20"/>
                <w:color w:val="auto"/>
              </w:rPr>
            </w:pPr>
            <w:r>
              <w:rPr>
                <w:rFonts w:ascii="Arial" w:cs="Arial" w:eastAsia="Arial" w:hAnsi="Arial"/>
                <w:sz w:val="16"/>
                <w:szCs w:val="16"/>
                <w:color w:val="auto"/>
              </w:rPr>
              <w:t>Operational Excellence</w:t>
            </w:r>
          </w:p>
        </w:tc>
        <w:tc>
          <w:tcPr>
            <w:tcW w:w="240" w:type="dxa"/>
            <w:vAlign w:val="bottom"/>
          </w:tcPr>
          <w:p>
            <w:pPr>
              <w:spacing w:after="0"/>
              <w:rPr>
                <w:sz w:val="16"/>
                <w:szCs w:val="16"/>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Charges incurred to date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r>
      <w:tr>
        <w:trPr>
          <w:trHeight w:val="215"/>
        </w:trPr>
        <w:tc>
          <w:tcPr>
            <w:tcW w:w="20" w:type="dxa"/>
            <w:vAlign w:val="bottom"/>
            <w:tcBorders>
              <w:bottom w:val="single" w:sz="8" w:color="CCEEFF"/>
            </w:tcBorders>
          </w:tcPr>
          <w:p>
            <w:pPr>
              <w:spacing w:after="0"/>
              <w:rPr>
                <w:sz w:val="18"/>
                <w:szCs w:val="18"/>
                <w:color w:val="auto"/>
              </w:rPr>
            </w:pPr>
          </w:p>
        </w:tc>
        <w:tc>
          <w:tcPr>
            <w:tcW w:w="100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charges to be incurred on approved initiatives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0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expected charges on approved initiatives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21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Contractual obligations and commercial commitments, as detailed in the Company's 2023 Form 10-K, did not materially change outside of certain payments made in the normal course of business.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3" w:name="page24"/>
    <w:bookmarkEnd w:id="2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Hasbro is a toy and game company with a broad portfolio of brands and entertainment content spanning toys, games, licensed products ranging from traditional to digital, as well as film and television entertainment. The Company's reportable segments are Consumer Products, Wizards of the Coast and Digital Gaming, Entertainment and Corporate and Other.</w:t>
      </w:r>
    </w:p>
    <w:p>
      <w:pPr>
        <w:spacing w:after="0" w:line="203" w:lineRule="exact"/>
        <w:rPr>
          <w:sz w:val="20"/>
          <w:szCs w:val="20"/>
          <w:color w:val="auto"/>
        </w:rPr>
      </w:pPr>
    </w:p>
    <w:p>
      <w:pPr>
        <w:ind w:left="660" w:right="12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spacing w:after="0" w:line="206"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spacing w:after="0" w:line="206"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Entertainment segment engages in the development and production of Hasbro-branded entertainment content including film, television, children's programming, digital content and live entertainment focused on Hasbro-owned properties. Corporate and Other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by segment and a reconciliation to reported amounts for the quarters ended March 31, 2024 and April 2, 2023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9"/>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w:t>
            </w:r>
          </w:p>
        </w:tc>
      </w:tr>
      <w:tr>
        <w:trPr>
          <w:trHeight w:val="21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13"/>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Entertainment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16"/>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revenues: (b)</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13"/>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Entertainment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intercompany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1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13"/>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Entertainment (a)</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 (a) (c)</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profit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right="100" w:firstLine="8"/>
        <w:spacing w:after="0" w:line="269" w:lineRule="auto"/>
        <w:tabs>
          <w:tab w:leader="none" w:pos="204"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209"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revenues from transactions with other operating segments that are included in the operating profit (loss) of the segment.</w:t>
      </w:r>
    </w:p>
    <w:p>
      <w:pPr>
        <w:spacing w:after="0" w:line="257" w:lineRule="exact"/>
        <w:rPr>
          <w:rFonts w:ascii="Times New Roman" w:cs="Times New Roman" w:eastAsia="Times New Roman" w:hAnsi="Times New Roman"/>
          <w:sz w:val="14"/>
          <w:szCs w:val="14"/>
          <w:i w:val="1"/>
          <w:iCs w:val="1"/>
          <w:color w:val="auto"/>
        </w:rPr>
      </w:pPr>
    </w:p>
    <w:p>
      <w:pPr>
        <w:ind w:firstLine="8"/>
        <w:spacing w:after="0" w:line="266" w:lineRule="auto"/>
        <w:tabs>
          <w:tab w:leader="none" w:pos="196"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Corporate and Other Operating profit (loss) includes Operational Excellence related transformation office and consulting fees of $5.2 million and $10.6 million, for the quarters ended March 31, 2024 and April 2, 2023, respectively, which are recorded within Selling, distribution and administration costs within the Consolidated Statements of Operations. Third party consultants were engaged to assist the Company in performing a comprehensive review of operations and developing a transformation plan designed to support the organization in identifying, realizing, and capturing savings through the identification of organizational initiatives intended to create efficiencies and improve business processes and operations. The consultants assisted in providing benchmark data and are currently assisting with the design of an improved operating model and supply chain function. The Company expects this consulting assistance to conclude within 2024 in line with the planning stages of the final components of the transformation plan.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(Dollar and share amounts in tables presented in millions, unless otherwise noted)</w:t>
      </w:r>
    </w:p>
    <w:p>
      <w:pPr>
        <w:spacing w:after="0" w:line="23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the accompanying unaudited consolidated financial statements and the notes thereto included in this Quarterly Report and the audited consolidated financial statements and the notes thereto in the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Hasbro, Inc. ("Hasbro") is a game, toy, and intellectual property company whose mission is to entertain and connect generations of fans through exhilaration of play and the wonder of storytelling. We are Creating Magic Through Play by delivering engaging brand experiences for global audiences across gaming, consumer products and entertainment, with a portfolio of iconic brands including MAGIC: THE GATHERING, Hasbro Gaming, PLAY-DOH, NERF, TRANSFORMERS, DUNGEONS &amp; DRAGONS, and PEPPA PIG, as well as premier partner brands.</w:t>
      </w:r>
    </w:p>
    <w:p>
      <w:pPr>
        <w:spacing w:after="0" w:line="20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Hasbro is guided by our purpose to create joy and community for all people around the world, one game, one toy, one story at a time. For the past decade, we have been consistently recognized for our corporate citizenship, including being named one of the 100 Best Corporate Citizens by 3BL Media.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fiscal year 2023, we embarked upon an ambitious, multi-year transformation guided by our revamped strategy to focus on fewer, bigger and better brands. Since that announcement, we have been able to create efficiencies in our supply chain, improve our inventory position, lower our costs, and reinvest back into the business. In addition, we have strengthened our leadership team with industry veterans and turnaround experts and have focused our strategic investments on our most valuable and profitable franchises across games, toys, licensing and entertainment. This focused strategy also led to the decision to sell certain non-core parts of our business, including the Entertainment One film and television business ("eOne Film and TV") in December 2023, while retaining brand-based created content and the capability to develop and produce entertainment including animation, digital shorts, scripted TV and theatrical films related to core Hasbro IP, as well as our Family Brands business. In addition, during 2023, we experienced stronger than expected market headwinds within our Consumer Products business, resulting in our difficult decision to take additional headcount reductions and accelerate the process of certain organizational structure changes in an effort to strengthen our foundation and position Hasbro for growth.</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the Company experienced expected declines in revenue from $1,001.0 million in the first quarter of 2023 to $757.3 million in the first quarter of 2024 driven primarily by the sale of eOne Film and TV business and by broader industry trends, exited businesses, and reduced closeout sales in the Consumer Products business. The Company made strong progress towards its ongoing turnaround efforts while achieving a strong operating profit of $116.2 million in the first quarter of 2024 as compared to $17.9 million in first quarter of 2023. See the below discussion for the consolidated and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consolidated results of operations for the quarters ended March 31, 2024 and April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80" w:type="dxa"/>
            <w:vAlign w:val="bottom"/>
            <w:tcBorders>
              <w:bottom w:val="single" w:sz="8" w:color="auto"/>
            </w:tcBorders>
          </w:tcPr>
          <w:p>
            <w:pPr>
              <w:spacing w:after="0"/>
              <w:rPr>
                <w:sz w:val="18"/>
                <w:szCs w:val="18"/>
                <w:color w:val="auto"/>
              </w:rPr>
            </w:pPr>
          </w:p>
        </w:tc>
      </w:tr>
      <w:tr>
        <w:trPr>
          <w:trHeight w:val="158"/>
        </w:trPr>
        <w:tc>
          <w:tcPr>
            <w:tcW w:w="4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gridSpan w:val="5"/>
          </w:tcPr>
          <w:p>
            <w:pPr>
              <w:jc w:val="center"/>
              <w:ind w:right="1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280" w:type="dxa"/>
            <w:vAlign w:val="bottom"/>
          </w:tcPr>
          <w:p>
            <w:pPr>
              <w:spacing w:after="0"/>
              <w:rPr>
                <w:sz w:val="13"/>
                <w:szCs w:val="13"/>
                <w:color w:val="auto"/>
              </w:rPr>
            </w:pPr>
          </w:p>
        </w:tc>
        <w:tc>
          <w:tcPr>
            <w:tcW w:w="1540" w:type="dxa"/>
            <w:vAlign w:val="bottom"/>
            <w:gridSpan w:val="3"/>
          </w:tcPr>
          <w:p>
            <w:pPr>
              <w:jc w:val="center"/>
              <w:ind w:left="919"/>
              <w:spacing w:after="0" w:line="158" w:lineRule="exact"/>
              <w:rPr>
                <w:sz w:val="20"/>
                <w:szCs w:val="20"/>
                <w:color w:val="auto"/>
              </w:rPr>
            </w:pPr>
            <w:r>
              <w:rPr>
                <w:rFonts w:ascii="Times New Roman" w:cs="Times New Roman" w:eastAsia="Times New Roman" w:hAnsi="Times New Roman"/>
                <w:sz w:val="16"/>
                <w:szCs w:val="16"/>
                <w:b w:val="1"/>
                <w:bCs w:val="1"/>
                <w:color w:val="auto"/>
              </w:rPr>
              <w:t>April 2,</w:t>
            </w:r>
          </w:p>
        </w:tc>
        <w:tc>
          <w:tcPr>
            <w:tcW w:w="1280" w:type="dxa"/>
            <w:vAlign w:val="bottom"/>
          </w:tcPr>
          <w:p>
            <w:pPr>
              <w:spacing w:after="0"/>
              <w:rPr>
                <w:sz w:val="13"/>
                <w:szCs w:val="13"/>
                <w:color w:val="auto"/>
              </w:rPr>
            </w:pPr>
          </w:p>
        </w:tc>
      </w:tr>
      <w:tr>
        <w:trPr>
          <w:trHeight w:val="214"/>
        </w:trPr>
        <w:tc>
          <w:tcPr>
            <w:tcW w:w="49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80" w:type="dxa"/>
            <w:vAlign w:val="bottom"/>
            <w:tcBorders>
              <w:bottom w:val="single" w:sz="8" w:color="auto"/>
            </w:tcBorders>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 Sales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 of Net Sales</w:t>
            </w:r>
          </w:p>
        </w:tc>
      </w:tr>
      <w:tr>
        <w:trPr>
          <w:trHeight w:val="21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757.3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cost amortization</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494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641.1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98.2 %</w:t>
            </w:r>
          </w:p>
        </w:tc>
      </w:tr>
      <w:tr>
        <w:trPr>
          <w:trHeight w:val="20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116.2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49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49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4"/>
        </w:trPr>
        <w:tc>
          <w:tcPr>
            <w:tcW w:w="4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90"/>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4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revenues - </w:t>
      </w:r>
      <w:r>
        <w:rPr>
          <w:rFonts w:ascii="Times New Roman" w:cs="Times New Roman" w:eastAsia="Times New Roman" w:hAnsi="Times New Roman"/>
          <w:sz w:val="18"/>
          <w:szCs w:val="18"/>
          <w:color w:val="auto"/>
        </w:rPr>
        <w:t>Net revenues for the first quarter of 2024 declined 24% to $757.3 million from $1,001.0 million for the first quarter of 2023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a $157.4 million, or 85%, decline in the Entertainment segment and a $107.4 million, or 21%, decline in the Consumer Products segment, partially offset by a $21.1 million, or 7%, increase in the Wizards of the Coast and Digital Gaming segment. See the Segment Results discussion below for further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portfolio category for the quarters ended March 31, 2024 and April 2,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40" w:type="dxa"/>
            <w:vAlign w:val="bottom"/>
            <w:tcBorders>
              <w:bottom w:val="single" w:sz="8" w:color="auto"/>
            </w:tcBorders>
          </w:tcPr>
          <w:p>
            <w:pPr>
              <w:spacing w:after="0"/>
              <w:rPr>
                <w:sz w:val="18"/>
                <w:szCs w:val="18"/>
                <w:color w:val="auto"/>
              </w:rPr>
            </w:pPr>
          </w:p>
        </w:tc>
      </w:tr>
      <w:tr>
        <w:trPr>
          <w:trHeight w:val="159"/>
        </w:trPr>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3"/>
                <w:szCs w:val="13"/>
                <w:color w:val="auto"/>
              </w:rPr>
            </w:pPr>
          </w:p>
        </w:tc>
        <w:tc>
          <w:tcPr>
            <w:tcW w:w="142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April 2,</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324"/>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Non-Hasbro Branded Film &amp; TV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5"/>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ind w:right="240" w:firstLine="8"/>
        <w:spacing w:after="0"/>
        <w:tabs>
          <w:tab w:leader="none" w:pos="132" w:val="left"/>
        </w:tabs>
        <w:numPr>
          <w:ilvl w:val="0"/>
          <w:numId w:val="29"/>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decreased $6.9 million, or 1%, in the first quarter of 2024,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2023. The net revenue decrease primarily reflects lower net revenues from NERF products and TRANSFORMERS products. Net revenues from TRANSFORMERS products in the first quarter of 2023 were supported by the June 2023 theatrical release of Transformers: Rise of the Beasts. The lower net revenues from NERF and TRANSFORMERS products were partially offset by higher net revenues from MAGIC: THE GATHERING products, primarily due to the timing of set releases in the third quarter of 2023 and along with higher revenues from PEPPA PIG.</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decreased $45.0 million, or 34% in the first quarter of 2024,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2023.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21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2024, Partner Brands net revenue decreases were driven by lower net revenues from the Company's products for STAR WARS and MARVEL which benefited from a robust slate of entertainment releases in prior years without a more recent release entertainment release to support revenue in the first quarter of 2024. Additionally, revenue in the first quarter of 2023 was higher due to the Company's products for INDIANA JONES supported by the June 2023 theatrical release of </w:t>
      </w:r>
      <w:r>
        <w:rPr>
          <w:rFonts w:ascii="Times New Roman" w:cs="Times New Roman" w:eastAsia="Times New Roman" w:hAnsi="Times New Roman"/>
          <w:sz w:val="18"/>
          <w:szCs w:val="18"/>
          <w:i w:val="1"/>
          <w:iCs w:val="1"/>
          <w:color w:val="auto"/>
        </w:rPr>
        <w:t>Indiana Jones and the Dial of Destiny</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PORTFOLIO BRANDS: </w:t>
      </w:r>
      <w:r>
        <w:rPr>
          <w:rFonts w:ascii="Times New Roman" w:cs="Times New Roman" w:eastAsia="Times New Roman" w:hAnsi="Times New Roman"/>
          <w:sz w:val="18"/>
          <w:szCs w:val="18"/>
          <w:color w:val="auto"/>
        </w:rPr>
        <w:t>Portfolio Brands net revenues decreased 31% in the first quarter of 2024 compared to the first quarter of 2023. Lower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MY LITTLE PONY, POWER RANGERS, and PJ MASKS products were partially offset by revenue contributions from FURBY products following the Company's reintroduction of the brand and refreshed product line during the second quarter of 2023.</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NON-HASBRO BRANDED FILM &amp; TV</w:t>
      </w:r>
      <w:r>
        <w:rPr>
          <w:rFonts w:ascii="Times New Roman" w:cs="Times New Roman" w:eastAsia="Times New Roman" w:hAnsi="Times New Roman"/>
          <w:sz w:val="18"/>
          <w:szCs w:val="18"/>
          <w:color w:val="auto"/>
        </w:rPr>
        <w:t>: Net revenues from Non-Hasbro Branded Film &amp; TV decreased $162.8 million in the first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first quarter of 2023. Net revenues from the Company's Non-Hasbro-branded Film and TV portfolio were associated with the eOne Film and TV business sold during the fourth quarter of 2023. Effective in the first quarter of 2024, the Company moved the remaining Non-Hasbro Branded Film &amp; TV brands into Portfolio Brands to align with the Company's Brand Strategy. For comparability, net revenues for quarter ended April 2, 2023, has been reclassified to reflect the movement, resulting in a change of $0.1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25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sales - </w:t>
      </w:r>
      <w:r>
        <w:rPr>
          <w:rFonts w:ascii="Times New Roman" w:cs="Times New Roman" w:eastAsia="Times New Roman" w:hAnsi="Times New Roman"/>
          <w:sz w:val="18"/>
          <w:szCs w:val="18"/>
          <w:color w:val="auto"/>
        </w:rPr>
        <w:t>Cost of sales for the first quarter of 2024 was $204.2 million, or 27.0% of net revenues, compared to $285.3 million, or 28.5%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first quarter of 2023. The Cost of sales decrease in dollars was driven primarily by lower sales volumes as well as cost savings from the Company's Operational Excellence Program.</w:t>
      </w:r>
    </w:p>
    <w:p>
      <w:pPr>
        <w:spacing w:after="0" w:line="19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Program cost amortization - </w:t>
      </w:r>
      <w:r>
        <w:rPr>
          <w:rFonts w:ascii="Times New Roman" w:cs="Times New Roman" w:eastAsia="Times New Roman" w:hAnsi="Times New Roman"/>
          <w:sz w:val="18"/>
          <w:szCs w:val="18"/>
          <w:color w:val="auto"/>
        </w:rPr>
        <w:t>Program cost amortization decreased to $8.1 million, or 1.1% of net revenues, for the first quarter of 2024 from $122.5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12.2% of net revenues, for the first quarter of 2023. Program costs are capitalized as incurred and amortized primarily using the individual-film-forecast method which matches costs to the related recognized revenue. The decrease in dollars and as a percent of net revenues during the first quarter of 2024 was driven by the impact of the sale of the eOne Film and TV business during the fourth quarter of 2023 as prior year Program costs were primarily associated with the eOne Film and TV business.</w:t>
      </w:r>
    </w:p>
    <w:p>
      <w:pPr>
        <w:spacing w:after="0" w:line="20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Royalties - </w:t>
      </w:r>
      <w:r>
        <w:rPr>
          <w:rFonts w:ascii="Times New Roman" w:cs="Times New Roman" w:eastAsia="Times New Roman" w:hAnsi="Times New Roman"/>
          <w:sz w:val="18"/>
          <w:szCs w:val="18"/>
          <w:color w:val="auto"/>
        </w:rPr>
        <w:t>Royalty expense for the first quarter of 2024 decreased to $50.9 million, or 6.7% of net revenues, compared to $69.0 million, or 6.9%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first quarter of 2023. Fluctuations in Royalty expense are generally related to the volume of content releases and deliveries and entertainment-driven products sold. The decrease in Royalty expense in dollars and as a percent of net revenues during the first quarter of 2024 directly reflects the impact of the sale of the eOne Film and TV business.</w:t>
      </w:r>
    </w:p>
    <w:p>
      <w:pPr>
        <w:spacing w:after="0" w:line="20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development - </w:t>
      </w:r>
      <w:r>
        <w:rPr>
          <w:rFonts w:ascii="Times New Roman" w:cs="Times New Roman" w:eastAsia="Times New Roman" w:hAnsi="Times New Roman"/>
          <w:sz w:val="18"/>
          <w:szCs w:val="18"/>
          <w:color w:val="auto"/>
        </w:rPr>
        <w:t>Product development expense for the first quarter of 2024 was $65.5 million, or 8.6% of net revenues, compared to $83.3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8.3% of net revenues, for the first quarter of 2023. The decrease in Product development expense during the first quarter of 2024 was driven by the Company's Operational Excellence Program along with phasing of product releases.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8" w:name="page29"/>
    <w:bookmarkEnd w:id="28"/>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 </w:t>
      </w:r>
      <w:r>
        <w:rPr>
          <w:rFonts w:ascii="Times New Roman" w:cs="Times New Roman" w:eastAsia="Times New Roman" w:hAnsi="Times New Roman"/>
          <w:sz w:val="18"/>
          <w:szCs w:val="18"/>
          <w:color w:val="auto"/>
        </w:rPr>
        <w:t>Advertising expense for the first quarter of 2024 was $51.5 million, or 6.8% of net revenues, compared to $82.8 million, or 8.3%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first quarter of 2023. The Advertising expense decrease during the first quarter of 2024 was primarily driven by the sale of the eOne Film and TV business, a decline in advertising expense, along with declines in the advertising expense in the Consumer Products segment due to lower net revenues.</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 </w:t>
      </w:r>
      <w:r>
        <w:rPr>
          <w:rFonts w:ascii="Times New Roman" w:cs="Times New Roman" w:eastAsia="Times New Roman" w:hAnsi="Times New Roman"/>
          <w:sz w:val="18"/>
          <w:szCs w:val="18"/>
          <w:color w:val="auto"/>
        </w:rPr>
        <w:t>Amortization of intangible assets decreased to $17.0 million, or 2.2% of net revenues, for the first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$23.1 million, or 2.3% of net revenues, for the first quarter of 2023. The decrease in 2024 reflects lower definite lived intangible assets due to the sale of the eOne Film and TV business and impairments taken in 2023. See further detail of impairments taken in 2023 in Note 6 of the 2023 Annual Report.</w:t>
      </w:r>
    </w:p>
    <w:p>
      <w:pPr>
        <w:spacing w:after="0" w:line="2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distribution and administration - </w:t>
      </w:r>
      <w:r>
        <w:rPr>
          <w:rFonts w:ascii="Times New Roman" w:cs="Times New Roman" w:eastAsia="Times New Roman" w:hAnsi="Times New Roman"/>
          <w:sz w:val="18"/>
          <w:szCs w:val="18"/>
          <w:color w:val="auto"/>
        </w:rPr>
        <w:t>Selling, distribution and administration expenses decreased to $234.8 million, or 31.0% of net revenues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2024, from $317.1 million, or 31.7% of net revenues, for the first quarter of 2023. The decrease in Selling, distribution and administration expenses during the first quarter of 2024 primarily reflects lower administrative expenses due to cost savings from the Company's Operational Excellence Program, along with a non-recurring stock-compensation adjustment of $18.1 million.</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 </w:t>
      </w:r>
      <w:r>
        <w:rPr>
          <w:rFonts w:ascii="Times New Roman" w:cs="Times New Roman" w:eastAsia="Times New Roman" w:hAnsi="Times New Roman"/>
          <w:sz w:val="18"/>
          <w:szCs w:val="18"/>
          <w:color w:val="auto"/>
        </w:rPr>
        <w:t>The operating profit for the first quarter of 2024 was $116.2 million, or 15.3% of net revenues, compared to operating profit of $17.9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1.8% of net revenues, for the first quarter of 2023 driven by the factors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2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Interest expense - </w:t>
      </w:r>
      <w:r>
        <w:rPr>
          <w:rFonts w:ascii="Times New Roman" w:cs="Times New Roman" w:eastAsia="Times New Roman" w:hAnsi="Times New Roman"/>
          <w:sz w:val="18"/>
          <w:szCs w:val="18"/>
          <w:color w:val="auto"/>
        </w:rPr>
        <w:t>Interest expense for the first quarter of 2024 totaled $38.5 million compared to $46.3 million in the first quarter of 2023. The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for the first quarter of 2024 primarily reflects lower outstanding borrowings in the first quarter of 2024 as compared to first quarter of 2023 due to the assumption of the production financing borrowings by Lionsgate as part of the eOne Film and TV business and due to the retirement of the Company's variable-rate Five-Year term loan using proceeds from the sale of the eOne Film and TV business, both occurring during the fourth quarter of 2023.</w:t>
      </w:r>
    </w:p>
    <w:p>
      <w:pPr>
        <w:spacing w:after="0" w:line="20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 </w:t>
      </w:r>
      <w:r>
        <w:rPr>
          <w:rFonts w:ascii="Times New Roman" w:cs="Times New Roman" w:eastAsia="Times New Roman" w:hAnsi="Times New Roman"/>
          <w:sz w:val="18"/>
          <w:szCs w:val="18"/>
          <w:color w:val="auto"/>
        </w:rPr>
        <w:t>Interest income was $8.3 million for the first quarter of 2024, compared to $6.0 million in the first quarter of 2023. Higher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 2024 primarily reflects higher average interest rates in 2024 compared to 2023.</w:t>
      </w:r>
    </w:p>
    <w:p>
      <w:pPr>
        <w:spacing w:after="0" w:line="18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 (income), net - </w:t>
      </w:r>
      <w:r>
        <w:rPr>
          <w:rFonts w:ascii="Times New Roman" w:cs="Times New Roman" w:eastAsia="Times New Roman" w:hAnsi="Times New Roman"/>
          <w:sz w:val="18"/>
          <w:szCs w:val="18"/>
          <w:color w:val="auto"/>
        </w:rPr>
        <w:t>Other expense, net was $5.0 million for the first quarter of 2024, compared to Other income, net of $1.4 million in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The change in Other expense (income), net during 2024 was driven primarily by an increase in foreign currency exchange losses the first quarter of 2024 as compared to the first quarter of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Income tax expense totaled $21.9 million on pre-tax income of $81.0 million in the first quarter of 2024 compared to income tax expense of $0.7 million on pre-tax loss of $21.0 million in the first quarter of 2023. Both periods were impacted by discrete tax events including the accrual of potential interest and penalties on uncertain tax positions. During the first quarter of 2024, the Company recorded unfavorable discrete tax adjustments of $1.8 million compared to a net expense of $3.3 million in the first quarter of 2023. The unfavorable discrete tax adjustments for both periods are primarily associated with stock-based compensation. Absent discrete items, the tax rates for the first quarters of 2024 and 2023 were 22.4% and 12.2%, respectively. The increase in the base rate to 22.4% for the first quarter of 2024 is primarily due to the mix of jurisdictions where the Company earned its profits coupled with a pre-tax loss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for the Company's reportable segments for the quarters ended March 31, 2024 and April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4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3"/>
                <w:szCs w:val="13"/>
                <w:color w:val="auto"/>
              </w:rPr>
            </w:pPr>
          </w:p>
        </w:tc>
        <w:tc>
          <w:tcPr>
            <w:tcW w:w="142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April 2,</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9"/>
              </w:rPr>
              <w:t>Net revenues</w:t>
            </w:r>
          </w:p>
        </w:tc>
        <w:tc>
          <w:tcPr>
            <w:tcW w:w="542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Profit (Loss)</w:t>
            </w:r>
          </w:p>
        </w:tc>
        <w:tc>
          <w:tcPr>
            <w:tcW w:w="4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-921 %</w:t>
            </w:r>
          </w:p>
        </w:tc>
      </w:tr>
      <w:tr>
        <w:trPr>
          <w:trHeight w:val="212"/>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Operating Profit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 Products Segment</w:t>
      </w:r>
    </w:p>
    <w:p>
      <w:pPr>
        <w:spacing w:after="0" w:line="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quarters ended March 31, 2024 and April 2,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8"/>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Consumer Products segment net revenues declined 21% to $413.0 million for the first quarter of 2024 compared to $520.4 million for the first quarter of 2023 primarily driven by broader industry trends, exited businesses, including out-licensing certain brands, and reduced closeout sales as a result of last year's inventory clean up initiatives. The net revenue decrease primarily reflects lower net revenues from NERF products and TRANSFORMERS products. Net revenues from TRANSFORMERS products in the first quarter of 2023 were supported by the June 2023 theatrical release of Transformers: Rise of the Beasts.</w:t>
      </w:r>
    </w:p>
    <w:p>
      <w:pPr>
        <w:spacing w:after="0" w:line="2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Consumer Products segment operating loss for the first quarter of 2024 was $46.9 million or 11.4% of segment net revenues, compared to a segment operating loss of $46.0 million or 8.8% of segment net revenues, for the first quarter of 2023. The decrease in operating profit in the first quarter of 2024 was driven by lower net revenue, partially offset by savings realized from the Company's Operational Excellence program, lower royalty expenses reflecting the mix of products sold, lower advertising and promotion expense and lower freight costs, associated with the lower sales volumes.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Wizards of the Coast and Digital Gaming Segment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quarters ended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9"/>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net revenues increased 7% in the first quarter of 2024 to $316.3 million from $295.2 million in the first quarter of 2023. The net revenue increase in the Wizards of the Coast and Digital Gaming segment during the first quarter of 2024 was primarily attributable to revenue contributions from higher digital licensing of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the DUNGEONS &amp; DRAGONS-based role-playing video game released during the third quarter 2023, and the continued success of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Tabletop Gaming revenue increased 5% behind growth in MAGIC: THE GATHERING shipment timing to support the </w:t>
      </w:r>
      <w:r>
        <w:rPr>
          <w:rFonts w:ascii="Times New Roman" w:cs="Times New Roman" w:eastAsia="Times New Roman" w:hAnsi="Times New Roman"/>
          <w:sz w:val="18"/>
          <w:szCs w:val="18"/>
          <w:i w:val="1"/>
          <w:iCs w:val="1"/>
          <w:color w:val="auto"/>
        </w:rPr>
        <w:t>Outlaws of Thunder Junction</w:t>
      </w:r>
      <w:r>
        <w:rPr>
          <w:rFonts w:ascii="Times New Roman" w:cs="Times New Roman" w:eastAsia="Times New Roman" w:hAnsi="Times New Roman"/>
          <w:sz w:val="18"/>
          <w:szCs w:val="18"/>
          <w:color w:val="auto"/>
        </w:rPr>
        <w:t xml:space="preserve"> release and strong demand for the </w:t>
      </w:r>
      <w:r>
        <w:rPr>
          <w:rFonts w:ascii="Times New Roman" w:cs="Times New Roman" w:eastAsia="Times New Roman" w:hAnsi="Times New Roman"/>
          <w:sz w:val="18"/>
          <w:szCs w:val="18"/>
          <w:i w:val="1"/>
          <w:iCs w:val="1"/>
          <w:color w:val="auto"/>
        </w:rPr>
        <w:t>Universes Beyond</w:t>
      </w:r>
      <w:r>
        <w:rPr>
          <w:rFonts w:ascii="Times New Roman" w:cs="Times New Roman" w:eastAsia="Times New Roman" w:hAnsi="Times New Roman"/>
          <w:sz w:val="18"/>
          <w:szCs w:val="18"/>
          <w:color w:val="auto"/>
        </w:rPr>
        <w:t xml:space="preserve"> Fallout Commander set.</w:t>
      </w:r>
    </w:p>
    <w:p>
      <w:pPr>
        <w:spacing w:after="0" w:line="2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Wizards of the Coast and Digital Gaming segment operating profit was $122.8 million, or 38.8% of segment net revenues for the first quarter of 2024, compared to operating profit of $76.8 million, or 26.0% of segment net revenues, for the first quarter of 2023. The operating profit increase during the first quarter of 2024 was driven by increased net revenues, contributions from higher digital licensing revenue mix, and cost savings initiatives.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Entertainment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quarters ended March 31, 2024 and April 2,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40" w:type="dxa"/>
            <w:vAlign w:val="bottom"/>
            <w:tcBorders>
              <w:bottom w:val="single" w:sz="8" w:color="auto"/>
            </w:tcBorders>
          </w:tcPr>
          <w:p>
            <w:pPr>
              <w:spacing w:after="0"/>
              <w:rPr>
                <w:sz w:val="18"/>
                <w:szCs w:val="18"/>
                <w:color w:val="auto"/>
              </w:rPr>
            </w:pPr>
          </w:p>
        </w:tc>
      </w:tr>
      <w:tr>
        <w:trPr>
          <w:trHeight w:val="159"/>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Pr>
          <w:p>
            <w:pPr>
              <w:spacing w:after="0"/>
              <w:rPr>
                <w:sz w:val="13"/>
                <w:szCs w:val="13"/>
                <w:color w:val="auto"/>
              </w:rPr>
            </w:pPr>
          </w:p>
        </w:tc>
        <w:tc>
          <w:tcPr>
            <w:tcW w:w="104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April 2,</w:t>
            </w:r>
          </w:p>
        </w:tc>
      </w:tr>
      <w:tr>
        <w:trPr>
          <w:trHeight w:val="214"/>
        </w:trPr>
        <w:tc>
          <w:tcPr>
            <w:tcW w:w="8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Film and TV</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Entertainment segment net revenues declined 85% to $28.0 million for the first quarter of 2024, compared to $185.4 million for the first quarter of 2023. The net revenue decrease in the Entertainment segment during the first quarter of 2024 was driven by lower net revenues as a result of the sale of the eOne Film and TV business during the fourth quarter of 2023. Excluding the contributions from the eOne Film and TV business, Family Brands' net revenue increased approximately 65% driven by PEPPA PIG content.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Entertainment segment operating profit was $5.8 million, or 20.7% of segment net revenues for the first quarter of 2024, compared to an operating loss of $8.7 million, or 4.7% of segment net revenues for the first quarter of 2023. The decrease in Entertainment segment operating results during the first quarter of 2024 was driven by the sale of the eOne Film and TV business in the fourth quarter of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Corporate and Other operating profit was $34.5 million for the first quarter of 2024 compared to an operating loss of $4.2 million for the first quarter of 2023. The increase in operating profit in the first quarter of 2024 as compared to the first quarter of 2023 reflects savings realized from the Company's Operational Excellence program and a benefit from an adjustment for stock compensation expense reversal recorded in the first quarter of 2024. Refer to note 1 to the consolidated financial statements for further information on the stock compensation adjustment.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purchase orders with vendors and other parties in the ordinary course of business. Refer to Item 7 of our 2023 Annual Report for additional information regarding the Company’s cash obligations and commitments as of the end of fiscal year 2023. Additionally, refer to note 14 to the consolidated financial statements for a discussion of the Company’s commitments and contingencies. Contractual obligations and commercial commitments, as detailed in the Company's 2023 Form 10-K, did not materially change outside of certain payments made in the normal course of business and as otherwise set forth 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a significant amount of cash from operations. The Company primarily funded its operations and liquidity needs through cash on hand and from cash flows from operations, and when needed, borrowings under its commercial paper program and available lines of credit.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2024, the Company expects to continue to fund its working capital needs primarily through available cash, cash flows from operations and if needed, by issuing commercial paper or borrowing under its revolving credit agreement. 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Company's cash and cash equivalents totaled $570.2 million. As of March 31, 2024, the Company had a total liability of $103.3 million related to a one-time mandatory deemed repatriation tax on undistributed foreign earnings applied in 2017 and paid in interest free installments over eight years. $45.9 million is reflected in current liabilities and represents the Company’s 2024 payment and $57.4 million, representing the Company’s final installment due in 2025, is presented within Other liabilities on the Company’s Consolidated Balance Sheets. The majority of the Company’s cash and cash equivalents held outside of the United States as of March 31, 2024, are denominated in the U.S. dollar.</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March 31, 2024, the Company had no outstanding borrowings related to the commercial paper program.</w:t>
      </w:r>
    </w:p>
    <w:p>
      <w:pPr>
        <w:spacing w:after="0" w:line="20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facility with Bank of America, provides the Company with commitments having a maximum aggregate principal amount of $1.25 billion. The revolving credit facility also provides for a potential additional incremental commitment increase of up to $500.0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March 31, 2024. The Company had no borrowings outstanding under its revolving credit facility as of March 31, 2024. However, letters of credit outstanding under this facility as of March 31, 2024 were approximately $4.0 million. Amounts available and unused under the revolving credit facility at March 31, 2024 were approximately $1.2 billion, inclusive of borrowings under the Company’s commercial paper program. The Company also has other uncommitted lines from various banks, of which approximately $7.9 million was utilized as of March 31, 2024. Of the amount utilized under, or supported by, the uncommitted lines, the full $7.9 million represented letters of credit.</w:t>
      </w:r>
    </w:p>
    <w:p>
      <w:pPr>
        <w:spacing w:after="0" w:line="21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principal amounts of long-term debt as of March 31, 2024 of $3.5 billion, due at varying times from 2024 through 2044. Of the total principal amount of long-term debt, $500.0 million is current as of March 31, 2024 which represents the Company's 3% fixed-rate notes due November 2024. See note 8 to the Company’s consolidated financial statements for additional information on long-term debt and long-term debt interest repayment, respectively.</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assets to the administering bank under the supplier financing program. The Company or the administering bank may terminate the agreement upon at least 30 days’ written notice.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obligations confirmed under the supplier finance program that remain unpaid by the Company were $47.7 million, $66.0 million and</w:t>
      </w:r>
    </w:p>
    <w:p>
      <w:pPr>
        <w:spacing w:after="0" w:line="2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$43.3 million as of March 31, 2024, April 2, 2023 and December 31, 2023, respectively. These obligations are presented within Accounts payable in the Company's Consolidated Balance Sheets. The activity related to this programs is reflected within the operating activities section of the Consolidated Statements of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5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the Consolidated Statement of Cash Flows, expressed in millions of dollars, for the three-month periods ended March 31, 2024 and April 2,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3"/>
                <w:szCs w:val="13"/>
                <w:color w:val="auto"/>
              </w:rPr>
            </w:pPr>
          </w:p>
        </w:tc>
        <w:tc>
          <w:tcPr>
            <w:tcW w:w="1280" w:type="dxa"/>
            <w:vAlign w:val="bottom"/>
          </w:tcPr>
          <w:p>
            <w:pPr>
              <w:jc w:val="right"/>
              <w:ind w:right="459"/>
              <w:spacing w:after="0" w:line="158" w:lineRule="exact"/>
              <w:rPr>
                <w:sz w:val="20"/>
                <w:szCs w:val="20"/>
                <w:color w:val="auto"/>
              </w:rPr>
            </w:pPr>
            <w:r>
              <w:rPr>
                <w:rFonts w:ascii="Times New Roman" w:cs="Times New Roman" w:eastAsia="Times New Roman" w:hAnsi="Times New Roman"/>
                <w:sz w:val="16"/>
                <w:szCs w:val="16"/>
                <w:b w:val="1"/>
                <w:bCs w:val="1"/>
                <w:color w:val="auto"/>
              </w:rPr>
              <w:t>April 2,</w:t>
            </w:r>
          </w:p>
        </w:tc>
      </w:tr>
      <w:tr>
        <w:trPr>
          <w:trHeight w:val="214"/>
        </w:trPr>
        <w:tc>
          <w:tcPr>
            <w:tcW w:w="7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(utilized for):</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10"/>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bl>
    <w:p>
      <w:pPr>
        <w:spacing w:after="0" w:line="3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 the first three months of 2024 was $177.8 million compared to $88.8 million in the first three months of 2023. The $89.0 million increase in net cash provided by Operating activities after adjusting for non-cash items, was primarily attributable to improved net income in the first three months of 2024 compared to first three months of 2023, and working capital benefits, primarily as a result of the sale of the eOne Film and TV business.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utilized for Investing activities was $48.1 million in the first three months of 2024 compared to net cash utilized for Investing activities of $55.6 million in the first three months of 2023. Additions to property, plant and equipment were $45.8 million in the first three months of 2024 compared to $53.2 million in the first three months of 2023.</w:t>
      </w:r>
    </w:p>
    <w:p>
      <w:pPr>
        <w:spacing w:after="0" w:line="20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Net cash utilized for Financing activities was $108.9 million in the first three months of 2024 compared to $156.6 million in the first three months of 2023. Financing activities in the first three months of 2024 primarily include dividends paid of $97.2 million and $10.2 million of payments related to tax withholdings for stock compensation coinciding with equity award vesting activity. Financing activities in the first three months of 2023 include $96.7 million of dividends paid, $30.0 million of principal amortization payments toward the Company's Five-Year Tranche loan, which was retired during the fourth quarter of 2023 using the proceeds received from the sale of eOne Film and TV, as well as drawdowns of $42.8 million and repayments of $54.8 million related to production financing loans, all of which were assumed by Lionsgate effective upon the closing of the sale of the eOne Film and TV business in the fourth quarter of 2023, and $14.0 million of payments related to tax withholdings for stock compensation coinciding with equity award vesting activity.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and intangible assets and income taxes. These critical accounting policies are detailed in the Company's 2023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3" w:name="page34"/>
    <w:bookmarkEnd w:id="33"/>
    <w:p>
      <w:pPr>
        <w:ind w:right="120"/>
        <w:spacing w:after="0" w:line="254" w:lineRule="auto"/>
        <w:rPr>
          <w:sz w:val="20"/>
          <w:szCs w:val="20"/>
          <w:color w:val="auto"/>
        </w:rPr>
      </w:pPr>
      <w:r>
        <w:rPr>
          <w:rFonts w:ascii="Times New Roman" w:cs="Times New Roman" w:eastAsia="Times New Roman" w:hAnsi="Times New Roman"/>
          <w:sz w:val="18"/>
          <w:szCs w:val="18"/>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reflects derivatives at their fair value as an asset or liability on the Consolidated Balance Sheets. The Company does not speculate in foreign currency exchange contracts. See note 12 to the Company’s consolidated financial statements for further details on the Company's derivatives.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fixed-rate long-term debt of $3.5 billion. The Company may from time to time assess interest rate swaps related to its outstanding debt. The Company did not have any outstanding swaps as of March 31, 2024, April 2, 2023, or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significant during the first quarter of 2024 and throughout 2023. 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Part I, Item 2. "Management's Discussion and Analysis of Financial Condition and Results of Operations" and is incorporated herein by reference.</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2024. Based on the evaluation of these disclosure controls and procedures, the Chief Executive Officer and Chief Financial Officer concluded that the Company's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party to certain legal proceedings, none of which it believes to be material to its business or financial condition.</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212529"/>
        </w:rPr>
        <w:t>In connection with information set forth in this Quarterly Report on Form 10-Q, the risk factors discussed under Item 1A. Risk Factors, in Part I of our 2023 Form 10-K and in our subsequent filings, including in this filing, should be considered. The risks set forth in our 2023 Form 10-K and in our subsequent filings, including in this filing, could materially and adversely affect our business, financial condition, and results of operations. There are no material changes from the risk factors as previously disclosed in our 2023 10-K, in any of our subsequently filed reports or as otherwise set forth in this Quarterly Report.</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were no repurchases of the Company’s Common Stock during the three months ended March 31, 2024. At March 31, 2024, Hasbro had $241.6 million remaining available under its share repurchase authorization.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our officers or directors adopted or terminated a “Rule 10b5-1 trading arrangement” or “non-Rule 10b5-1 trading arrangement,” as each term is defined in Item 408(a) and (c)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5" w:name="page36"/>
    <w:bookmarkEnd w:id="3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12" w:lineRule="exact"/>
        <w:rPr>
          <w:sz w:val="20"/>
          <w:szCs w:val="20"/>
          <w:color w:val="auto"/>
        </w:rPr>
      </w:pPr>
    </w:p>
    <w:p>
      <w:pPr>
        <w:ind w:left="980" w:right="30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3.1 </w:t>
      </w:r>
      <w:hyperlink r:id="rId45">
        <w:r>
          <w:rPr>
            <w:rFonts w:ascii="Times New Roman" w:cs="Times New Roman" w:eastAsia="Times New Roman" w:hAnsi="Times New Roman"/>
            <w:sz w:val="16"/>
            <w:szCs w:val="16"/>
            <w:u w:val="single" w:color="auto"/>
            <w:color w:val="0000FF"/>
          </w:rPr>
          <w:t>Restated Articles of Incorporation of the Company. (Incorporated by reference to Exhibit 3.1 to the Company's Quarterly Report on Form 10-Q for the</w:t>
        </w:r>
      </w:hyperlink>
      <w:r>
        <w:rPr>
          <w:rFonts w:ascii="Times New Roman" w:cs="Times New Roman" w:eastAsia="Times New Roman" w:hAnsi="Times New Roman"/>
          <w:sz w:val="16"/>
          <w:szCs w:val="16"/>
          <w:color w:val="auto"/>
        </w:rPr>
        <w:t xml:space="preserve"> </w:t>
      </w:r>
      <w:hyperlink r:id="rId45">
        <w:r>
          <w:rPr>
            <w:rFonts w:ascii="Times New Roman" w:cs="Times New Roman" w:eastAsia="Times New Roman" w:hAnsi="Times New Roman"/>
            <w:sz w:val="16"/>
            <w:szCs w:val="16"/>
            <w:u w:val="single" w:color="auto"/>
            <w:color w:val="0000FF"/>
          </w:rPr>
          <w:t>period ended July 2, 2000, File No. 1-6682.)</w:t>
        </w:r>
      </w:hyperlink>
    </w:p>
    <w:p>
      <w:pPr>
        <w:spacing w:after="0" w:line="56" w:lineRule="exact"/>
        <w:rPr>
          <w:sz w:val="20"/>
          <w:szCs w:val="20"/>
          <w:color w:val="auto"/>
        </w:rPr>
      </w:pPr>
    </w:p>
    <w:p>
      <w:pPr>
        <w:ind w:left="980" w:right="4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3.2 </w:t>
      </w:r>
      <w:hyperlink r:id="rId46">
        <w:r>
          <w:rPr>
            <w:rFonts w:ascii="Times New Roman" w:cs="Times New Roman" w:eastAsia="Times New Roman" w:hAnsi="Times New Roman"/>
            <w:sz w:val="16"/>
            <w:szCs w:val="16"/>
            <w:u w:val="single" w:color="auto"/>
            <w:color w:val="0000FF"/>
          </w:rPr>
          <w:t>Amendment to Articles of Incorporation, dated June 28, 2000. (Incorporated by reference to Exhibit 3.4 to the Company's Quarterly Report on Form 10-Q</w:t>
        </w:r>
      </w:hyperlink>
      <w:r>
        <w:rPr>
          <w:rFonts w:ascii="Times New Roman" w:cs="Times New Roman" w:eastAsia="Times New Roman" w:hAnsi="Times New Roman"/>
          <w:sz w:val="16"/>
          <w:szCs w:val="16"/>
          <w:color w:val="auto"/>
        </w:rPr>
        <w:t xml:space="preserve"> </w:t>
      </w:r>
      <w:hyperlink r:id="rId46">
        <w:r>
          <w:rPr>
            <w:rFonts w:ascii="Times New Roman" w:cs="Times New Roman" w:eastAsia="Times New Roman" w:hAnsi="Times New Roman"/>
            <w:sz w:val="16"/>
            <w:szCs w:val="16"/>
            <w:u w:val="single" w:color="auto"/>
            <w:color w:val="0000FF"/>
          </w:rPr>
          <w:t>for the period ended July 2, 2000, File No. 1-6682.)</w:t>
        </w:r>
      </w:hyperlink>
    </w:p>
    <w:p>
      <w:pPr>
        <w:spacing w:after="0" w:line="56" w:lineRule="exact"/>
        <w:rPr>
          <w:sz w:val="20"/>
          <w:szCs w:val="20"/>
          <w:color w:val="auto"/>
        </w:rPr>
      </w:pPr>
    </w:p>
    <w:p>
      <w:pPr>
        <w:ind w:left="980" w:right="4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3.3 </w:t>
      </w:r>
      <w:hyperlink r:id="rId47">
        <w:r>
          <w:rPr>
            <w:rFonts w:ascii="Times New Roman" w:cs="Times New Roman" w:eastAsia="Times New Roman" w:hAnsi="Times New Roman"/>
            <w:sz w:val="16"/>
            <w:szCs w:val="16"/>
            <w:u w:val="single" w:color="auto"/>
            <w:color w:val="0000FF"/>
          </w:rPr>
          <w:t>Amendment to Articles of Incorporation, dated May 19, 2003. (Incorporated by reference to Exhibit 3.3 to the Company's Quarterly Report on Form 10-Q</w:t>
        </w:r>
      </w:hyperlink>
      <w:r>
        <w:rPr>
          <w:rFonts w:ascii="Times New Roman" w:cs="Times New Roman" w:eastAsia="Times New Roman" w:hAnsi="Times New Roman"/>
          <w:sz w:val="16"/>
          <w:szCs w:val="16"/>
          <w:color w:val="auto"/>
        </w:rPr>
        <w:t xml:space="preserve"> </w:t>
      </w:r>
      <w:hyperlink r:id="rId47">
        <w:r>
          <w:rPr>
            <w:rFonts w:ascii="Times New Roman" w:cs="Times New Roman" w:eastAsia="Times New Roman" w:hAnsi="Times New Roman"/>
            <w:sz w:val="16"/>
            <w:szCs w:val="16"/>
            <w:u w:val="single" w:color="auto"/>
            <w:color w:val="0000FF"/>
          </w:rPr>
          <w:t>for the period ended June 29, 2003, File No. 1-6682.)</w:t>
        </w:r>
      </w:hyperlink>
    </w:p>
    <w:p>
      <w:pPr>
        <w:spacing w:after="0" w:line="56" w:lineRule="exact"/>
        <w:rPr>
          <w:sz w:val="20"/>
          <w:szCs w:val="20"/>
          <w:color w:val="auto"/>
        </w:rPr>
      </w:pPr>
    </w:p>
    <w:p>
      <w:pPr>
        <w:ind w:left="980" w:right="26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3.4 </w:t>
      </w:r>
      <w:hyperlink r:id="rId48">
        <w:r>
          <w:rPr>
            <w:rFonts w:ascii="Times New Roman" w:cs="Times New Roman" w:eastAsia="Times New Roman" w:hAnsi="Times New Roman"/>
            <w:sz w:val="16"/>
            <w:szCs w:val="16"/>
            <w:u w:val="single" w:color="auto"/>
            <w:color w:val="0000FF"/>
          </w:rPr>
          <w:t>Second Amended and Restated Bylaws of the Company (Incorporated by reference to Exhibit 3.1 to the Company’s Current Report on Form 8-K dated</w:t>
        </w:r>
      </w:hyperlink>
      <w:r>
        <w:rPr>
          <w:rFonts w:ascii="Times New Roman" w:cs="Times New Roman" w:eastAsia="Times New Roman" w:hAnsi="Times New Roman"/>
          <w:sz w:val="16"/>
          <w:szCs w:val="16"/>
          <w:color w:val="auto"/>
        </w:rPr>
        <w:t xml:space="preserve"> </w:t>
      </w:r>
      <w:hyperlink r:id="rId48">
        <w:r>
          <w:rPr>
            <w:rFonts w:ascii="Times New Roman" w:cs="Times New Roman" w:eastAsia="Times New Roman" w:hAnsi="Times New Roman"/>
            <w:sz w:val="16"/>
            <w:szCs w:val="16"/>
            <w:u w:val="single" w:color="auto"/>
            <w:color w:val="0000FF"/>
          </w:rPr>
          <w:t>September 30, 2022, File No. 1-6682.)</w:t>
        </w:r>
      </w:hyperlink>
    </w:p>
    <w:p>
      <w:pPr>
        <w:spacing w:after="0" w:line="56" w:lineRule="exact"/>
        <w:rPr>
          <w:sz w:val="20"/>
          <w:szCs w:val="20"/>
          <w:color w:val="auto"/>
        </w:rPr>
      </w:pPr>
    </w:p>
    <w:p>
      <w:pPr>
        <w:ind w:left="98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3.5 </w:t>
      </w:r>
      <w:hyperlink r:id="rId49">
        <w:r>
          <w:rPr>
            <w:rFonts w:ascii="Times New Roman" w:cs="Times New Roman" w:eastAsia="Times New Roman" w:hAnsi="Times New Roman"/>
            <w:sz w:val="16"/>
            <w:szCs w:val="16"/>
            <w:u w:val="single" w:color="auto"/>
            <w:color w:val="0000FF"/>
          </w:rPr>
          <w:t>Certificate of Designations of Series C Junior Participating Preference Stock of Hasbro, Inc. dated June 29, 1999. (Incorporated by reference to Exhibit 3.2</w:t>
        </w:r>
      </w:hyperlink>
      <w:r>
        <w:rPr>
          <w:rFonts w:ascii="Times New Roman" w:cs="Times New Roman" w:eastAsia="Times New Roman" w:hAnsi="Times New Roman"/>
          <w:sz w:val="16"/>
          <w:szCs w:val="16"/>
          <w:color w:val="auto"/>
        </w:rPr>
        <w:t xml:space="preserve"> </w:t>
      </w:r>
      <w:hyperlink r:id="rId49">
        <w:r>
          <w:rPr>
            <w:rFonts w:ascii="Times New Roman" w:cs="Times New Roman" w:eastAsia="Times New Roman" w:hAnsi="Times New Roman"/>
            <w:sz w:val="16"/>
            <w:szCs w:val="16"/>
            <w:u w:val="single" w:color="auto"/>
            <w:color w:val="0000FF"/>
          </w:rPr>
          <w:t>to the Company's Quarterly Report on Form 10-Q for the period ended July 2, 2000, File No. 1-6682.)</w:t>
        </w:r>
      </w:hyperlink>
    </w:p>
    <w:p>
      <w:pPr>
        <w:spacing w:after="0" w:line="56" w:lineRule="exact"/>
        <w:rPr>
          <w:sz w:val="20"/>
          <w:szCs w:val="20"/>
          <w:color w:val="auto"/>
        </w:rPr>
      </w:pPr>
    </w:p>
    <w:p>
      <w:pPr>
        <w:ind w:left="980" w:right="10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3.6 </w:t>
      </w:r>
      <w:hyperlink r:id="rId50">
        <w:r>
          <w:rPr>
            <w:rFonts w:ascii="Times New Roman" w:cs="Times New Roman" w:eastAsia="Times New Roman" w:hAnsi="Times New Roman"/>
            <w:sz w:val="16"/>
            <w:szCs w:val="16"/>
            <w:u w:val="single" w:color="auto"/>
            <w:color w:val="0000FF"/>
          </w:rPr>
          <w:t>Certificate of Vote(s) authorizing a decrease of class or series of any class of shares. (Incorporated by reference to Exhibit 3.3 to the Company's Quarterly</w:t>
        </w:r>
      </w:hyperlink>
      <w:r>
        <w:rPr>
          <w:rFonts w:ascii="Times New Roman" w:cs="Times New Roman" w:eastAsia="Times New Roman" w:hAnsi="Times New Roman"/>
          <w:sz w:val="16"/>
          <w:szCs w:val="16"/>
          <w:color w:val="auto"/>
        </w:rPr>
        <w:t xml:space="preserve"> </w:t>
      </w:r>
      <w:hyperlink r:id="rId50">
        <w:r>
          <w:rPr>
            <w:rFonts w:ascii="Times New Roman" w:cs="Times New Roman" w:eastAsia="Times New Roman" w:hAnsi="Times New Roman"/>
            <w:sz w:val="16"/>
            <w:szCs w:val="16"/>
            <w:u w:val="single" w:color="auto"/>
            <w:color w:val="0000FF"/>
          </w:rPr>
          <w:t>Report on Form 10-Q for the period ended July 2, 2000, File No 1-6682.)</w:t>
        </w:r>
      </w:hyperlink>
    </w:p>
    <w:p>
      <w:pPr>
        <w:spacing w:after="0" w:line="56" w:lineRule="exact"/>
        <w:rPr>
          <w:sz w:val="20"/>
          <w:szCs w:val="20"/>
          <w:color w:val="auto"/>
        </w:rPr>
      </w:pPr>
    </w:p>
    <w:p>
      <w:pPr>
        <w:ind w:left="980" w:right="8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 </w:t>
      </w:r>
      <w:hyperlink r:id="rId51">
        <w:r>
          <w:rPr>
            <w:rFonts w:ascii="Times New Roman" w:cs="Times New Roman" w:eastAsia="Times New Roman" w:hAnsi="Times New Roman"/>
            <w:sz w:val="16"/>
            <w:szCs w:val="16"/>
            <w:u w:val="single" w:color="auto"/>
            <w:color w:val="0000FF"/>
          </w:rPr>
          <w:t>Indenture, dated as of July 17, 1998, by and between the Company and The Bank of New York Mellon Trust Company, N.A. as successor Trustee to</w:t>
        </w:r>
      </w:hyperlink>
      <w:r>
        <w:rPr>
          <w:rFonts w:ascii="Times New Roman" w:cs="Times New Roman" w:eastAsia="Times New Roman" w:hAnsi="Times New Roman"/>
          <w:sz w:val="16"/>
          <w:szCs w:val="16"/>
          <w:color w:val="auto"/>
        </w:rPr>
        <w:t xml:space="preserve"> </w:t>
      </w:r>
      <w:hyperlink r:id="rId51">
        <w:r>
          <w:rPr>
            <w:rFonts w:ascii="Times New Roman" w:cs="Times New Roman" w:eastAsia="Times New Roman" w:hAnsi="Times New Roman"/>
            <w:sz w:val="16"/>
            <w:szCs w:val="16"/>
            <w:u w:val="single" w:color="auto"/>
            <w:color w:val="0000FF"/>
          </w:rPr>
          <w:t>Citibank, N.A. as Trustee. (Incorporated by reference to Exhibit 4.1 to the Company's Current Report on Form 8-K dated July 14, 1998, File No. 1-6682.)</w:t>
        </w:r>
      </w:hyperlink>
    </w:p>
    <w:p>
      <w:pPr>
        <w:spacing w:after="0" w:line="56" w:lineRule="exact"/>
        <w:rPr>
          <w:sz w:val="20"/>
          <w:szCs w:val="20"/>
          <w:color w:val="auto"/>
        </w:rPr>
      </w:pPr>
    </w:p>
    <w:p>
      <w:pPr>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4.2 </w:t>
      </w:r>
      <w:hyperlink r:id="rId52">
        <w:r>
          <w:rPr>
            <w:rFonts w:ascii="Times New Roman" w:cs="Times New Roman" w:eastAsia="Times New Roman" w:hAnsi="Times New Roman"/>
            <w:sz w:val="16"/>
            <w:szCs w:val="16"/>
            <w:u w:val="single" w:color="auto"/>
            <w:color w:val="0000FF"/>
          </w:rPr>
          <w:t>Indenture, dated as of March 15, 2000, by and between the Company and The Bank of New York Mellon Trust Company, N.A. as successor Trustee to the</w:t>
        </w:r>
      </w:hyperlink>
      <w:r>
        <w:rPr>
          <w:rFonts w:ascii="Times New Roman" w:cs="Times New Roman" w:eastAsia="Times New Roman" w:hAnsi="Times New Roman"/>
          <w:sz w:val="16"/>
          <w:szCs w:val="16"/>
          <w:color w:val="auto"/>
        </w:rPr>
        <w:t xml:space="preserve"> </w:t>
      </w:r>
      <w:hyperlink r:id="rId52">
        <w:r>
          <w:rPr>
            <w:rFonts w:ascii="Times New Roman" w:cs="Times New Roman" w:eastAsia="Times New Roman" w:hAnsi="Times New Roman"/>
            <w:sz w:val="16"/>
            <w:szCs w:val="16"/>
            <w:u w:val="single" w:color="auto"/>
            <w:color w:val="0000FF"/>
          </w:rPr>
          <w:t>Bank of Nova Scotia Trust Company of New York. (Incorporated by reference to Exhibit 4(b)(i) to the Company's Annual Report on Form 10-K for the</w:t>
        </w:r>
      </w:hyperlink>
      <w:r>
        <w:rPr>
          <w:rFonts w:ascii="Times New Roman" w:cs="Times New Roman" w:eastAsia="Times New Roman" w:hAnsi="Times New Roman"/>
          <w:sz w:val="16"/>
          <w:szCs w:val="16"/>
          <w:u w:val="single" w:color="auto"/>
          <w:color w:val="0000FF"/>
        </w:rPr>
        <w:t xml:space="preserve"> </w:t>
      </w:r>
      <w:hyperlink r:id="rId52">
        <w:r>
          <w:rPr>
            <w:rFonts w:ascii="Times New Roman" w:cs="Times New Roman" w:eastAsia="Times New Roman" w:hAnsi="Times New Roman"/>
            <w:sz w:val="16"/>
            <w:szCs w:val="16"/>
            <w:u w:val="single" w:color="auto"/>
            <w:color w:val="0000FF"/>
          </w:rPr>
          <w:t>fiscal year ended December 26, 1999, File No. 1-6682.)</w:t>
        </w:r>
      </w:hyperlink>
    </w:p>
    <w:p>
      <w:pPr>
        <w:spacing w:after="0" w:line="60" w:lineRule="exact"/>
        <w:rPr>
          <w:rFonts w:ascii="Times New Roman" w:cs="Times New Roman" w:eastAsia="Times New Roman" w:hAnsi="Times New Roman"/>
          <w:sz w:val="16"/>
          <w:szCs w:val="16"/>
          <w:color w:val="auto"/>
        </w:rPr>
      </w:pPr>
    </w:p>
    <w:p>
      <w:pPr>
        <w:ind w:left="980" w:right="6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4.3 </w:t>
      </w:r>
      <w:hyperlink r:id="rId53">
        <w:r>
          <w:rPr>
            <w:rFonts w:ascii="Times New Roman" w:cs="Times New Roman" w:eastAsia="Times New Roman" w:hAnsi="Times New Roman"/>
            <w:sz w:val="16"/>
            <w:szCs w:val="16"/>
            <w:u w:val="single" w:color="auto"/>
            <w:color w:val="0000FF"/>
          </w:rPr>
          <w:t>First Supplemental Indenture, dated as of September 17, 2007, between the Company and The Bank of New York Mellon Trust Company, N.A. as</w:t>
        </w:r>
      </w:hyperlink>
      <w:r>
        <w:rPr>
          <w:rFonts w:ascii="Times New Roman" w:cs="Times New Roman" w:eastAsia="Times New Roman" w:hAnsi="Times New Roman"/>
          <w:sz w:val="16"/>
          <w:szCs w:val="16"/>
          <w:color w:val="auto"/>
        </w:rPr>
        <w:t xml:space="preserve"> </w:t>
      </w:r>
      <w:hyperlink r:id="rId53">
        <w:r>
          <w:rPr>
            <w:rFonts w:ascii="Times New Roman" w:cs="Times New Roman" w:eastAsia="Times New Roman" w:hAnsi="Times New Roman"/>
            <w:sz w:val="16"/>
            <w:szCs w:val="16"/>
            <w:u w:val="single" w:color="auto"/>
            <w:color w:val="0000FF"/>
          </w:rPr>
          <w:t>successor Trustee to the Bank of Nova Scotia Trust Company of New York. (Incorporated by reference to Exhibit 4.1 to the Company's Current Report on</w:t>
        </w:r>
      </w:hyperlink>
      <w:r>
        <w:rPr>
          <w:rFonts w:ascii="Times New Roman" w:cs="Times New Roman" w:eastAsia="Times New Roman" w:hAnsi="Times New Roman"/>
          <w:sz w:val="16"/>
          <w:szCs w:val="16"/>
          <w:u w:val="single" w:color="auto"/>
          <w:color w:val="0000FF"/>
        </w:rPr>
        <w:t xml:space="preserve"> </w:t>
      </w:r>
      <w:hyperlink r:id="rId53">
        <w:r>
          <w:rPr>
            <w:rFonts w:ascii="Times New Roman" w:cs="Times New Roman" w:eastAsia="Times New Roman" w:hAnsi="Times New Roman"/>
            <w:sz w:val="16"/>
            <w:szCs w:val="16"/>
            <w:u w:val="single" w:color="auto"/>
            <w:color w:val="0000FF"/>
          </w:rPr>
          <w:t>Form 8-K filed September 17, 2007, File No. 1-6682.)</w:t>
        </w:r>
      </w:hyperlink>
    </w:p>
    <w:p>
      <w:pPr>
        <w:spacing w:after="0" w:line="60" w:lineRule="exact"/>
        <w:rPr>
          <w:rFonts w:ascii="Times New Roman" w:cs="Times New Roman" w:eastAsia="Times New Roman" w:hAnsi="Times New Roman"/>
          <w:sz w:val="16"/>
          <w:szCs w:val="16"/>
          <w:color w:val="auto"/>
        </w:rPr>
      </w:pPr>
    </w:p>
    <w:p>
      <w:pPr>
        <w:jc w:val="both"/>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4.4 </w:t>
      </w:r>
      <w:hyperlink r:id="rId54">
        <w:r>
          <w:rPr>
            <w:rFonts w:ascii="Times New Roman" w:cs="Times New Roman" w:eastAsia="Times New Roman" w:hAnsi="Times New Roman"/>
            <w:sz w:val="16"/>
            <w:szCs w:val="16"/>
            <w:u w:val="single" w:color="auto"/>
            <w:color w:val="0000FF"/>
          </w:rPr>
          <w:t>Second Supplemental Indenture, dated as of May 13, 2009,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54">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54">
        <w:r>
          <w:rPr>
            <w:rFonts w:ascii="Times New Roman" w:cs="Times New Roman" w:eastAsia="Times New Roman" w:hAnsi="Times New Roman"/>
            <w:sz w:val="16"/>
            <w:szCs w:val="16"/>
            <w:u w:val="single" w:color="auto"/>
            <w:color w:val="0000FF"/>
          </w:rPr>
          <w:t>filed May 13, 2009, File No. 1-6682.)</w:t>
        </w:r>
      </w:hyperlink>
    </w:p>
    <w:p>
      <w:pPr>
        <w:spacing w:after="0" w:line="60" w:lineRule="exact"/>
        <w:rPr>
          <w:rFonts w:ascii="Times New Roman" w:cs="Times New Roman" w:eastAsia="Times New Roman" w:hAnsi="Times New Roman"/>
          <w:sz w:val="16"/>
          <w:szCs w:val="16"/>
          <w:color w:val="auto"/>
        </w:rPr>
      </w:pPr>
    </w:p>
    <w:p>
      <w:pPr>
        <w:jc w:val="both"/>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4.5 </w:t>
      </w:r>
      <w:hyperlink r:id="rId55">
        <w:r>
          <w:rPr>
            <w:rFonts w:ascii="Times New Roman" w:cs="Times New Roman" w:eastAsia="Times New Roman" w:hAnsi="Times New Roman"/>
            <w:sz w:val="16"/>
            <w:szCs w:val="16"/>
            <w:u w:val="single" w:color="auto"/>
            <w:color w:val="0000FF"/>
          </w:rPr>
          <w:t>Third Supplemental Indenture, dated as of March 11, 2010,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55">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55">
        <w:r>
          <w:rPr>
            <w:rFonts w:ascii="Times New Roman" w:cs="Times New Roman" w:eastAsia="Times New Roman" w:hAnsi="Times New Roman"/>
            <w:sz w:val="16"/>
            <w:szCs w:val="16"/>
            <w:u w:val="single" w:color="auto"/>
            <w:color w:val="0000FF"/>
          </w:rPr>
          <w:t>filed March 11, 2010, File No. 1-6682.)</w:t>
        </w:r>
      </w:hyperlink>
    </w:p>
    <w:p>
      <w:pPr>
        <w:spacing w:after="0" w:line="60" w:lineRule="exact"/>
        <w:rPr>
          <w:rFonts w:ascii="Times New Roman" w:cs="Times New Roman" w:eastAsia="Times New Roman" w:hAnsi="Times New Roman"/>
          <w:sz w:val="16"/>
          <w:szCs w:val="16"/>
          <w:color w:val="auto"/>
        </w:rPr>
      </w:pPr>
    </w:p>
    <w:p>
      <w:pPr>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4.6 </w:t>
      </w:r>
      <w:hyperlink r:id="rId56">
        <w:r>
          <w:rPr>
            <w:rFonts w:ascii="Times New Roman" w:cs="Times New Roman" w:eastAsia="Times New Roman" w:hAnsi="Times New Roman"/>
            <w:sz w:val="16"/>
            <w:szCs w:val="16"/>
            <w:u w:val="single" w:color="auto"/>
            <w:color w:val="0000FF"/>
          </w:rPr>
          <w:t>Fourth Supplemental Indenture, dated May 13, 2014, between the Company and The Bank of New York Mellon Trust Company, N.A. as successor Trustee</w:t>
        </w:r>
      </w:hyperlink>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6"/>
            <w:szCs w:val="16"/>
            <w:u w:val="single" w:color="auto"/>
            <w:color w:val="0000FF"/>
          </w:rPr>
          <w:t>to the Bank of Nova Scotia Trust Company of New York. (Incorporated by reference to Exhibit 4.1 to the Company's Current Report on Form 8-K filed</w:t>
        </w:r>
      </w:hyperlink>
      <w:r>
        <w:rPr>
          <w:rFonts w:ascii="Times New Roman" w:cs="Times New Roman" w:eastAsia="Times New Roman" w:hAnsi="Times New Roman"/>
          <w:sz w:val="16"/>
          <w:szCs w:val="16"/>
          <w:u w:val="single" w:color="auto"/>
          <w:color w:val="0000FF"/>
        </w:rPr>
        <w:t xml:space="preserve"> </w:t>
      </w:r>
      <w:hyperlink r:id="rId56">
        <w:r>
          <w:rPr>
            <w:rFonts w:ascii="Times New Roman" w:cs="Times New Roman" w:eastAsia="Times New Roman" w:hAnsi="Times New Roman"/>
            <w:sz w:val="16"/>
            <w:szCs w:val="16"/>
            <w:u w:val="single" w:color="auto"/>
            <w:color w:val="0000FF"/>
          </w:rPr>
          <w:t>May 13, 2014, file No. 1-6682.)</w:t>
        </w:r>
      </w:hyperlink>
    </w:p>
    <w:p>
      <w:pPr>
        <w:spacing w:after="0" w:line="60" w:lineRule="exact"/>
        <w:rPr>
          <w:rFonts w:ascii="Times New Roman" w:cs="Times New Roman" w:eastAsia="Times New Roman" w:hAnsi="Times New Roman"/>
          <w:sz w:val="16"/>
          <w:szCs w:val="16"/>
          <w:color w:val="auto"/>
        </w:rPr>
      </w:pPr>
    </w:p>
    <w:p>
      <w:pPr>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4.7 </w:t>
      </w:r>
      <w:hyperlink r:id="rId57">
        <w:r>
          <w:rPr>
            <w:rFonts w:ascii="Times New Roman" w:cs="Times New Roman" w:eastAsia="Times New Roman" w:hAnsi="Times New Roman"/>
            <w:sz w:val="16"/>
            <w:szCs w:val="16"/>
            <w:u w:val="single" w:color="auto"/>
            <w:color w:val="0000FF"/>
          </w:rPr>
          <w:t>Fifth Supplemental Indenture, dated September 13, 2017,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57">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57">
        <w:r>
          <w:rPr>
            <w:rFonts w:ascii="Times New Roman" w:cs="Times New Roman" w:eastAsia="Times New Roman" w:hAnsi="Times New Roman"/>
            <w:sz w:val="16"/>
            <w:szCs w:val="16"/>
            <w:u w:val="single" w:color="auto"/>
            <w:color w:val="0000FF"/>
          </w:rPr>
          <w:t>filed September 13, 2017, file No. 1-6682.)</w:t>
        </w:r>
      </w:hyperlink>
    </w:p>
    <w:p>
      <w:pPr>
        <w:spacing w:after="0" w:line="60" w:lineRule="exact"/>
        <w:rPr>
          <w:rFonts w:ascii="Times New Roman" w:cs="Times New Roman" w:eastAsia="Times New Roman" w:hAnsi="Times New Roman"/>
          <w:sz w:val="16"/>
          <w:szCs w:val="16"/>
          <w:color w:val="auto"/>
        </w:rPr>
      </w:pPr>
    </w:p>
    <w:p>
      <w:pPr>
        <w:ind w:left="980" w:right="6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4.8 </w:t>
      </w:r>
      <w:hyperlink r:id="rId58">
        <w:r>
          <w:rPr>
            <w:rFonts w:ascii="Times New Roman" w:cs="Times New Roman" w:eastAsia="Times New Roman" w:hAnsi="Times New Roman"/>
            <w:sz w:val="16"/>
            <w:szCs w:val="16"/>
            <w:u w:val="single" w:color="auto"/>
            <w:color w:val="0000FF"/>
          </w:rPr>
          <w:t>Sixth Supplemental Indenture dated as of November 19, 2019, among the Company and The Bank of New York Mellon Trust Company, N.A. and U.S.</w:t>
        </w:r>
      </w:hyperlink>
      <w:r>
        <w:rPr>
          <w:rFonts w:ascii="Times New Roman" w:cs="Times New Roman" w:eastAsia="Times New Roman" w:hAnsi="Times New Roman"/>
          <w:sz w:val="16"/>
          <w:szCs w:val="16"/>
          <w:color w:val="auto"/>
        </w:rPr>
        <w:t xml:space="preserve"> </w:t>
      </w:r>
      <w:hyperlink r:id="rId58">
        <w:r>
          <w:rPr>
            <w:rFonts w:ascii="Times New Roman" w:cs="Times New Roman" w:eastAsia="Times New Roman" w:hAnsi="Times New Roman"/>
            <w:sz w:val="16"/>
            <w:szCs w:val="16"/>
            <w:u w:val="single" w:color="auto"/>
            <w:color w:val="0000FF"/>
          </w:rPr>
          <w:t>Bank, National Association, supplementing the Indenture dated as of March 15, 2000. (Incorporated by reference to Exhibit 1.2 to the Company’s Current</w:t>
        </w:r>
      </w:hyperlink>
      <w:r>
        <w:rPr>
          <w:rFonts w:ascii="Times New Roman" w:cs="Times New Roman" w:eastAsia="Times New Roman" w:hAnsi="Times New Roman"/>
          <w:sz w:val="16"/>
          <w:szCs w:val="16"/>
          <w:u w:val="single" w:color="auto"/>
          <w:color w:val="0000FF"/>
        </w:rPr>
        <w:t xml:space="preserve"> </w:t>
      </w:r>
      <w:hyperlink r:id="rId58">
        <w:r>
          <w:rPr>
            <w:rFonts w:ascii="Times New Roman" w:cs="Times New Roman" w:eastAsia="Times New Roman" w:hAnsi="Times New Roman"/>
            <w:sz w:val="16"/>
            <w:szCs w:val="16"/>
            <w:u w:val="single" w:color="auto"/>
            <w:color w:val="0000FF"/>
          </w:rPr>
          <w:t>Report on Form 8-K filed November 19, 2019, File No. 1-6682.)</w:t>
        </w:r>
      </w:hyperlink>
    </w:p>
    <w:p>
      <w:pPr>
        <w:spacing w:after="0" w:line="114"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0000FF"/>
        </w:rPr>
        <w:t>Certification of the Chief Executive Officer Pursuant to Rule 13a-14(a) under the Securities Exchange Act of 1934.</w:t>
      </w:r>
    </w:p>
    <w:p>
      <w:pPr>
        <w:spacing w:after="0" w:line="86"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0000FF"/>
        </w:rPr>
        <w:t>Certification of the Chief Financial Officer Pursuant to Rule 13a-14(a) under the Securities Exchange Act of 1934.</w:t>
      </w:r>
    </w:p>
    <w:p>
      <w:pPr>
        <w:spacing w:after="0" w:line="127"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0000FF"/>
        </w:rPr>
        <w:t>Certification of the Chief Executive Officer Pursuant to Rule 13a-14(b) under the Securities Exchange Act of 1934.</w:t>
      </w:r>
    </w:p>
    <w:p>
      <w:pPr>
        <w:spacing w:after="0" w:line="86"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0000FF"/>
        </w:rPr>
        <w:t>Certification of the Chief Financial Officer Pursuant to Rule 13a-14(b) under the Securities Exchange Act of 1934.</w:t>
      </w:r>
    </w:p>
    <w:p>
      <w:pPr>
        <w:spacing w:after="0" w:line="86" w:lineRule="exact"/>
        <w:rPr>
          <w:rFonts w:ascii="Times New Roman" w:cs="Times New Roman" w:eastAsia="Times New Roman" w:hAnsi="Times New Roman"/>
          <w:sz w:val="16"/>
          <w:szCs w:val="16"/>
          <w:color w:val="auto"/>
        </w:rPr>
      </w:pPr>
    </w:p>
    <w:p>
      <w:pPr>
        <w:ind w:left="980" w:right="340" w:hanging="579"/>
        <w:spacing w:after="0" w:line="245" w:lineRule="auto"/>
        <w:rPr>
          <w:sz w:val="20"/>
          <w:szCs w:val="20"/>
          <w:color w:val="auto"/>
        </w:rPr>
      </w:pPr>
      <w:r>
        <w:rPr>
          <w:rFonts w:ascii="Times New Roman" w:cs="Times New Roman" w:eastAsia="Times New Roman" w:hAnsi="Times New Roman"/>
          <w:sz w:val="16"/>
          <w:szCs w:val="16"/>
          <w:color w:val="auto"/>
        </w:rPr>
        <w:t>101.INS XBRL Instance Document - the instance document does not appear in the Interactive Data File because its XBRL tags are embedded within the Inline XBRL Document.</w:t>
      </w:r>
    </w:p>
    <w:p>
      <w:pPr>
        <w:spacing w:after="0" w:line="56" w:lineRule="exact"/>
        <w:rPr>
          <w:rFonts w:ascii="Times New Roman" w:cs="Times New Roman" w:eastAsia="Times New Roman" w:hAnsi="Times New Roman"/>
          <w:sz w:val="16"/>
          <w:szCs w:val="16"/>
          <w:color w:val="auto"/>
        </w:rPr>
      </w:pPr>
    </w:p>
    <w:p>
      <w:pPr>
        <w:ind w:left="360"/>
        <w:spacing w:after="0"/>
        <w:rPr>
          <w:sz w:val="20"/>
          <w:szCs w:val="20"/>
          <w:color w:val="auto"/>
        </w:rPr>
      </w:pPr>
      <w:r>
        <w:rPr>
          <w:rFonts w:ascii="Times New Roman" w:cs="Times New Roman" w:eastAsia="Times New Roman" w:hAnsi="Times New Roman"/>
          <w:sz w:val="16"/>
          <w:szCs w:val="16"/>
          <w:color w:val="auto"/>
        </w:rPr>
        <w:t>101.SCH XBRL Taxonomy Extension Schema Document</w:t>
      </w:r>
    </w:p>
    <w:p>
      <w:pPr>
        <w:spacing w:after="0" w:line="86" w:lineRule="exact"/>
        <w:rPr>
          <w:rFonts w:ascii="Times New Roman" w:cs="Times New Roman" w:eastAsia="Times New Roman" w:hAnsi="Times New Roman"/>
          <w:sz w:val="16"/>
          <w:szCs w:val="16"/>
          <w:color w:val="auto"/>
        </w:rPr>
      </w:pPr>
    </w:p>
    <w:p>
      <w:pPr>
        <w:ind w:left="340"/>
        <w:spacing w:after="0"/>
        <w:rPr>
          <w:sz w:val="20"/>
          <w:szCs w:val="20"/>
          <w:color w:val="auto"/>
        </w:rPr>
      </w:pPr>
      <w:r>
        <w:rPr>
          <w:rFonts w:ascii="Times New Roman" w:cs="Times New Roman" w:eastAsia="Times New Roman" w:hAnsi="Times New Roman"/>
          <w:sz w:val="16"/>
          <w:szCs w:val="16"/>
          <w:color w:val="auto"/>
        </w:rPr>
        <w:t>101.CAL XBRL Taxonomy Extension Calculation Linkbase Document</w:t>
      </w:r>
    </w:p>
    <w:p>
      <w:pPr>
        <w:spacing w:after="0" w:line="86" w:lineRule="exact"/>
        <w:rPr>
          <w:rFonts w:ascii="Times New Roman" w:cs="Times New Roman" w:eastAsia="Times New Roman" w:hAnsi="Times New Roman"/>
          <w:sz w:val="16"/>
          <w:szCs w:val="16"/>
          <w:color w:val="auto"/>
        </w:rPr>
      </w:pPr>
    </w:p>
    <w:p>
      <w:pPr>
        <w:ind w:left="340"/>
        <w:spacing w:after="0"/>
        <w:rPr>
          <w:sz w:val="20"/>
          <w:szCs w:val="20"/>
          <w:color w:val="auto"/>
        </w:rPr>
      </w:pPr>
      <w:r>
        <w:rPr>
          <w:rFonts w:ascii="Times New Roman" w:cs="Times New Roman" w:eastAsia="Times New Roman" w:hAnsi="Times New Roman"/>
          <w:sz w:val="16"/>
          <w:szCs w:val="16"/>
          <w:color w:val="auto"/>
        </w:rPr>
        <w:t>101.LAB XBRL Taxonomy Extension Labels Linkbase Document</w:t>
      </w:r>
    </w:p>
    <w:p>
      <w:pPr>
        <w:spacing w:after="0" w:line="86"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101.PRE XBRL Taxonomy Extension Presentation Linkbase Document</w:t>
      </w:r>
    </w:p>
    <w:p>
      <w:pPr>
        <w:spacing w:after="0" w:line="86"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101.DEF XBRL Taxonomy Extension Definition Linkbase Document</w:t>
      </w:r>
    </w:p>
    <w:p>
      <w:pPr>
        <w:spacing w:after="0" w:line="397"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Furnished herewith</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4" w:lineRule="exact"/>
        <w:rPr>
          <w:rFonts w:ascii="Times New Roman" w:cs="Times New Roman" w:eastAsia="Times New Roman" w:hAnsi="Times New Roman"/>
          <w:sz w:val="16"/>
          <w:szCs w:val="16"/>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7"/>
          <w:szCs w:val="17"/>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Gina Goetter</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67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6740"/>
        <w:spacing w:after="0" w:line="219" w:lineRule="auto"/>
        <w:rPr>
          <w:sz w:val="20"/>
          <w:szCs w:val="20"/>
          <w:color w:val="auto"/>
        </w:rPr>
      </w:pPr>
      <w:r>
        <w:rPr>
          <w:rFonts w:ascii="Times New Roman" w:cs="Times New Roman" w:eastAsia="Times New Roman" w:hAnsi="Times New Roman"/>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945"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Cocks, certify that:</w:t>
      </w:r>
    </w:p>
    <w:p>
      <w:pPr>
        <w:spacing w:after="0" w:line="185"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May 1, 2024</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 Cocks</w:t>
      </w:r>
    </w:p>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Gina Goetter, certify that:</w:t>
      </w:r>
    </w:p>
    <w:p>
      <w:pPr>
        <w:spacing w:after="0" w:line="185"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spacing w:after="0" w:line="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Gina Goetter</w:t>
      </w:r>
    </w:p>
    <w:p>
      <w:pPr>
        <w:ind w:left="612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6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340" w:hanging="412"/>
        <w:spacing w:after="0" w:line="282" w:lineRule="auto"/>
        <w:tabs>
          <w:tab w:leader="none" w:pos="4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2024,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9" w:lineRule="exact"/>
        <w:rPr>
          <w:sz w:val="20"/>
          <w:szCs w:val="20"/>
          <w:color w:val="auto"/>
        </w:rPr>
      </w:pPr>
    </w:p>
    <w:p>
      <w:pPr>
        <w:ind w:left="420" w:right="340" w:hanging="412"/>
        <w:spacing w:after="0" w:line="282" w:lineRule="auto"/>
        <w:tabs>
          <w:tab w:leader="none" w:pos="4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2024,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ind w:left="3100"/>
        <w:spacing w:after="0" w:line="203" w:lineRule="auto"/>
        <w:rPr>
          <w:sz w:val="20"/>
          <w:szCs w:val="20"/>
          <w:color w:val="auto"/>
        </w:rPr>
      </w:pPr>
      <w:r>
        <w:rPr>
          <w:rFonts w:ascii="Times New Roman" w:cs="Times New Roman" w:eastAsia="Times New Roman" w:hAnsi="Times New Roman"/>
          <w:sz w:val="18"/>
          <w:szCs w:val="18"/>
          <w:color w:val="auto"/>
        </w:rPr>
        <w:t>Gina Goetter</w:t>
      </w:r>
    </w:p>
    <w:p>
      <w:pPr>
        <w:jc w:val="center"/>
        <w:ind w:righ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6"/>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2"/>
    </w:lvl>
  </w:abstractNum>
  <w:abstractNum w:abstractNumId="23">
    <w:nsid w:val="836C40E"/>
    <w:multiLevelType w:val="hybridMultilevel"/>
    <w:lvl w:ilvl="0">
      <w:lvlJc w:val="left"/>
      <w:lvlText w:val="(%1)"/>
      <w:numFmt w:val="decimal"/>
      <w:start w:val="13"/>
    </w:lvl>
  </w:abstractNum>
  <w:abstractNum w:abstractNumId="24">
    <w:nsid w:val="2901D82"/>
    <w:multiLevelType w:val="hybridMultilevel"/>
    <w:lvl w:ilvl="0">
      <w:lvlJc w:val="left"/>
      <w:lvlText w:val="(%1)"/>
      <w:numFmt w:val="decimal"/>
      <w:start w:val="14"/>
    </w:lvl>
  </w:abstractNum>
  <w:abstractNum w:abstractNumId="25">
    <w:nsid w:val="3A95F874"/>
    <w:multiLevelType w:val="hybridMultilevel"/>
    <w:lvl w:ilvl="0">
      <w:lvlJc w:val="left"/>
      <w:lvlText w:val="(%1)"/>
      <w:numFmt w:val="decimal"/>
      <w:start w:val="1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45" Type="http://schemas.openxmlformats.org/officeDocument/2006/relationships/hyperlink" Target="https://www.sec.gov/Archives/edgar/data/46080/000004608000000013/0000046080-00-000013-0002.txt" TargetMode="External"/><Relationship Id="rId46" Type="http://schemas.openxmlformats.org/officeDocument/2006/relationships/hyperlink" Target="https://www.sec.gov/Archives/edgar/data/46080/000004608000000013/0000046080-00-000013-0005.txt" TargetMode="External"/><Relationship Id="rId47" Type="http://schemas.openxmlformats.org/officeDocument/2006/relationships/hyperlink" Target="https://www.sec.gov/Archives/edgar/data/46080/000004608003000022/ex3-3q203.htm" TargetMode="External"/><Relationship Id="rId48" Type="http://schemas.openxmlformats.org/officeDocument/2006/relationships/hyperlink" Target="https://www.sec.gov/Archives/edgar/data/46080/000004608022000109/0000046080-22-000109-index.htm" TargetMode="External"/><Relationship Id="rId49" Type="http://schemas.openxmlformats.org/officeDocument/2006/relationships/hyperlink" Target="https://www.sec.gov/Archives/edgar/data/46080/000004608000000013/0000046080-00-000013-0003.txt" TargetMode="External"/><Relationship Id="rId50" Type="http://schemas.openxmlformats.org/officeDocument/2006/relationships/hyperlink" Target="https://www.sec.gov/Archives/edgar/data/46080/000004608000000013/0000046080-00-000013-0004.txt" TargetMode="External"/><Relationship Id="rId51" Type="http://schemas.openxmlformats.org/officeDocument/2006/relationships/hyperlink" Target="https://www.sec.gov/Archives/edgar/data/46080/0000950172-98-000702.txt" TargetMode="External"/><Relationship Id="rId52" Type="http://schemas.openxmlformats.org/officeDocument/2006/relationships/hyperlink" Target="https://www.sec.gov/Archives/edgar/data/46080/000004608000000003/0000046080-00-000003.txt" TargetMode="External"/><Relationship Id="rId53" Type="http://schemas.openxmlformats.org/officeDocument/2006/relationships/hyperlink" Target="https://www.sec.gov/Archives/edgar/data/46080/000095013507005709/b66906hbexv4w1.htm" TargetMode="External"/><Relationship Id="rId54" Type="http://schemas.openxmlformats.org/officeDocument/2006/relationships/hyperlink" Target="https://www.sec.gov/Archives/edgar/data/46080/000095013509003948/b75462hiexv4w1.htm" TargetMode="External"/><Relationship Id="rId55" Type="http://schemas.openxmlformats.org/officeDocument/2006/relationships/hyperlink" Target="https://www.sec.gov/Archives/edgar/data/46080/000095012310023420/b80058exv4w1.htm" TargetMode="External"/><Relationship Id="rId56" Type="http://schemas.openxmlformats.org/officeDocument/2006/relationships/hyperlink" Target="https://www.sec.gov/Archives/edgar/data/46080/000119312514196726/d727293dex41.htm" TargetMode="External"/><Relationship Id="rId57" Type="http://schemas.openxmlformats.org/officeDocument/2006/relationships/hyperlink" Target="https://www.sec.gov/Archives/edgar/data/46080/000119312517283854/d456734dex41.htm" TargetMode="External"/><Relationship Id="rId58" Type="http://schemas.openxmlformats.org/officeDocument/2006/relationships/hyperlink" Target="https://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2024-05-01T16:05:40Z</dcterms:created>
  <dcterms:modified xsi:type="dcterms:W3CDTF">2024-05-01T16:05:40Z</dcterms:modified>
</cp:coreProperties>
</file>