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ind w:left="4200"/>
        <w:spacing w:after="0"/>
        <w:rPr>
          <w:sz w:val="20"/>
          <w:szCs w:val="20"/>
          <w:color w:val="auto"/>
        </w:rPr>
      </w:pPr>
      <w:r>
        <w:rPr>
          <w:rFonts w:ascii="Arial" w:cs="Arial" w:eastAsia="Arial" w:hAnsi="Arial"/>
          <w:sz w:val="25"/>
          <w:szCs w:val="25"/>
          <w:b w:val="1"/>
          <w:bCs w:val="1"/>
          <w:color w:val="auto"/>
        </w:rPr>
        <w:t>Washington, D.C. 20549</w:t>
      </w:r>
    </w:p>
    <w:p>
      <w:pPr>
        <w:spacing w:after="0" w:line="266" w:lineRule="exact"/>
        <w:rPr>
          <w:sz w:val="24"/>
          <w:szCs w:val="24"/>
          <w:color w:val="auto"/>
        </w:rPr>
      </w:pPr>
    </w:p>
    <w:p>
      <w:pPr>
        <w:ind w:left="5040"/>
        <w:spacing w:after="0"/>
        <w:rPr>
          <w:sz w:val="20"/>
          <w:szCs w:val="20"/>
          <w:color w:val="auto"/>
        </w:rPr>
      </w:pPr>
      <w:r>
        <w:rPr>
          <w:rFonts w:ascii="Arial" w:cs="Arial" w:eastAsia="Arial" w:hAnsi="Arial"/>
          <w:sz w:val="25"/>
          <w:szCs w:val="25"/>
          <w:b w:val="1"/>
          <w:bCs w:val="1"/>
          <w:color w:val="auto"/>
        </w:rPr>
        <w:t>FORM SD</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HASBRO, INC.</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640" w:type="dxa"/>
        <w:tblCellMar>
          <w:top w:w="0" w:type="dxa"/>
          <w:left w:w="0" w:type="dxa"/>
          <w:bottom w:w="0" w:type="dxa"/>
          <w:right w:w="0" w:type="dxa"/>
        </w:tblCellMar>
      </w:tblPr>
      <w:tr>
        <w:trPr>
          <w:trHeight w:val="243"/>
        </w:trPr>
        <w:tc>
          <w:tcPr>
            <w:tcW w:w="350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Rhode Island</w:t>
            </w:r>
          </w:p>
        </w:tc>
        <w:tc>
          <w:tcPr>
            <w:tcW w:w="3080" w:type="dxa"/>
            <w:vAlign w:val="bottom"/>
          </w:tcPr>
          <w:p>
            <w:pPr>
              <w:jc w:val="right"/>
              <w:ind w:right="1230"/>
              <w:spacing w:after="0"/>
              <w:rPr>
                <w:sz w:val="20"/>
                <w:szCs w:val="20"/>
                <w:color w:val="auto"/>
              </w:rPr>
            </w:pPr>
            <w:r>
              <w:rPr>
                <w:rFonts w:ascii="Arial" w:cs="Arial" w:eastAsia="Arial" w:hAnsi="Arial"/>
                <w:sz w:val="18"/>
                <w:szCs w:val="18"/>
                <w:b w:val="1"/>
                <w:bCs w:val="1"/>
                <w:color w:val="auto"/>
              </w:rPr>
              <w:t>1-6682</w:t>
            </w:r>
          </w:p>
        </w:tc>
        <w:tc>
          <w:tcPr>
            <w:tcW w:w="3140" w:type="dxa"/>
            <w:vAlign w:val="bottom"/>
          </w:tcPr>
          <w:p>
            <w:pPr>
              <w:jc w:val="right"/>
              <w:ind w:right="750"/>
              <w:spacing w:after="0"/>
              <w:rPr>
                <w:sz w:val="20"/>
                <w:szCs w:val="20"/>
                <w:color w:val="auto"/>
              </w:rPr>
            </w:pPr>
            <w:r>
              <w:rPr>
                <w:rFonts w:ascii="Arial" w:cs="Arial" w:eastAsia="Arial" w:hAnsi="Arial"/>
                <w:sz w:val="18"/>
                <w:szCs w:val="18"/>
                <w:b w:val="1"/>
                <w:bCs w:val="1"/>
                <w:color w:val="auto"/>
              </w:rPr>
              <w:t>05-0155090</w:t>
            </w:r>
          </w:p>
        </w:tc>
        <w:tc>
          <w:tcPr>
            <w:tcW w:w="0" w:type="dxa"/>
            <w:vAlign w:val="bottom"/>
          </w:tcPr>
          <w:p>
            <w:pPr>
              <w:spacing w:after="0"/>
              <w:rPr>
                <w:sz w:val="1"/>
                <w:szCs w:val="1"/>
                <w:color w:val="auto"/>
              </w:rPr>
            </w:pPr>
          </w:p>
        </w:tc>
      </w:tr>
      <w:tr>
        <w:trPr>
          <w:trHeight w:val="203"/>
        </w:trPr>
        <w:tc>
          <w:tcPr>
            <w:tcW w:w="3500" w:type="dxa"/>
            <w:vAlign w:val="bottom"/>
          </w:tcPr>
          <w:p>
            <w:pPr>
              <w:jc w:val="center"/>
              <w:ind w:right="190"/>
              <w:spacing w:after="0" w:line="202" w:lineRule="exact"/>
              <w:rPr>
                <w:sz w:val="20"/>
                <w:szCs w:val="20"/>
                <w:color w:val="auto"/>
              </w:rPr>
            </w:pPr>
            <w:r>
              <w:rPr>
                <w:rFonts w:ascii="Arial" w:cs="Arial" w:eastAsia="Arial" w:hAnsi="Arial"/>
                <w:sz w:val="18"/>
                <w:szCs w:val="18"/>
                <w:color w:val="auto"/>
              </w:rPr>
              <w:t>(State or other jurisdiction of</w:t>
            </w:r>
          </w:p>
        </w:tc>
        <w:tc>
          <w:tcPr>
            <w:tcW w:w="30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500" w:type="dxa"/>
            <w:vAlign w:val="bottom"/>
          </w:tcPr>
          <w:p>
            <w:pPr>
              <w:jc w:val="center"/>
              <w:ind w:right="310"/>
              <w:spacing w:after="0"/>
              <w:rPr>
                <w:sz w:val="20"/>
                <w:szCs w:val="20"/>
                <w:color w:val="auto"/>
              </w:rPr>
            </w:pPr>
            <w:r>
              <w:rPr>
                <w:rFonts w:ascii="Arial" w:cs="Arial" w:eastAsia="Arial" w:hAnsi="Arial"/>
                <w:sz w:val="18"/>
                <w:szCs w:val="18"/>
                <w:color w:val="auto"/>
                <w:w w:val="99"/>
              </w:rPr>
              <w:t>incorporation or organization)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140" w:type="dxa"/>
            <w:vAlign w:val="bottom"/>
          </w:tcPr>
          <w:p>
            <w:pPr>
              <w:jc w:val="center"/>
              <w:ind w:left="430"/>
              <w:spacing w:after="0"/>
              <w:rPr>
                <w:sz w:val="20"/>
                <w:szCs w:val="20"/>
                <w:color w:val="auto"/>
              </w:rPr>
            </w:pPr>
            <w:r>
              <w:rPr>
                <w:rFonts w:ascii="Arial" w:cs="Arial" w:eastAsia="Arial" w:hAnsi="Arial"/>
                <w:sz w:val="18"/>
                <w:szCs w:val="18"/>
                <w:color w:val="auto"/>
                <w:w w:val="99"/>
              </w:rPr>
              <w:t>(IRS Employer Identification No.)</w:t>
            </w:r>
          </w:p>
        </w:tc>
        <w:tc>
          <w:tcPr>
            <w:tcW w:w="0" w:type="dxa"/>
            <w:vAlign w:val="bottom"/>
          </w:tcPr>
          <w:p>
            <w:pPr>
              <w:spacing w:after="0"/>
              <w:rPr>
                <w:sz w:val="1"/>
                <w:szCs w:val="1"/>
                <w:color w:val="auto"/>
              </w:rPr>
            </w:pPr>
          </w:p>
        </w:tc>
      </w:tr>
      <w:tr>
        <w:trPr>
          <w:trHeight w:val="549"/>
        </w:trPr>
        <w:tc>
          <w:tcPr>
            <w:tcW w:w="350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1027 Newport Avenue, Pawtucket,</w:t>
            </w:r>
          </w:p>
        </w:tc>
        <w:tc>
          <w:tcPr>
            <w:tcW w:w="3080" w:type="dxa"/>
            <w:vAlign w:val="bottom"/>
          </w:tcPr>
          <w:p>
            <w:pPr>
              <w:spacing w:after="0"/>
              <w:rPr>
                <w:sz w:val="24"/>
                <w:szCs w:val="24"/>
                <w:color w:val="auto"/>
              </w:rPr>
            </w:pPr>
          </w:p>
        </w:tc>
        <w:tc>
          <w:tcPr>
            <w:tcW w:w="3140" w:type="dxa"/>
            <w:vAlign w:val="bottom"/>
            <w:vMerge w:val="restart"/>
          </w:tcPr>
          <w:p>
            <w:pPr>
              <w:jc w:val="right"/>
              <w:ind w:right="1010"/>
              <w:spacing w:after="0"/>
              <w:rPr>
                <w:sz w:val="20"/>
                <w:szCs w:val="20"/>
                <w:color w:val="auto"/>
              </w:rPr>
            </w:pPr>
            <w:r>
              <w:rPr>
                <w:rFonts w:ascii="Arial" w:cs="Arial" w:eastAsia="Arial" w:hAnsi="Arial"/>
                <w:sz w:val="18"/>
                <w:szCs w:val="18"/>
                <w:b w:val="1"/>
                <w:bCs w:val="1"/>
                <w:color w:val="auto"/>
              </w:rPr>
              <w:t>02861</w:t>
            </w:r>
          </w:p>
        </w:tc>
        <w:tc>
          <w:tcPr>
            <w:tcW w:w="0" w:type="dxa"/>
            <w:vAlign w:val="bottom"/>
          </w:tcPr>
          <w:p>
            <w:pPr>
              <w:spacing w:after="0"/>
              <w:rPr>
                <w:sz w:val="1"/>
                <w:szCs w:val="1"/>
                <w:color w:val="auto"/>
              </w:rPr>
            </w:pPr>
          </w:p>
        </w:tc>
      </w:tr>
      <w:tr>
        <w:trPr>
          <w:trHeight w:val="238"/>
        </w:trPr>
        <w:tc>
          <w:tcPr>
            <w:tcW w:w="35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Rhode Island</w:t>
            </w:r>
          </w:p>
        </w:tc>
        <w:tc>
          <w:tcPr>
            <w:tcW w:w="3080" w:type="dxa"/>
            <w:vAlign w:val="bottom"/>
          </w:tcPr>
          <w:p>
            <w:pPr>
              <w:spacing w:after="0"/>
              <w:rPr>
                <w:sz w:val="20"/>
                <w:szCs w:val="20"/>
                <w:color w:val="auto"/>
              </w:rPr>
            </w:pP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00" w:type="dxa"/>
            <w:vAlign w:val="bottom"/>
          </w:tcPr>
          <w:p>
            <w:pPr>
              <w:jc w:val="center"/>
              <w:ind w:right="330"/>
              <w:spacing w:after="0"/>
              <w:rPr>
                <w:sz w:val="20"/>
                <w:szCs w:val="20"/>
                <w:color w:val="auto"/>
              </w:rPr>
            </w:pPr>
            <w:r>
              <w:rPr>
                <w:rFonts w:ascii="Arial" w:cs="Arial" w:eastAsia="Arial" w:hAnsi="Arial"/>
                <w:sz w:val="18"/>
                <w:szCs w:val="18"/>
                <w:color w:val="auto"/>
                <w:w w:val="99"/>
              </w:rPr>
              <w:t>(Address of principal executive offices)</w:t>
            </w:r>
          </w:p>
        </w:tc>
        <w:tc>
          <w:tcPr>
            <w:tcW w:w="3080" w:type="dxa"/>
            <w:vAlign w:val="bottom"/>
          </w:tcPr>
          <w:p>
            <w:pPr>
              <w:spacing w:after="0"/>
              <w:rPr>
                <w:sz w:val="20"/>
                <w:szCs w:val="20"/>
                <w:color w:val="auto"/>
              </w:rPr>
            </w:pPr>
          </w:p>
        </w:tc>
        <w:tc>
          <w:tcPr>
            <w:tcW w:w="3140" w:type="dxa"/>
            <w:vAlign w:val="bottom"/>
          </w:tcPr>
          <w:p>
            <w:pPr>
              <w:jc w:val="center"/>
              <w:ind w:left="35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Gina Goetter, Chief Financial Officer and Chief Operating Officer, (401) 431-8697</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355" w:lineRule="exact"/>
        <w:rPr>
          <w:sz w:val="24"/>
          <w:szCs w:val="24"/>
          <w:color w:val="auto"/>
        </w:rPr>
      </w:pPr>
    </w:p>
    <w:p>
      <w:pPr>
        <w:ind w:right="200" w:firstLine="100"/>
        <w:spacing w:after="0" w:line="256"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60" w:lineRule="exact"/>
        <w:rPr>
          <w:sz w:val="24"/>
          <w:szCs w:val="24"/>
          <w:color w:val="auto"/>
        </w:rPr>
      </w:pPr>
    </w:p>
    <w:p>
      <w:pPr>
        <w:ind w:left="120" w:hanging="9"/>
        <w:spacing w:after="0" w:line="678" w:lineRule="auto"/>
        <w:tabs>
          <w:tab w:leader="none" w:pos="39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2025 to December 31, 2025. [ ] 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101600</wp:posOffset>
            </wp:positionH>
            <wp:positionV relativeFrom="paragraph">
              <wp:posOffset>-267335</wp:posOffset>
            </wp:positionV>
            <wp:extent cx="31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left="112"/>
        <w:spacing w:after="0"/>
        <w:rPr>
          <w:sz w:val="20"/>
          <w:szCs w:val="20"/>
          <w:color w:val="auto"/>
        </w:rPr>
      </w:pPr>
      <w:r>
        <w:rPr>
          <w:rFonts w:ascii="Arial" w:cs="Arial" w:eastAsia="Arial" w:hAnsi="Arial"/>
          <w:sz w:val="20"/>
          <w:szCs w:val="20"/>
          <w:b w:val="1"/>
          <w:bCs w:val="1"/>
          <w:color w:val="auto"/>
        </w:rPr>
        <w:t>Introduction:</w:t>
      </w:r>
    </w:p>
    <w:p>
      <w:pPr>
        <w:spacing w:after="0" w:line="312" w:lineRule="exact"/>
        <w:rPr>
          <w:sz w:val="20"/>
          <w:szCs w:val="20"/>
          <w:color w:val="auto"/>
        </w:rPr>
      </w:pPr>
    </w:p>
    <w:p>
      <w:pPr>
        <w:ind w:left="92" w:right="140"/>
        <w:spacing w:after="0" w:line="232" w:lineRule="auto"/>
        <w:rPr>
          <w:sz w:val="20"/>
          <w:szCs w:val="20"/>
          <w:color w:val="auto"/>
        </w:rPr>
      </w:pPr>
      <w:r>
        <w:rPr>
          <w:rFonts w:ascii="Arial" w:cs="Arial" w:eastAsia="Arial" w:hAnsi="Arial"/>
          <w:sz w:val="19"/>
          <w:szCs w:val="19"/>
          <w:color w:val="auto"/>
        </w:rPr>
        <w:t>Hasbro, Inc. (“Hasbro”) is a leading game, intellectual property (“IP”), and toy company whose mission is to create joy and community through the magic of play. With over 100 years of history, we deliver play-centered, partner-scaled experiences to</w:t>
      </w:r>
    </w:p>
    <w:p>
      <w:pPr>
        <w:spacing w:after="0" w:line="1" w:lineRule="exact"/>
        <w:rPr>
          <w:sz w:val="20"/>
          <w:szCs w:val="20"/>
          <w:color w:val="auto"/>
        </w:rPr>
      </w:pPr>
    </w:p>
    <w:p>
      <w:pPr>
        <w:ind w:left="92" w:right="140"/>
        <w:spacing w:after="0" w:line="225" w:lineRule="auto"/>
        <w:rPr>
          <w:sz w:val="20"/>
          <w:szCs w:val="20"/>
          <w:color w:val="auto"/>
        </w:rPr>
      </w:pPr>
      <w:r>
        <w:rPr>
          <w:rFonts w:ascii="Arial" w:cs="Arial" w:eastAsia="Arial" w:hAnsi="Arial"/>
          <w:sz w:val="20"/>
          <w:szCs w:val="20"/>
          <w:color w:val="auto"/>
        </w:rPr>
        <w:t>kids, families, and fans of all ages around the world, through physical and digital games, video games, toys, licensed consumer products, location-based entertainment, film, TV and more.</w:t>
      </w:r>
    </w:p>
    <w:p>
      <w:pPr>
        <w:spacing w:after="0" w:line="176" w:lineRule="exact"/>
        <w:rPr>
          <w:sz w:val="20"/>
          <w:szCs w:val="20"/>
          <w:color w:val="auto"/>
        </w:rPr>
      </w:pPr>
    </w:p>
    <w:p>
      <w:pPr>
        <w:ind w:left="92"/>
        <w:spacing w:after="0"/>
        <w:rPr>
          <w:sz w:val="20"/>
          <w:szCs w:val="20"/>
          <w:color w:val="auto"/>
        </w:rPr>
      </w:pPr>
      <w:r>
        <w:rPr>
          <w:rFonts w:ascii="Arial" w:cs="Arial" w:eastAsia="Arial" w:hAnsi="Arial"/>
          <w:sz w:val="20"/>
          <w:szCs w:val="20"/>
          <w:color w:val="auto"/>
        </w:rPr>
        <w:t>Using our franchise-first approach, we unlock value from both new and legacy IP, including MAGIC: THE GATHERING,</w:t>
      </w:r>
    </w:p>
    <w:p>
      <w:pPr>
        <w:ind w:left="92" w:right="140"/>
        <w:spacing w:after="0" w:line="215" w:lineRule="auto"/>
        <w:rPr>
          <w:sz w:val="20"/>
          <w:szCs w:val="20"/>
          <w:color w:val="auto"/>
        </w:rPr>
      </w:pPr>
      <w:r>
        <w:rPr>
          <w:rFonts w:ascii="Arial" w:cs="Arial" w:eastAsia="Arial" w:hAnsi="Arial"/>
          <w:sz w:val="19"/>
          <w:szCs w:val="19"/>
          <w:color w:val="auto"/>
        </w:rPr>
        <w:t>MONOPOLY, HASBRO GAMES, PLAY-DOH, TRANSFORMERS, DUNGEONS &amp; DRAGONS, NERF and PEPPA PIG, as well as premier partner brands. Powered by our portfolio of iconic brands and a diversified network of partners and subsidiary</w:t>
      </w:r>
    </w:p>
    <w:p>
      <w:pPr>
        <w:ind w:left="92"/>
        <w:spacing w:after="0"/>
        <w:rPr>
          <w:sz w:val="20"/>
          <w:szCs w:val="20"/>
          <w:color w:val="auto"/>
        </w:rPr>
      </w:pPr>
      <w:r>
        <w:rPr>
          <w:rFonts w:ascii="Arial" w:cs="Arial" w:eastAsia="Arial" w:hAnsi="Arial"/>
          <w:sz w:val="20"/>
          <w:szCs w:val="20"/>
          <w:color w:val="auto"/>
        </w:rPr>
        <w:t>studios, we bring fans together wherever they are, from tabletop to screen.</w:t>
      </w:r>
    </w:p>
    <w:p>
      <w:pPr>
        <w:spacing w:after="0" w:line="198" w:lineRule="exact"/>
        <w:rPr>
          <w:sz w:val="20"/>
          <w:szCs w:val="20"/>
          <w:color w:val="auto"/>
        </w:rPr>
      </w:pPr>
    </w:p>
    <w:p>
      <w:pPr>
        <w:ind w:left="92" w:right="140"/>
        <w:spacing w:after="0" w:line="224" w:lineRule="auto"/>
        <w:rPr>
          <w:sz w:val="20"/>
          <w:szCs w:val="20"/>
          <w:color w:val="auto"/>
        </w:rPr>
      </w:pPr>
      <w:r>
        <w:rPr>
          <w:rFonts w:ascii="Arial" w:cs="Arial" w:eastAsia="Arial" w:hAnsi="Arial"/>
          <w:sz w:val="19"/>
          <w:szCs w:val="19"/>
          <w:color w:val="auto"/>
        </w:rPr>
        <w:t>For more than a decade, Hasbro has been consistently recognized for its corporate citizenship, including being named one of the 100 Best Corporate Citizens by 3BL Media, a 2025 JUST Capital Industry Leader, one of the 50 Most Community-Minded</w:t>
      </w:r>
    </w:p>
    <w:p>
      <w:pPr>
        <w:spacing w:after="0" w:line="2" w:lineRule="exact"/>
        <w:rPr>
          <w:sz w:val="20"/>
          <w:szCs w:val="20"/>
          <w:color w:val="auto"/>
        </w:rPr>
      </w:pPr>
    </w:p>
    <w:p>
      <w:pPr>
        <w:ind w:left="92"/>
        <w:spacing w:after="0"/>
        <w:rPr>
          <w:sz w:val="20"/>
          <w:szCs w:val="20"/>
          <w:color w:val="auto"/>
        </w:rPr>
      </w:pPr>
      <w:r>
        <w:rPr>
          <w:rFonts w:ascii="Arial" w:cs="Arial" w:eastAsia="Arial" w:hAnsi="Arial"/>
          <w:sz w:val="20"/>
          <w:szCs w:val="20"/>
          <w:color w:val="auto"/>
        </w:rPr>
        <w:t>Companies in the U.S. by the Civic 50, and a Brand that Matters by Fast Company.</w:t>
      </w:r>
    </w:p>
    <w:p>
      <w:pPr>
        <w:spacing w:after="0" w:line="198" w:lineRule="exact"/>
        <w:rPr>
          <w:sz w:val="20"/>
          <w:szCs w:val="20"/>
          <w:color w:val="auto"/>
        </w:rPr>
      </w:pPr>
    </w:p>
    <w:p>
      <w:pPr>
        <w:ind w:left="72"/>
        <w:spacing w:after="0" w:line="213" w:lineRule="auto"/>
        <w:rPr>
          <w:sz w:val="20"/>
          <w:szCs w:val="20"/>
          <w:color w:val="auto"/>
        </w:rPr>
      </w:pPr>
      <w:r>
        <w:rPr>
          <w:rFonts w:ascii="Arial" w:cs="Arial" w:eastAsia="Arial" w:hAnsi="Arial"/>
          <w:sz w:val="20"/>
          <w:szCs w:val="20"/>
          <w:color w:val="auto"/>
        </w:rPr>
        <w:t>Some of Hasbro’s products include electronics and other components that contain tin, tungsten, tantalum and/or gold (referred to collectively hereafter as "Conflict Minerals" or "3TG"). Accordingly, we are subject to Section 1502 of the Dodd-Frank Wall</w:t>
      </w:r>
    </w:p>
    <w:p>
      <w:pPr>
        <w:spacing w:after="0" w:line="1" w:lineRule="exact"/>
        <w:rPr>
          <w:sz w:val="20"/>
          <w:szCs w:val="20"/>
          <w:color w:val="auto"/>
        </w:rPr>
      </w:pPr>
    </w:p>
    <w:p>
      <w:pPr>
        <w:ind w:left="72" w:right="20"/>
        <w:spacing w:after="0" w:line="232" w:lineRule="auto"/>
        <w:rPr>
          <w:sz w:val="20"/>
          <w:szCs w:val="20"/>
          <w:color w:val="auto"/>
        </w:rPr>
      </w:pPr>
      <w:r>
        <w:rPr>
          <w:rFonts w:ascii="Arial" w:cs="Arial" w:eastAsia="Arial" w:hAnsi="Arial"/>
          <w:sz w:val="20"/>
          <w:szCs w:val="20"/>
          <w:color w:val="auto"/>
        </w:rPr>
        <w:t>Street Reform and Consumer Protection Act of 2010 (the "Dodd-Frank Act" or the "Act") and Rule 13p- 1 under the Securities Exchange Act of 1934 (the "Conflict Minerals Rule").</w:t>
      </w:r>
    </w:p>
    <w:p>
      <w:pPr>
        <w:spacing w:after="0" w:line="172" w:lineRule="exact"/>
        <w:rPr>
          <w:sz w:val="20"/>
          <w:szCs w:val="20"/>
          <w:color w:val="auto"/>
        </w:rPr>
      </w:pPr>
    </w:p>
    <w:p>
      <w:pPr>
        <w:ind w:left="72"/>
        <w:spacing w:after="0" w:line="220" w:lineRule="auto"/>
        <w:rPr>
          <w:sz w:val="20"/>
          <w:szCs w:val="20"/>
          <w:color w:val="auto"/>
        </w:rPr>
      </w:pPr>
      <w:r>
        <w:rPr>
          <w:rFonts w:ascii="Arial" w:cs="Arial" w:eastAsia="Arial" w:hAnsi="Arial"/>
          <w:sz w:val="20"/>
          <w:szCs w:val="20"/>
          <w:color w:val="auto"/>
        </w:rPr>
        <w:t>We have a Conflict Minerals Policy that is communicated to all of our suppliers and which expresses our commitment to (i) sourcing components and materials from companies that share our values around human rights, ethics and corporate social</w:t>
      </w:r>
    </w:p>
    <w:p>
      <w:pPr>
        <w:spacing w:after="0" w:line="1" w:lineRule="exact"/>
        <w:rPr>
          <w:sz w:val="20"/>
          <w:szCs w:val="20"/>
          <w:color w:val="auto"/>
        </w:rPr>
      </w:pPr>
    </w:p>
    <w:p>
      <w:pPr>
        <w:ind w:left="72"/>
        <w:spacing w:after="0" w:line="215" w:lineRule="auto"/>
        <w:rPr>
          <w:sz w:val="20"/>
          <w:szCs w:val="20"/>
          <w:color w:val="auto"/>
        </w:rPr>
      </w:pPr>
      <w:r>
        <w:rPr>
          <w:rFonts w:ascii="Arial" w:cs="Arial" w:eastAsia="Arial" w:hAnsi="Arial"/>
          <w:sz w:val="19"/>
          <w:szCs w:val="19"/>
          <w:color w:val="auto"/>
        </w:rPr>
        <w:t>responsibility, (ii) utilizing due diligence practices to identify 3TG and their sources in our supply chain and (iii) requiring that any 3TG included in our products are sourced from smelters and refiners (“Smelters”) that have been identified as conformant by</w:t>
      </w:r>
    </w:p>
    <w:p>
      <w:pPr>
        <w:ind w:left="72" w:right="20"/>
        <w:spacing w:after="0" w:line="249" w:lineRule="auto"/>
        <w:rPr>
          <w:sz w:val="20"/>
          <w:szCs w:val="20"/>
          <w:color w:val="auto"/>
        </w:rPr>
      </w:pPr>
      <w:r>
        <w:rPr>
          <w:rFonts w:ascii="Arial" w:cs="Arial" w:eastAsia="Arial" w:hAnsi="Arial"/>
          <w:sz w:val="20"/>
          <w:szCs w:val="20"/>
          <w:color w:val="auto"/>
        </w:rPr>
        <w:t>the Responsible Minerals Assurance Process (RMAP) in order to mitigate the possibility that such 3TG are being used to support armed conflict in the Democratic Republic of the Congo and the adjoining countries (Covered Countries</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80" w:lineRule="exact"/>
        <w:rPr>
          <w:sz w:val="20"/>
          <w:szCs w:val="20"/>
          <w:color w:val="auto"/>
        </w:rPr>
      </w:pPr>
    </w:p>
    <w:p>
      <w:pPr>
        <w:ind w:left="72"/>
        <w:spacing w:after="0" w:line="220" w:lineRule="auto"/>
        <w:rPr>
          <w:sz w:val="20"/>
          <w:szCs w:val="20"/>
          <w:color w:val="auto"/>
        </w:rPr>
      </w:pPr>
      <w:r>
        <w:rPr>
          <w:rFonts w:ascii="Arial" w:cs="Arial" w:eastAsia="Arial" w:hAnsi="Arial"/>
          <w:sz w:val="20"/>
          <w:szCs w:val="20"/>
          <w:color w:val="auto"/>
        </w:rPr>
        <w:t>Our policy does not preclude suppliers from sourcing validated conflict-free minerals from the DRC or the adjoining countries. To the extent that we identify non-conformance with our policy, we require the contract manufacturers to engage in corrective</w:t>
      </w:r>
    </w:p>
    <w:p>
      <w:pPr>
        <w:spacing w:after="0" w:line="1" w:lineRule="exact"/>
        <w:rPr>
          <w:sz w:val="20"/>
          <w:szCs w:val="20"/>
          <w:color w:val="auto"/>
        </w:rPr>
      </w:pPr>
    </w:p>
    <w:p>
      <w:pPr>
        <w:ind w:left="72"/>
        <w:spacing w:after="0" w:line="204" w:lineRule="auto"/>
        <w:rPr>
          <w:sz w:val="20"/>
          <w:szCs w:val="20"/>
          <w:color w:val="auto"/>
        </w:rPr>
      </w:pPr>
      <w:r>
        <w:rPr>
          <w:rFonts w:ascii="Arial" w:cs="Arial" w:eastAsia="Arial" w:hAnsi="Arial"/>
          <w:sz w:val="20"/>
          <w:szCs w:val="20"/>
          <w:color w:val="auto"/>
        </w:rPr>
        <w:t>action by requiring them to: (a) contact the identified Smelters and require that they participate in the conflict minerals audit program; and/or (b) remove non-conformant Smelters from their supply chain for Hasbro products. Hasbro’s Conflicts Minerals</w:t>
      </w:r>
    </w:p>
    <w:p>
      <w:pPr>
        <w:spacing w:after="0" w:line="1" w:lineRule="exact"/>
        <w:rPr>
          <w:sz w:val="20"/>
          <w:szCs w:val="20"/>
          <w:color w:val="auto"/>
        </w:rPr>
      </w:pPr>
    </w:p>
    <w:p>
      <w:pPr>
        <w:ind w:left="72"/>
        <w:spacing w:after="0"/>
        <w:rPr>
          <w:sz w:val="20"/>
          <w:szCs w:val="20"/>
          <w:color w:val="auto"/>
        </w:rPr>
      </w:pPr>
      <w:r>
        <w:rPr>
          <w:rFonts w:ascii="Arial" w:cs="Arial" w:eastAsia="Arial" w:hAnsi="Arial"/>
          <w:sz w:val="19"/>
          <w:szCs w:val="19"/>
          <w:color w:val="auto"/>
        </w:rPr>
        <w:t>Policy can be found at the following internet address: https://csr.hasbro.com/en-us/news/policy?id=csr_conflict_minerals_policy.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1645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8" w:right="200" w:firstLine="8"/>
        <w:spacing w:after="0" w:line="222" w:lineRule="auto"/>
        <w:tabs>
          <w:tab w:leader="none" w:pos="84"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The Democratic Republic of Congo and its adjoining countries (Angola, Burundi, Republic of the Congo, Central African Republic, Rwanda, South Sudan, Tanzania, Uganda and Zambia).</w:t>
      </w:r>
    </w:p>
    <w:p>
      <w:pPr>
        <w:sectPr>
          <w:pgSz w:w="11900" w:h="16838" w:orient="portrait"/>
          <w:cols w:equalWidth="0" w:num="1">
            <w:col w:w="11232"/>
          </w:cols>
          <w:pgMar w:left="328" w:top="1034"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color w:val="auto"/>
        </w:rPr>
        <w:t>Section 1 – Conflict Minerals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1.01 Conflict Minerals Disclosure and Report</w:t>
      </w:r>
    </w:p>
    <w:p>
      <w:pPr>
        <w:spacing w:after="0" w:line="164" w:lineRule="exact"/>
        <w:rPr>
          <w:sz w:val="20"/>
          <w:szCs w:val="20"/>
          <w:color w:val="auto"/>
        </w:rPr>
      </w:pPr>
    </w:p>
    <w:p>
      <w:pPr>
        <w:jc w:val="both"/>
        <w:ind w:right="80"/>
        <w:spacing w:after="0" w:line="231" w:lineRule="auto"/>
        <w:rPr>
          <w:sz w:val="20"/>
          <w:szCs w:val="20"/>
          <w:color w:val="auto"/>
        </w:rPr>
      </w:pPr>
      <w:r>
        <w:rPr>
          <w:rFonts w:ascii="Arial" w:cs="Arial" w:eastAsia="Arial" w:hAnsi="Arial"/>
          <w:sz w:val="20"/>
          <w:szCs w:val="20"/>
          <w:color w:val="auto"/>
        </w:rPr>
        <w:t>We have determined that during the 2025 calendar year, we contracted to manufacture certain products containing 3TG necessary to the functionality or production of these products. We conducted a Reasonable Country of Origin Inquiry ("RCOI") to assess whether the necessary 3TG in our products originated from the Covered Countries.</w:t>
      </w:r>
    </w:p>
    <w:p>
      <w:pPr>
        <w:spacing w:after="0" w:line="105" w:lineRule="exact"/>
        <w:rPr>
          <w:sz w:val="20"/>
          <w:szCs w:val="20"/>
          <w:color w:val="auto"/>
        </w:rPr>
      </w:pPr>
    </w:p>
    <w:p>
      <w:pPr>
        <w:jc w:val="both"/>
        <w:ind w:right="80"/>
        <w:spacing w:after="0" w:line="226" w:lineRule="auto"/>
        <w:rPr>
          <w:sz w:val="20"/>
          <w:szCs w:val="20"/>
          <w:color w:val="auto"/>
        </w:rPr>
      </w:pPr>
      <w:r>
        <w:rPr>
          <w:rFonts w:ascii="Arial" w:cs="Arial" w:eastAsia="Arial" w:hAnsi="Arial"/>
          <w:sz w:val="20"/>
          <w:szCs w:val="20"/>
          <w:color w:val="auto"/>
        </w:rPr>
        <w:t>During 2025, all of our products were manufactured in third-party vendor facilities (referred to hereafter as “contract manufacturers”). Our contract manufacturers are located in the People’s Republic of China and other countries, such as India, Vietnam, Mexico, Japan, Europe, and the United States. Over the past several years, we have continued to diversify our supply chain.</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Under our RCOI methodology, we undertook an applicability assessment to identify the products containing 3TG and the</w:t>
      </w:r>
    </w:p>
    <w:p>
      <w:pPr>
        <w:jc w:val="both"/>
        <w:ind w:right="80"/>
        <w:spacing w:after="0" w:line="204" w:lineRule="auto"/>
        <w:rPr>
          <w:sz w:val="20"/>
          <w:szCs w:val="20"/>
          <w:color w:val="auto"/>
        </w:rPr>
      </w:pPr>
      <w:r>
        <w:rPr>
          <w:rFonts w:ascii="Arial" w:cs="Arial" w:eastAsia="Arial" w:hAnsi="Arial"/>
          <w:sz w:val="20"/>
          <w:szCs w:val="20"/>
          <w:color w:val="auto"/>
        </w:rPr>
        <w:t>relevant contract manufacturers of those products. To identify the applicable contract manufacturers, Hasbro filtered out contract manufacturers supplying Hasbro with products identified not to contain 3TG after a thorough review. Following the</w:t>
      </w:r>
    </w:p>
    <w:p>
      <w:pPr>
        <w:spacing w:after="0" w:line="1" w:lineRule="exact"/>
        <w:rPr>
          <w:sz w:val="20"/>
          <w:szCs w:val="20"/>
          <w:color w:val="auto"/>
        </w:rPr>
      </w:pPr>
    </w:p>
    <w:p>
      <w:pPr>
        <w:jc w:val="both"/>
        <w:ind w:right="100"/>
        <w:spacing w:after="0" w:line="232" w:lineRule="auto"/>
        <w:rPr>
          <w:sz w:val="20"/>
          <w:szCs w:val="20"/>
          <w:color w:val="auto"/>
        </w:rPr>
      </w:pPr>
      <w:r>
        <w:rPr>
          <w:rFonts w:ascii="Arial" w:cs="Arial" w:eastAsia="Arial" w:hAnsi="Arial"/>
          <w:sz w:val="20"/>
          <w:szCs w:val="20"/>
          <w:color w:val="auto"/>
        </w:rPr>
        <w:t>applicability assessment, Hasbro sent surveys to all of its contract manufacturers globally that were identified as producing products that could contain 3TG.</w:t>
      </w:r>
    </w:p>
    <w:p>
      <w:pPr>
        <w:spacing w:after="0" w:line="91" w:lineRule="exact"/>
        <w:rPr>
          <w:sz w:val="20"/>
          <w:szCs w:val="20"/>
          <w:color w:val="auto"/>
        </w:rPr>
      </w:pPr>
    </w:p>
    <w:p>
      <w:pPr>
        <w:jc w:val="both"/>
        <w:ind w:right="80"/>
        <w:spacing w:after="0" w:line="216" w:lineRule="auto"/>
        <w:rPr>
          <w:sz w:val="20"/>
          <w:szCs w:val="20"/>
          <w:color w:val="auto"/>
        </w:rPr>
      </w:pPr>
      <w:r>
        <w:rPr>
          <w:rFonts w:ascii="Arial" w:cs="Arial" w:eastAsia="Arial" w:hAnsi="Arial"/>
          <w:sz w:val="20"/>
          <w:szCs w:val="20"/>
          <w:color w:val="auto"/>
        </w:rPr>
        <w:t>Utilizing the methodology above and based on the information provided by our business units and gathered from our sourcing and technology systems and records, in 2025, we identified a total of 26 relevant contract manufacturers that are producing products that could contain 3TG. We surveyed all 26 of these contract manufacturers using a technology platform that employs the Conflict Minerals Reporting Template (CMRT) developed by the Responsible Minerals Initiative (RMI). The</w:t>
      </w:r>
    </w:p>
    <w:p>
      <w:pPr>
        <w:jc w:val="both"/>
        <w:ind w:right="80"/>
        <w:spacing w:after="0" w:line="204" w:lineRule="auto"/>
        <w:rPr>
          <w:sz w:val="20"/>
          <w:szCs w:val="20"/>
          <w:color w:val="auto"/>
        </w:rPr>
      </w:pPr>
      <w:r>
        <w:rPr>
          <w:rFonts w:ascii="Arial" w:cs="Arial" w:eastAsia="Arial" w:hAnsi="Arial"/>
          <w:sz w:val="20"/>
          <w:szCs w:val="20"/>
          <w:color w:val="auto"/>
        </w:rPr>
        <w:t>contract manufacturers completed a CMRT survey for products they supplied to us. Of the 26 contract manufacturers surveyed, 100% completed the CMRT. A complete list of Smelters reported by our contract manufacturers is attached as 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exhibit to our Conflict Minerals Report.</w:t>
      </w:r>
    </w:p>
    <w:p>
      <w:pPr>
        <w:spacing w:after="0" w:line="117"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We conduct training as needed with our contract manufacturers identified as using 3TG, to educate these manufacturers on the requirements of the Act and our sourcing policies related to conflict minerals and to help them understand the importance of conducting due diligence on the sourcing of the 3TG used in our products. We have developed, produced, and conducted a training program that provides a summary of the law related to conflict minerals, our obligations under the Act and the Conflict Minerals Rule, as well as the role of our contract manufacturers in assisting us to comply with the requirements of the Conflict</w:t>
      </w:r>
    </w:p>
    <w:p>
      <w:pPr>
        <w:spacing w:after="0" w:line="2"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Minerals Rule. In 2025, Hasbro conducted virtual training sessions with those contract manufacturers that needed the training. Manufacturers can contact Hasbro via email to Hasbro’s designated sourcing organization and may also contact the third-</w:t>
      </w:r>
    </w:p>
    <w:p>
      <w:pPr>
        <w:jc w:val="both"/>
        <w:ind w:right="20"/>
        <w:spacing w:after="0" w:line="232" w:lineRule="auto"/>
        <w:rPr>
          <w:sz w:val="20"/>
          <w:szCs w:val="20"/>
          <w:color w:val="auto"/>
        </w:rPr>
      </w:pPr>
      <w:r>
        <w:rPr>
          <w:rFonts w:ascii="Arial" w:cs="Arial" w:eastAsia="Arial" w:hAnsi="Arial"/>
          <w:sz w:val="20"/>
          <w:szCs w:val="20"/>
          <w:color w:val="auto"/>
        </w:rPr>
        <w:t>party technology provider about the Conflict Minerals Rule or seek assistance in completing the Conflict Minerals survey using the CMRT.</w:t>
      </w:r>
    </w:p>
    <w:p>
      <w:pPr>
        <w:spacing w:after="0" w:line="104"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color w:val="auto"/>
        </w:rPr>
        <w:t>As is discussed in the attached Conflicts Minerals Report, we are currently unable to determine the specific mine location or the country of origin for all of the 3TG used in our products. Based on our RCOI, we believe some of the 3TG used in our</w:t>
      </w:r>
    </w:p>
    <w:p>
      <w:pPr>
        <w:spacing w:after="0" w:line="1" w:lineRule="exact"/>
        <w:rPr>
          <w:sz w:val="20"/>
          <w:szCs w:val="20"/>
          <w:color w:val="auto"/>
        </w:rPr>
      </w:pPr>
    </w:p>
    <w:p>
      <w:pPr>
        <w:ind w:right="40"/>
        <w:spacing w:after="0" w:line="204" w:lineRule="auto"/>
        <w:rPr>
          <w:sz w:val="20"/>
          <w:szCs w:val="20"/>
          <w:color w:val="auto"/>
        </w:rPr>
      </w:pPr>
      <w:r>
        <w:rPr>
          <w:rFonts w:ascii="Arial" w:cs="Arial" w:eastAsia="Arial" w:hAnsi="Arial"/>
          <w:sz w:val="20"/>
          <w:szCs w:val="20"/>
          <w:color w:val="auto"/>
        </w:rPr>
        <w:t>products originated in the Covered Countries. However, at this point we cannot make a determination about the source of all the 3TG in our products or components. Accordingly, we conducted due diligence on the source and chain of custody of the</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necessary conflict minerals we believe may be contained in our products as described in the Conflict Minerals Report included as Exhibit 1.01.</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Item 1.02 Exhibit</w:t>
      </w:r>
    </w:p>
    <w:p>
      <w:pPr>
        <w:spacing w:after="0" w:line="164" w:lineRule="exact"/>
        <w:rPr>
          <w:sz w:val="20"/>
          <w:szCs w:val="20"/>
          <w:color w:val="auto"/>
        </w:rPr>
      </w:pPr>
    </w:p>
    <w:p>
      <w:pPr>
        <w:ind w:right="80"/>
        <w:spacing w:after="0" w:line="213" w:lineRule="auto"/>
        <w:rPr>
          <w:sz w:val="20"/>
          <w:szCs w:val="20"/>
          <w:color w:val="auto"/>
        </w:rPr>
      </w:pPr>
      <w:r>
        <w:rPr>
          <w:rFonts w:ascii="Arial" w:cs="Arial" w:eastAsia="Arial" w:hAnsi="Arial"/>
          <w:sz w:val="20"/>
          <w:szCs w:val="20"/>
          <w:color w:val="auto"/>
        </w:rPr>
        <w:t>In accordance with Rule 13p-1 under the Securities Exchange Act of 1934 (“Rule 13p-1"), this Specialized Disclosure Form ("Form SD") and the associated Conflict Minerals Report are posted to a publicly available Internet site at the following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internet address: https://csr.hasbro.com/en-us/reports.</w:t>
      </w:r>
    </w:p>
    <w:p>
      <w:pPr>
        <w:sectPr>
          <w:pgSz w:w="11900" w:h="16838" w:orient="portrait"/>
          <w:cols w:equalWidth="0" w:num="1">
            <w:col w:w="11040"/>
          </w:cols>
          <w:pgMar w:left="420" w:top="602" w:right="439" w:bottom="1440" w:gutter="0" w:footer="0" w:header="0"/>
        </w:sectPr>
      </w:pPr>
    </w:p>
    <w:bookmarkStart w:id="3" w:name="page4"/>
    <w:bookmarkEnd w:id="3"/>
    <w:p>
      <w:pPr>
        <w:ind w:left="40"/>
        <w:spacing w:after="0"/>
        <w:rPr>
          <w:sz w:val="20"/>
          <w:szCs w:val="20"/>
          <w:color w:val="auto"/>
        </w:rPr>
      </w:pPr>
      <w:r>
        <w:rPr>
          <w:rFonts w:ascii="Arial" w:cs="Arial" w:eastAsia="Arial" w:hAnsi="Arial"/>
          <w:sz w:val="20"/>
          <w:szCs w:val="20"/>
          <w:b w:val="1"/>
          <w:bCs w:val="1"/>
          <w:color w:val="auto"/>
        </w:rPr>
        <w:t>Section 2 – Resource Extraction Issuer Disclosure</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Item 2.01 Resource Extraction Issuer Disclosure and Report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20"/>
          <w:szCs w:val="20"/>
          <w:color w:val="auto"/>
        </w:rPr>
        <w:t>Not applicable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Section 3 –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3.01 Exhibits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9"/>
          <w:szCs w:val="19"/>
          <w:color w:val="auto"/>
        </w:rPr>
        <w:t xml:space="preserve">Exhibit 1.01 - </w:t>
      </w:r>
      <w:r>
        <w:rPr>
          <w:rFonts w:ascii="Arial" w:cs="Arial" w:eastAsia="Arial" w:hAnsi="Arial"/>
          <w:sz w:val="19"/>
          <w:szCs w:val="19"/>
          <w:u w:val="single" w:color="auto"/>
          <w:color w:val="0000FF"/>
        </w:rPr>
        <w:t>Conflict Minerals Report as required by Items 1.01 and 1.02 of this Form.</w:t>
      </w:r>
    </w:p>
    <w:p>
      <w:pPr>
        <w:sectPr>
          <w:pgSz w:w="11900" w:h="16838" w:orient="portrait"/>
          <w:cols w:equalWidth="0" w:num="1">
            <w:col w:w="10059"/>
          </w:cols>
          <w:pgMar w:left="400" w:top="602" w:right="1440" w:bottom="1440" w:gutter="0" w:footer="0" w:header="0"/>
        </w:sectPr>
      </w:pPr>
    </w:p>
    <w:bookmarkStart w:id="4" w:name="page5"/>
    <w:bookmarkEnd w:id="4"/>
    <w:p>
      <w:pPr>
        <w:ind w:left="100"/>
        <w:spacing w:after="0"/>
        <w:rPr>
          <w:sz w:val="20"/>
          <w:szCs w:val="20"/>
          <w:color w:val="auto"/>
        </w:rPr>
      </w:pPr>
      <w:r>
        <w:rPr>
          <w:rFonts w:ascii="Arial" w:cs="Arial" w:eastAsia="Arial" w:hAnsi="Arial"/>
          <w:sz w:val="20"/>
          <w:szCs w:val="20"/>
          <w:b w:val="1"/>
          <w:bCs w:val="1"/>
          <w:color w:val="auto"/>
        </w:rPr>
        <w:t>Signature</w:t>
      </w:r>
    </w:p>
    <w:p>
      <w:pPr>
        <w:spacing w:after="0" w:line="339" w:lineRule="exact"/>
        <w:rPr>
          <w:sz w:val="20"/>
          <w:szCs w:val="20"/>
          <w:color w:val="auto"/>
        </w:rPr>
      </w:pPr>
    </w:p>
    <w:p>
      <w:pPr>
        <w:ind w:left="100"/>
        <w:spacing w:after="0" w:line="28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duly authorized undersigned.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40" w:type="dxa"/>
            <w:vAlign w:val="bottom"/>
            <w:gridSpan w:val="3"/>
          </w:tcPr>
          <w:p>
            <w:pPr>
              <w:spacing w:after="0"/>
              <w:rPr>
                <w:sz w:val="20"/>
                <w:szCs w:val="20"/>
                <w:color w:val="auto"/>
              </w:rPr>
            </w:pPr>
            <w:r>
              <w:rPr>
                <w:rFonts w:ascii="Arial" w:cs="Arial" w:eastAsia="Arial" w:hAnsi="Arial"/>
                <w:sz w:val="20"/>
                <w:szCs w:val="20"/>
                <w:color w:val="auto"/>
              </w:rPr>
              <w:t>Hasbro, Inc. (Registrant)</w:t>
            </w:r>
          </w:p>
        </w:tc>
        <w:tc>
          <w:tcPr>
            <w:tcW w:w="2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1"/>
        </w:trPr>
        <w:tc>
          <w:tcPr>
            <w:tcW w:w="6540" w:type="dxa"/>
            <w:vAlign w:val="bottom"/>
            <w:gridSpan w:val="3"/>
          </w:tcPr>
          <w:p>
            <w:pPr>
              <w:spacing w:after="0" w:line="210" w:lineRule="exact"/>
              <w:rPr>
                <w:sz w:val="20"/>
                <w:szCs w:val="20"/>
                <w:color w:val="auto"/>
              </w:rPr>
            </w:pPr>
            <w:r>
              <w:rPr>
                <w:rFonts w:ascii="Arial" w:cs="Arial" w:eastAsia="Arial" w:hAnsi="Arial"/>
                <w:sz w:val="20"/>
                <w:szCs w:val="20"/>
                <w:color w:val="auto"/>
              </w:rPr>
              <w:t>By: /s/ Gina Goetter</w:t>
            </w:r>
          </w:p>
        </w:tc>
        <w:tc>
          <w:tcPr>
            <w:tcW w:w="3340" w:type="dxa"/>
            <w:vAlign w:val="bottom"/>
            <w:gridSpan w:val="2"/>
          </w:tcPr>
          <w:p>
            <w:pPr>
              <w:ind w:left="2140"/>
              <w:spacing w:after="0" w:line="210" w:lineRule="exact"/>
              <w:rPr>
                <w:sz w:val="20"/>
                <w:szCs w:val="20"/>
                <w:color w:val="auto"/>
              </w:rPr>
            </w:pPr>
            <w:r>
              <w:rPr>
                <w:rFonts w:ascii="Arial" w:cs="Arial" w:eastAsia="Arial" w:hAnsi="Arial"/>
                <w:sz w:val="20"/>
                <w:szCs w:val="20"/>
                <w:color w:val="auto"/>
                <w:w w:val="97"/>
              </w:rPr>
              <w:t>May 29, 2026</w:t>
            </w:r>
          </w:p>
        </w:tc>
      </w:tr>
      <w:tr>
        <w:trPr>
          <w:trHeight w:val="20"/>
        </w:trPr>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82"/>
        </w:trPr>
        <w:tc>
          <w:tcPr>
            <w:tcW w:w="6540" w:type="dxa"/>
            <w:vAlign w:val="bottom"/>
            <w:gridSpan w:val="3"/>
          </w:tcPr>
          <w:p>
            <w:pPr>
              <w:spacing w:after="0"/>
              <w:rPr>
                <w:sz w:val="20"/>
                <w:szCs w:val="20"/>
                <w:color w:val="auto"/>
              </w:rPr>
            </w:pPr>
            <w:r>
              <w:rPr>
                <w:rFonts w:ascii="Arial" w:cs="Arial" w:eastAsia="Arial" w:hAnsi="Arial"/>
                <w:sz w:val="20"/>
                <w:szCs w:val="20"/>
                <w:color w:val="auto"/>
              </w:rPr>
              <w:t>Gina Goetter</w:t>
            </w:r>
          </w:p>
        </w:tc>
        <w:tc>
          <w:tcPr>
            <w:tcW w:w="3340" w:type="dxa"/>
            <w:vAlign w:val="bottom"/>
            <w:gridSpan w:val="2"/>
          </w:tcPr>
          <w:p>
            <w:pPr>
              <w:ind w:left="2140"/>
              <w:spacing w:after="0"/>
              <w:rPr>
                <w:sz w:val="20"/>
                <w:szCs w:val="20"/>
                <w:color w:val="auto"/>
              </w:rPr>
            </w:pPr>
            <w:r>
              <w:rPr>
                <w:rFonts w:ascii="Arial" w:cs="Arial" w:eastAsia="Arial" w:hAnsi="Arial"/>
                <w:sz w:val="20"/>
                <w:szCs w:val="20"/>
                <w:color w:val="auto"/>
              </w:rPr>
              <w:t>(Date)</w:t>
            </w:r>
          </w:p>
        </w:tc>
      </w:tr>
      <w:tr>
        <w:trPr>
          <w:trHeight w:val="257"/>
        </w:trPr>
        <w:tc>
          <w:tcPr>
            <w:tcW w:w="6540" w:type="dxa"/>
            <w:vAlign w:val="bottom"/>
            <w:gridSpan w:val="3"/>
          </w:tcPr>
          <w:p>
            <w:pPr>
              <w:spacing w:after="0"/>
              <w:rPr>
                <w:sz w:val="20"/>
                <w:szCs w:val="20"/>
                <w:color w:val="auto"/>
              </w:rPr>
            </w:pPr>
            <w:r>
              <w:rPr>
                <w:rFonts w:ascii="Arial" w:cs="Arial" w:eastAsia="Arial" w:hAnsi="Arial"/>
                <w:sz w:val="20"/>
                <w:szCs w:val="20"/>
                <w:color w:val="auto"/>
              </w:rPr>
              <w:t>Chief Financial Officer and Chief Operating Officer</w:t>
            </w:r>
          </w:p>
        </w:tc>
        <w:tc>
          <w:tcPr>
            <w:tcW w:w="2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20"/>
                <w:szCs w:val="20"/>
                <w:color w:val="auto"/>
              </w:rPr>
              <w:t>(Signature and Title)</w:t>
            </w:r>
          </w:p>
        </w:tc>
        <w:tc>
          <w:tcPr>
            <w:tcW w:w="214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sectPr>
          <w:pgSz w:w="11900" w:h="16838" w:orient="portrait"/>
          <w:cols w:equalWidth="0" w:num="1">
            <w:col w:w="10920"/>
          </w:cols>
          <w:pgMar w:left="340" w:top="845" w:right="639" w:bottom="1440" w:gutter="0" w:footer="0" w:header="0"/>
        </w:sectPr>
      </w:pPr>
    </w:p>
    <w:bookmarkStart w:id="5" w:name="page6"/>
    <w:bookmarkEnd w:id="5"/>
    <w:p>
      <w:pPr>
        <w:jc w:val="center"/>
        <w:ind w:right="160"/>
        <w:spacing w:after="0"/>
        <w:rPr>
          <w:sz w:val="20"/>
          <w:szCs w:val="20"/>
          <w:color w:val="auto"/>
        </w:rPr>
      </w:pPr>
      <w:r>
        <w:rPr>
          <w:rFonts w:ascii="Arial" w:cs="Arial" w:eastAsia="Arial" w:hAnsi="Arial"/>
          <w:sz w:val="20"/>
          <w:szCs w:val="20"/>
          <w:b w:val="1"/>
          <w:bCs w:val="1"/>
          <w:color w:val="auto"/>
        </w:rPr>
        <w:t>Exhibit 1.01 – Conflict Minerals Report (CMR)</w:t>
      </w:r>
    </w:p>
    <w:p>
      <w:pPr>
        <w:spacing w:after="0" w:line="54"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Conflict Minerals Report of Hasbro,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Introduction</w:t>
      </w:r>
    </w:p>
    <w:p>
      <w:pPr>
        <w:spacing w:after="0" w:line="366" w:lineRule="exact"/>
        <w:rPr>
          <w:sz w:val="20"/>
          <w:szCs w:val="20"/>
          <w:color w:val="auto"/>
        </w:rPr>
      </w:pPr>
    </w:p>
    <w:p>
      <w:pPr>
        <w:jc w:val="both"/>
        <w:ind w:left="40" w:right="320"/>
        <w:spacing w:after="0" w:line="278" w:lineRule="auto"/>
        <w:rPr>
          <w:sz w:val="20"/>
          <w:szCs w:val="20"/>
          <w:color w:val="auto"/>
        </w:rPr>
      </w:pPr>
      <w:r>
        <w:rPr>
          <w:rFonts w:ascii="Arial" w:cs="Arial" w:eastAsia="Arial" w:hAnsi="Arial"/>
          <w:sz w:val="20"/>
          <w:szCs w:val="20"/>
          <w:color w:val="auto"/>
        </w:rPr>
        <w:t>This is the Conflict Minerals Report of Hasbro, Inc. (herein referred to as "Hasbro," the Company," "we," "us," or "our ") for calendar year 2025 in accordance with Rule 13p-1 under the Securities Exchange Act of 1934 (“Rule 13p-1"). Certain terms in this report are defined in Rule 13p-1 and Form SD and the reader is invited to refer to those sources for complete definitions of these terms.</w:t>
      </w:r>
    </w:p>
    <w:p>
      <w:pPr>
        <w:spacing w:after="0" w:line="217" w:lineRule="exact"/>
        <w:rPr>
          <w:sz w:val="20"/>
          <w:szCs w:val="20"/>
          <w:color w:val="auto"/>
        </w:rPr>
      </w:pPr>
    </w:p>
    <w:p>
      <w:pPr>
        <w:jc w:val="both"/>
        <w:ind w:left="40" w:right="320"/>
        <w:spacing w:after="0" w:line="276" w:lineRule="auto"/>
        <w:rPr>
          <w:sz w:val="20"/>
          <w:szCs w:val="20"/>
          <w:color w:val="auto"/>
        </w:rPr>
      </w:pPr>
      <w:r>
        <w:rPr>
          <w:rFonts w:ascii="Arial" w:cs="Arial" w:eastAsia="Arial" w:hAnsi="Arial"/>
          <w:sz w:val="19"/>
          <w:szCs w:val="19"/>
          <w:color w:val="auto"/>
        </w:rPr>
        <w:t>Hasbro is a leading game, intellectual property (“IP”), and toy company whose mission is to create joy and community through the magic of play. With over 100 years of expertise, we deliver play experiences to kids, families, and fans around the world, through physical and digital games, video games, toys, licensed consumer products, location-based entertainment, film, TV and more. Through our franchise-first approach, we unlock value from both new and legacy IP, including MAGIC: THE GATHERING, MONOPOLY, HASBRO GAMES, PLAY-DOH, TRANSFORMERS, DUNGEONS</w:t>
      </w:r>
    </w:p>
    <w:p>
      <w:pPr>
        <w:spacing w:after="0" w:line="4" w:lineRule="exact"/>
        <w:rPr>
          <w:sz w:val="20"/>
          <w:szCs w:val="20"/>
          <w:color w:val="auto"/>
        </w:rPr>
      </w:pPr>
    </w:p>
    <w:p>
      <w:pPr>
        <w:jc w:val="both"/>
        <w:ind w:left="40" w:right="320" w:hanging="9"/>
        <w:spacing w:after="0" w:line="267" w:lineRule="auto"/>
        <w:tabs>
          <w:tab w:leader="none" w:pos="264" w:val="left"/>
        </w:tabs>
        <w:numPr>
          <w:ilvl w:val="0"/>
          <w:numId w:val="3"/>
        </w:numPr>
        <w:rPr>
          <w:rFonts w:ascii="Arial" w:cs="Arial" w:eastAsia="Arial" w:hAnsi="Arial"/>
          <w:sz w:val="20"/>
          <w:szCs w:val="20"/>
          <w:color w:val="auto"/>
        </w:rPr>
      </w:pPr>
      <w:r>
        <w:rPr>
          <w:rFonts w:ascii="Arial" w:cs="Arial" w:eastAsia="Arial" w:hAnsi="Arial"/>
          <w:sz w:val="20"/>
          <w:szCs w:val="20"/>
          <w:color w:val="auto"/>
        </w:rPr>
        <w:t>DRAGONS, NERF and PEPPA PIG, as well as premier partner brands. During 2025, all of our products were manufactured in third-party vendor facilities (referred to hereafter as “contract manufacturers”) located in the People’s Republic of China and in other countries, such as India, Vietnam, Mexico, Japan, Europe, and the United States.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Due diligence framework</w:t>
      </w:r>
    </w:p>
    <w:p>
      <w:pPr>
        <w:spacing w:after="0" w:line="366" w:lineRule="exact"/>
        <w:rPr>
          <w:sz w:val="20"/>
          <w:szCs w:val="20"/>
          <w:color w:val="auto"/>
        </w:rPr>
      </w:pPr>
    </w:p>
    <w:p>
      <w:pPr>
        <w:jc w:val="both"/>
        <w:ind w:left="40" w:right="320"/>
        <w:spacing w:after="0" w:line="278" w:lineRule="auto"/>
        <w:rPr>
          <w:sz w:val="20"/>
          <w:szCs w:val="20"/>
          <w:color w:val="auto"/>
        </w:rPr>
      </w:pPr>
      <w:r>
        <w:rPr>
          <w:rFonts w:ascii="Arial" w:cs="Arial" w:eastAsia="Arial" w:hAnsi="Arial"/>
          <w:sz w:val="20"/>
          <w:szCs w:val="20"/>
          <w:color w:val="auto"/>
        </w:rPr>
        <w:t>Hasbro designed its due diligence measures to conform, in all material respects, with the internationally recognized due diligence framework as set forth in the Organization for Economic Cooperation and Development (OECD) Due Diligence Guidance for Responsible Supply Chains of Minerals from Conflict-Affected and High-Risk Areas, Third Edition ("OECD Framework").</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 Due diligence measures undertaken</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color w:val="auto"/>
        </w:rPr>
        <w:t>Hasbro's due diligence efforts for 2025 included the following steps in alignment with the OECD Framework:</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Establish company management systems</w:t>
      </w:r>
    </w:p>
    <w:p>
      <w:pPr>
        <w:spacing w:after="0" w:line="258" w:lineRule="exact"/>
        <w:rPr>
          <w:sz w:val="20"/>
          <w:szCs w:val="20"/>
          <w:color w:val="auto"/>
        </w:rPr>
      </w:pPr>
    </w:p>
    <w:p>
      <w:pPr>
        <w:jc w:val="both"/>
        <w:ind w:left="580" w:right="240" w:hanging="275"/>
        <w:spacing w:after="0" w:line="264" w:lineRule="auto"/>
        <w:tabs>
          <w:tab w:leader="none" w:pos="578" w:val="left"/>
        </w:tabs>
        <w:numPr>
          <w:ilvl w:val="0"/>
          <w:numId w:val="4"/>
        </w:numPr>
        <w:rPr>
          <w:rFonts w:ascii="Arial" w:cs="Arial" w:eastAsia="Arial" w:hAnsi="Arial"/>
          <w:sz w:val="16"/>
          <w:szCs w:val="16"/>
          <w:color w:val="auto"/>
        </w:rPr>
      </w:pPr>
      <w:r>
        <w:rPr>
          <w:rFonts w:ascii="Arial" w:cs="Arial" w:eastAsia="Arial" w:hAnsi="Arial"/>
          <w:sz w:val="20"/>
          <w:szCs w:val="20"/>
          <w:color w:val="auto"/>
        </w:rPr>
        <w:t>Communicated our conflict minerals policy to all contract manufacturers, ensuring they were made aware that Hasbro’s policy does not preclude them from sourcing conflict free minerals from the Covered Countries, but is intended to encourage responsible sourcing. To summarize our conflict minerals policy, Hasbro requires suppliers to fully respond to our information requests, provide a list of smelter or refiner (“Smelters”) names, source from conflict free Smelters as determined by a third-party audit program such as the Responsible Minerals Initiative (RMI), London Bullion Market Association, Responsible Jewelry Council or any other recognized equivalent, and initiate contact with non-audited Smelters to persuade such Smelters to undergo a Responsible Minerals Assurance Process (“RMAP”) audit of their due diligence practices.</w:t>
      </w:r>
    </w:p>
    <w:p>
      <w:pPr>
        <w:spacing w:after="0" w:line="298" w:lineRule="exact"/>
        <w:rPr>
          <w:rFonts w:ascii="Arial" w:cs="Arial" w:eastAsia="Arial" w:hAnsi="Arial"/>
          <w:sz w:val="16"/>
          <w:szCs w:val="16"/>
          <w:color w:val="auto"/>
        </w:rPr>
      </w:pPr>
    </w:p>
    <w:p>
      <w:pPr>
        <w:ind w:left="580" w:right="280" w:hanging="275"/>
        <w:spacing w:after="0" w:line="263" w:lineRule="auto"/>
        <w:tabs>
          <w:tab w:leader="none" w:pos="578" w:val="left"/>
        </w:tabs>
        <w:numPr>
          <w:ilvl w:val="0"/>
          <w:numId w:val="4"/>
        </w:numPr>
        <w:rPr>
          <w:rFonts w:ascii="Arial" w:cs="Arial" w:eastAsia="Arial" w:hAnsi="Arial"/>
          <w:sz w:val="16"/>
          <w:szCs w:val="16"/>
          <w:color w:val="auto"/>
        </w:rPr>
      </w:pPr>
      <w:r>
        <w:rPr>
          <w:rFonts w:ascii="Arial" w:cs="Arial" w:eastAsia="Arial" w:hAnsi="Arial"/>
          <w:sz w:val="20"/>
          <w:szCs w:val="20"/>
          <w:color w:val="auto"/>
        </w:rPr>
        <w:t>As part of our conflict minerals due diligence, we reviewed the smelters and refiners identified in our supply chain against the RMI RMAP lists. Under this framework:</w:t>
      </w:r>
    </w:p>
    <w:p>
      <w:pPr>
        <w:ind w:left="860" w:right="520" w:hanging="275"/>
        <w:spacing w:after="0" w:line="264" w:lineRule="auto"/>
        <w:rPr>
          <w:rFonts w:ascii="Arial" w:cs="Arial" w:eastAsia="Arial" w:hAnsi="Arial"/>
          <w:sz w:val="16"/>
          <w:szCs w:val="16"/>
          <w:color w:val="auto"/>
        </w:rPr>
      </w:pPr>
      <w:r>
        <w:rPr>
          <w:rFonts w:ascii="Arial" w:cs="Arial" w:eastAsia="Arial" w:hAnsi="Arial"/>
          <w:sz w:val="13"/>
          <w:szCs w:val="13"/>
          <w:color w:val="auto"/>
        </w:rPr>
        <w:t xml:space="preserve">o </w:t>
      </w:r>
      <w:r>
        <w:rPr>
          <w:rFonts w:ascii="Arial" w:cs="Arial" w:eastAsia="Arial" w:hAnsi="Arial"/>
          <w:sz w:val="19"/>
          <w:szCs w:val="19"/>
          <w:color w:val="auto"/>
        </w:rPr>
        <w:t>"Conformant" smelters and refiners are those that have completed a third-party audit and been validated as</w:t>
      </w:r>
      <w:r>
        <w:rPr>
          <w:rFonts w:ascii="Arial" w:cs="Arial" w:eastAsia="Arial" w:hAnsi="Arial"/>
          <w:sz w:val="13"/>
          <w:szCs w:val="13"/>
          <w:color w:val="auto"/>
        </w:rPr>
        <w:t xml:space="preserve"> </w:t>
      </w:r>
      <w:r>
        <w:rPr>
          <w:rFonts w:ascii="Arial" w:cs="Arial" w:eastAsia="Arial" w:hAnsi="Arial"/>
          <w:sz w:val="19"/>
          <w:szCs w:val="19"/>
          <w:color w:val="auto"/>
        </w:rPr>
        <w:t>meeting RMAP’s responsible sourcing requirements.</w:t>
      </w:r>
    </w:p>
    <w:p>
      <w:pPr>
        <w:ind w:left="580"/>
        <w:spacing w:after="0"/>
        <w:rPr>
          <w:rFonts w:ascii="Arial" w:cs="Arial" w:eastAsia="Arial" w:hAnsi="Arial"/>
          <w:sz w:val="16"/>
          <w:szCs w:val="16"/>
          <w:color w:val="auto"/>
        </w:rPr>
      </w:pPr>
      <w:r>
        <w:rPr>
          <w:rFonts w:ascii="Arial" w:cs="Arial" w:eastAsia="Arial" w:hAnsi="Arial"/>
          <w:sz w:val="13"/>
          <w:szCs w:val="13"/>
          <w:color w:val="auto"/>
        </w:rPr>
        <w:t xml:space="preserve">o   </w:t>
      </w:r>
      <w:r>
        <w:rPr>
          <w:rFonts w:ascii="Arial" w:cs="Arial" w:eastAsia="Arial" w:hAnsi="Arial"/>
          <w:sz w:val="18"/>
          <w:szCs w:val="18"/>
          <w:color w:val="auto"/>
        </w:rPr>
        <w:t>"Active" smelters and refiners are currently engaged in the audit process but have not yet been designated conformant.</w:t>
      </w:r>
    </w:p>
    <w:p>
      <w:pPr>
        <w:sectPr>
          <w:pgSz w:w="11900" w:h="16838" w:orient="portrait"/>
          <w:cols w:equalWidth="0" w:num="1">
            <w:col w:w="10740"/>
          </w:cols>
          <w:pgMar w:left="660" w:top="683" w:right="499" w:bottom="1440" w:gutter="0" w:footer="0" w:header="0"/>
        </w:sectPr>
      </w:pPr>
    </w:p>
    <w:bookmarkStart w:id="6" w:name="page7"/>
    <w:bookmarkEnd w:id="6"/>
    <w:p>
      <w:pPr>
        <w:jc w:val="both"/>
        <w:ind w:left="860" w:right="460" w:hanging="280"/>
        <w:spacing w:after="0" w:line="262" w:lineRule="auto"/>
        <w:tabs>
          <w:tab w:leader="none" w:pos="849" w:val="left"/>
        </w:tabs>
        <w:numPr>
          <w:ilvl w:val="1"/>
          <w:numId w:val="5"/>
        </w:numPr>
        <w:rPr>
          <w:rFonts w:ascii="Arial" w:cs="Arial" w:eastAsia="Arial" w:hAnsi="Arial"/>
          <w:sz w:val="13"/>
          <w:szCs w:val="13"/>
          <w:color w:val="auto"/>
        </w:rPr>
      </w:pPr>
      <w:r>
        <w:rPr>
          <w:rFonts w:ascii="Arial" w:cs="Arial" w:eastAsia="Arial" w:hAnsi="Arial"/>
          <w:sz w:val="20"/>
          <w:szCs w:val="20"/>
          <w:color w:val="auto"/>
        </w:rPr>
        <w:t>Smelters and refiners that are not listed as conformant or active are referred to herein as “nonconformant”, meaning they are not currently undergoing a recognized audit or have not provided sufficient information to determine their sourcing practices.</w:t>
      </w:r>
    </w:p>
    <w:p>
      <w:pPr>
        <w:spacing w:after="0" w:line="232" w:lineRule="exact"/>
        <w:rPr>
          <w:rFonts w:ascii="Arial" w:cs="Arial" w:eastAsia="Arial" w:hAnsi="Arial"/>
          <w:sz w:val="13"/>
          <w:szCs w:val="13"/>
          <w:color w:val="auto"/>
        </w:rPr>
      </w:pPr>
    </w:p>
    <w:p>
      <w:pPr>
        <w:jc w:val="both"/>
        <w:ind w:left="580" w:right="220" w:hanging="275"/>
        <w:spacing w:after="0" w:line="269" w:lineRule="auto"/>
        <w:tabs>
          <w:tab w:leader="none" w:pos="578" w:val="left"/>
        </w:tabs>
        <w:numPr>
          <w:ilvl w:val="0"/>
          <w:numId w:val="5"/>
        </w:numPr>
        <w:rPr>
          <w:rFonts w:ascii="Arial" w:cs="Arial" w:eastAsia="Arial" w:hAnsi="Arial"/>
          <w:sz w:val="16"/>
          <w:szCs w:val="16"/>
          <w:color w:val="auto"/>
        </w:rPr>
      </w:pPr>
      <w:r>
        <w:rPr>
          <w:rFonts w:ascii="Arial" w:cs="Arial" w:eastAsia="Arial" w:hAnsi="Arial"/>
          <w:sz w:val="20"/>
          <w:szCs w:val="20"/>
          <w:color w:val="auto"/>
        </w:rPr>
        <w:t>Operated under our internal governance structure, which is overseen by members of our senior management team and includes a cross functional conflict minerals steering committee and working group comprised of representatives from the Global Regulatory Affairs, Sustainability, Global Sourcing, Legal, Finance and Internal Audit functions of Hasbro.</w:t>
      </w:r>
    </w:p>
    <w:p>
      <w:pPr>
        <w:spacing w:after="0" w:line="305" w:lineRule="exact"/>
        <w:rPr>
          <w:rFonts w:ascii="Arial" w:cs="Arial" w:eastAsia="Arial" w:hAnsi="Arial"/>
          <w:sz w:val="16"/>
          <w:szCs w:val="16"/>
          <w:color w:val="auto"/>
        </w:rPr>
      </w:pPr>
    </w:p>
    <w:p>
      <w:pPr>
        <w:jc w:val="both"/>
        <w:ind w:left="580" w:right="140" w:hanging="275"/>
        <w:spacing w:after="0" w:line="261" w:lineRule="auto"/>
        <w:tabs>
          <w:tab w:leader="none" w:pos="578" w:val="left"/>
        </w:tabs>
        <w:numPr>
          <w:ilvl w:val="0"/>
          <w:numId w:val="5"/>
        </w:numPr>
        <w:rPr>
          <w:rFonts w:ascii="Arial" w:cs="Arial" w:eastAsia="Arial" w:hAnsi="Arial"/>
          <w:sz w:val="16"/>
          <w:szCs w:val="16"/>
          <w:color w:val="auto"/>
        </w:rPr>
      </w:pPr>
      <w:r>
        <w:rPr>
          <w:rFonts w:ascii="Arial" w:cs="Arial" w:eastAsia="Arial" w:hAnsi="Arial"/>
          <w:sz w:val="20"/>
          <w:szCs w:val="20"/>
          <w:color w:val="auto"/>
        </w:rPr>
        <w:t>Provided surveyed contract manufacturers with training, which included an overview of the conflict minerals rule under the Dodd-Frank Act and information on how to complete the survey. The communication and training of our policy and the conflict minerals rules specified that contract manufacturers should not ban sourcing 3TG from the Covered Countries in order to maintain support of socio-economic regional development, so long as the contract manufacturers are utilizing only conformant Smelters.</w:t>
      </w:r>
    </w:p>
    <w:p>
      <w:pPr>
        <w:spacing w:after="0" w:line="274" w:lineRule="exact"/>
        <w:rPr>
          <w:rFonts w:ascii="Arial" w:cs="Arial" w:eastAsia="Arial" w:hAnsi="Arial"/>
          <w:sz w:val="16"/>
          <w:szCs w:val="16"/>
          <w:color w:val="auto"/>
        </w:rPr>
      </w:pPr>
    </w:p>
    <w:p>
      <w:pPr>
        <w:jc w:val="both"/>
        <w:ind w:left="580" w:right="20" w:hanging="275"/>
        <w:spacing w:after="0" w:line="236" w:lineRule="auto"/>
        <w:tabs>
          <w:tab w:leader="none" w:pos="578" w:val="left"/>
        </w:tabs>
        <w:numPr>
          <w:ilvl w:val="0"/>
          <w:numId w:val="5"/>
        </w:numPr>
        <w:rPr>
          <w:rFonts w:ascii="Arial" w:cs="Arial" w:eastAsia="Arial" w:hAnsi="Arial"/>
          <w:sz w:val="16"/>
          <w:szCs w:val="16"/>
          <w:color w:val="auto"/>
        </w:rPr>
      </w:pPr>
      <w:r>
        <w:rPr>
          <w:rFonts w:ascii="Arial" w:cs="Arial" w:eastAsia="Arial" w:hAnsi="Arial"/>
          <w:sz w:val="20"/>
          <w:szCs w:val="20"/>
          <w:color w:val="auto"/>
        </w:rPr>
        <w:t>Engaged with contract manufacturers that Hasbro believed supply products containing 3TG, informing them that Hasbro is subject to Section 1502 of the Dodd Frank Act and that their cooperation in responding to the survey is required.</w:t>
      </w:r>
    </w:p>
    <w:p>
      <w:pPr>
        <w:spacing w:after="0" w:line="226" w:lineRule="exact"/>
        <w:rPr>
          <w:rFonts w:ascii="Arial" w:cs="Arial" w:eastAsia="Arial" w:hAnsi="Arial"/>
          <w:sz w:val="16"/>
          <w:szCs w:val="16"/>
          <w:color w:val="auto"/>
        </w:rPr>
      </w:pPr>
    </w:p>
    <w:p>
      <w:pPr>
        <w:jc w:val="both"/>
        <w:ind w:left="580" w:hanging="275"/>
        <w:spacing w:after="0" w:line="227" w:lineRule="auto"/>
        <w:tabs>
          <w:tab w:leader="none" w:pos="578" w:val="left"/>
        </w:tabs>
        <w:numPr>
          <w:ilvl w:val="0"/>
          <w:numId w:val="5"/>
        </w:numPr>
        <w:rPr>
          <w:rFonts w:ascii="Arial" w:cs="Arial" w:eastAsia="Arial" w:hAnsi="Arial"/>
          <w:sz w:val="16"/>
          <w:szCs w:val="16"/>
          <w:color w:val="auto"/>
        </w:rPr>
      </w:pPr>
      <w:r>
        <w:rPr>
          <w:rFonts w:ascii="Arial" w:cs="Arial" w:eastAsia="Arial" w:hAnsi="Arial"/>
          <w:sz w:val="20"/>
          <w:szCs w:val="20"/>
          <w:color w:val="auto"/>
        </w:rPr>
        <w:t>Conducted supply chain surveys using a third-party platform based on the RMI Conflict Minerals Reporting Template (CMRT). Surveys were sent to the 26 contract manufacturers of products identified during our applicability assessment as potentially containing 3TG.</w:t>
      </w:r>
    </w:p>
    <w:p>
      <w:pPr>
        <w:spacing w:after="0" w:line="211" w:lineRule="exact"/>
        <w:rPr>
          <w:rFonts w:ascii="Arial" w:cs="Arial" w:eastAsia="Arial" w:hAnsi="Arial"/>
          <w:sz w:val="16"/>
          <w:szCs w:val="16"/>
          <w:color w:val="auto"/>
        </w:rPr>
      </w:pPr>
    </w:p>
    <w:p>
      <w:pPr>
        <w:jc w:val="both"/>
        <w:ind w:left="580" w:right="20" w:hanging="275"/>
        <w:spacing w:after="0" w:line="231" w:lineRule="auto"/>
        <w:tabs>
          <w:tab w:leader="none" w:pos="578" w:val="left"/>
        </w:tabs>
        <w:numPr>
          <w:ilvl w:val="0"/>
          <w:numId w:val="5"/>
        </w:numPr>
        <w:rPr>
          <w:rFonts w:ascii="Arial" w:cs="Arial" w:eastAsia="Arial" w:hAnsi="Arial"/>
          <w:sz w:val="16"/>
          <w:szCs w:val="16"/>
          <w:color w:val="auto"/>
        </w:rPr>
      </w:pPr>
      <w:r>
        <w:rPr>
          <w:rFonts w:ascii="Arial" w:cs="Arial" w:eastAsia="Arial" w:hAnsi="Arial"/>
          <w:sz w:val="20"/>
          <w:szCs w:val="20"/>
          <w:color w:val="auto"/>
        </w:rPr>
        <w:t>Engaged as necessary with suppliers who identified unaudited Smelters by communicating to them that they request the Smelter to undergo the RMI audit process or remove that Smelter from the supply chain in order to demonstrate compliance with the Hasbro Conflict Minerals policy.</w:t>
      </w:r>
    </w:p>
    <w:p>
      <w:pPr>
        <w:spacing w:after="0" w:line="294" w:lineRule="exact"/>
        <w:rPr>
          <w:rFonts w:ascii="Arial" w:cs="Arial" w:eastAsia="Arial" w:hAnsi="Arial"/>
          <w:sz w:val="16"/>
          <w:szCs w:val="16"/>
          <w:color w:val="auto"/>
        </w:rPr>
      </w:pPr>
    </w:p>
    <w:p>
      <w:pPr>
        <w:ind w:left="580" w:right="140" w:hanging="275"/>
        <w:spacing w:after="0" w:line="271" w:lineRule="auto"/>
        <w:tabs>
          <w:tab w:leader="none" w:pos="578" w:val="left"/>
        </w:tabs>
        <w:numPr>
          <w:ilvl w:val="0"/>
          <w:numId w:val="5"/>
        </w:numPr>
        <w:rPr>
          <w:rFonts w:ascii="Arial" w:cs="Arial" w:eastAsia="Arial" w:hAnsi="Arial"/>
          <w:sz w:val="16"/>
          <w:szCs w:val="16"/>
          <w:color w:val="auto"/>
        </w:rPr>
      </w:pPr>
      <w:r>
        <w:rPr>
          <w:rFonts w:ascii="Arial" w:cs="Arial" w:eastAsia="Arial" w:hAnsi="Arial"/>
          <w:sz w:val="20"/>
          <w:szCs w:val="20"/>
          <w:color w:val="auto"/>
        </w:rPr>
        <w:t>Maintained our grievance mechanism to enable the reporting of grievances via the Hasbro Conflict Minerals email box.</w:t>
      </w:r>
    </w:p>
    <w:p>
      <w:pPr>
        <w:spacing w:after="0" w:line="223" w:lineRule="exact"/>
        <w:rPr>
          <w:rFonts w:ascii="Arial" w:cs="Arial" w:eastAsia="Arial" w:hAnsi="Arial"/>
          <w:sz w:val="16"/>
          <w:szCs w:val="16"/>
          <w:color w:val="auto"/>
        </w:rPr>
      </w:pPr>
    </w:p>
    <w:p>
      <w:pPr>
        <w:ind w:left="580" w:hanging="275"/>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20"/>
          <w:szCs w:val="20"/>
          <w:color w:val="auto"/>
        </w:rPr>
        <w:t>Maintained our policy of retaining conflict minerals program documentation for 5 years.</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Identify and assess risks in the supply chain</w:t>
      </w:r>
    </w:p>
    <w:p>
      <w:pPr>
        <w:spacing w:after="0" w:line="326" w:lineRule="exact"/>
        <w:rPr>
          <w:sz w:val="20"/>
          <w:szCs w:val="20"/>
          <w:color w:val="auto"/>
        </w:rPr>
      </w:pPr>
    </w:p>
    <w:p>
      <w:pPr>
        <w:jc w:val="both"/>
        <w:ind w:left="580" w:right="200" w:hanging="275"/>
        <w:spacing w:after="0" w:line="283" w:lineRule="auto"/>
        <w:tabs>
          <w:tab w:leader="none" w:pos="578" w:val="left"/>
        </w:tabs>
        <w:numPr>
          <w:ilvl w:val="0"/>
          <w:numId w:val="6"/>
        </w:numPr>
        <w:rPr>
          <w:rFonts w:ascii="Arial" w:cs="Arial" w:eastAsia="Arial" w:hAnsi="Arial"/>
          <w:sz w:val="16"/>
          <w:szCs w:val="16"/>
          <w:color w:val="auto"/>
        </w:rPr>
      </w:pPr>
      <w:r>
        <w:rPr>
          <w:rFonts w:ascii="Arial" w:cs="Arial" w:eastAsia="Arial" w:hAnsi="Arial"/>
          <w:sz w:val="20"/>
          <w:szCs w:val="20"/>
          <w:color w:val="auto"/>
        </w:rPr>
        <w:t>In the survey, contract manufacturers were asked to identify Smelters that process conflict minerals contained in our products, including country of origin of the 3TG, based on the RMI CMRT. Hasbro required these contract manufacturers to provide information on Hasbro products only (“product-level declarations”).</w:t>
      </w:r>
    </w:p>
    <w:p>
      <w:pPr>
        <w:spacing w:after="0" w:line="279" w:lineRule="exact"/>
        <w:rPr>
          <w:rFonts w:ascii="Arial" w:cs="Arial" w:eastAsia="Arial" w:hAnsi="Arial"/>
          <w:sz w:val="16"/>
          <w:szCs w:val="16"/>
          <w:color w:val="auto"/>
        </w:rPr>
      </w:pPr>
    </w:p>
    <w:p>
      <w:pPr>
        <w:ind w:left="580" w:right="200" w:hanging="275"/>
        <w:spacing w:after="0" w:line="300" w:lineRule="auto"/>
        <w:tabs>
          <w:tab w:leader="none" w:pos="578" w:val="left"/>
        </w:tabs>
        <w:numPr>
          <w:ilvl w:val="0"/>
          <w:numId w:val="6"/>
        </w:numPr>
        <w:rPr>
          <w:rFonts w:ascii="Arial" w:cs="Arial" w:eastAsia="Arial" w:hAnsi="Arial"/>
          <w:sz w:val="16"/>
          <w:szCs w:val="16"/>
          <w:color w:val="auto"/>
        </w:rPr>
      </w:pPr>
      <w:r>
        <w:rPr>
          <w:rFonts w:ascii="Arial" w:cs="Arial" w:eastAsia="Arial" w:hAnsi="Arial"/>
          <w:sz w:val="20"/>
          <w:szCs w:val="20"/>
          <w:color w:val="auto"/>
        </w:rPr>
        <w:t>Every survey was entered into our third-party technology platform and then reviewed by the technology platform, a third-party consultant and, where deemed necessary, Hasbro personnel.</w:t>
      </w:r>
    </w:p>
    <w:p>
      <w:pPr>
        <w:spacing w:after="0" w:line="262" w:lineRule="exact"/>
        <w:rPr>
          <w:rFonts w:ascii="Arial" w:cs="Arial" w:eastAsia="Arial" w:hAnsi="Arial"/>
          <w:sz w:val="16"/>
          <w:szCs w:val="16"/>
          <w:color w:val="auto"/>
        </w:rPr>
      </w:pPr>
    </w:p>
    <w:p>
      <w:pPr>
        <w:jc w:val="both"/>
        <w:ind w:left="580" w:right="400" w:hanging="275"/>
        <w:spacing w:after="0" w:line="276" w:lineRule="auto"/>
        <w:tabs>
          <w:tab w:leader="none" w:pos="578" w:val="left"/>
        </w:tabs>
        <w:numPr>
          <w:ilvl w:val="0"/>
          <w:numId w:val="6"/>
        </w:numPr>
        <w:rPr>
          <w:rFonts w:ascii="Arial" w:cs="Arial" w:eastAsia="Arial" w:hAnsi="Arial"/>
          <w:sz w:val="16"/>
          <w:szCs w:val="16"/>
          <w:color w:val="auto"/>
        </w:rPr>
      </w:pPr>
      <w:r>
        <w:rPr>
          <w:rFonts w:ascii="Arial" w:cs="Arial" w:eastAsia="Arial" w:hAnsi="Arial"/>
          <w:sz w:val="20"/>
          <w:szCs w:val="20"/>
          <w:color w:val="auto"/>
        </w:rPr>
        <w:t>Non-responsive contract manufacturers and survey responses that we believed to be incomplete or inconsistent were identified. We worked with the suppliers to complete the surveys and have received responses from all of them.</w:t>
      </w:r>
    </w:p>
    <w:p>
      <w:pPr>
        <w:spacing w:after="0" w:line="300" w:lineRule="exact"/>
        <w:rPr>
          <w:rFonts w:ascii="Arial" w:cs="Arial" w:eastAsia="Arial" w:hAnsi="Arial"/>
          <w:sz w:val="16"/>
          <w:szCs w:val="16"/>
          <w:color w:val="auto"/>
        </w:rPr>
      </w:pPr>
    </w:p>
    <w:p>
      <w:pPr>
        <w:jc w:val="both"/>
        <w:ind w:left="580" w:right="400" w:hanging="275"/>
        <w:spacing w:after="0" w:line="278" w:lineRule="auto"/>
        <w:tabs>
          <w:tab w:leader="none" w:pos="578" w:val="left"/>
        </w:tabs>
        <w:numPr>
          <w:ilvl w:val="0"/>
          <w:numId w:val="6"/>
        </w:numPr>
        <w:rPr>
          <w:rFonts w:ascii="Arial" w:cs="Arial" w:eastAsia="Arial" w:hAnsi="Arial"/>
          <w:sz w:val="16"/>
          <w:szCs w:val="16"/>
          <w:color w:val="auto"/>
        </w:rPr>
      </w:pPr>
      <w:r>
        <w:rPr>
          <w:rFonts w:ascii="Arial" w:cs="Arial" w:eastAsia="Arial" w:hAnsi="Arial"/>
          <w:sz w:val="20"/>
          <w:szCs w:val="20"/>
          <w:color w:val="auto"/>
        </w:rPr>
        <w:t>Reasons that could lead to follow-up with contract manufacturers included, but were not limited to, that the contract manufacturer did not provide a complete or accurate Smelter list, did not receive complete 3TG sourcing information from all of its relevant suppliers, the response was not specific to Hasbro products only, or inconsistencies were identified in the answers contract manufacturers provided within the survey.</w:t>
      </w:r>
    </w:p>
    <w:p>
      <w:pPr>
        <w:sectPr>
          <w:pgSz w:w="11900" w:h="16838" w:orient="portrait"/>
          <w:cols w:equalWidth="0" w:num="1">
            <w:col w:w="10640"/>
          </w:cols>
          <w:pgMar w:left="660" w:top="644" w:right="599" w:bottom="1440" w:gutter="0" w:footer="0" w:header="0"/>
        </w:sectPr>
      </w:pPr>
    </w:p>
    <w:bookmarkStart w:id="7" w:name="page8"/>
    <w:bookmarkEnd w:id="7"/>
    <w:p>
      <w:pPr>
        <w:jc w:val="both"/>
        <w:ind w:left="580" w:right="300" w:hanging="275"/>
        <w:spacing w:after="0" w:line="283" w:lineRule="auto"/>
        <w:tabs>
          <w:tab w:leader="none" w:pos="578" w:val="left"/>
        </w:tabs>
        <w:numPr>
          <w:ilvl w:val="0"/>
          <w:numId w:val="7"/>
        </w:numPr>
        <w:rPr>
          <w:rFonts w:ascii="Arial" w:cs="Arial" w:eastAsia="Arial" w:hAnsi="Arial"/>
          <w:sz w:val="16"/>
          <w:szCs w:val="16"/>
          <w:color w:val="auto"/>
        </w:rPr>
      </w:pPr>
      <w:r>
        <w:rPr>
          <w:rFonts w:ascii="Arial" w:cs="Arial" w:eastAsia="Arial" w:hAnsi="Arial"/>
          <w:sz w:val="20"/>
          <w:szCs w:val="20"/>
          <w:color w:val="auto"/>
        </w:rPr>
        <w:t>Smelters identified by contract manufacturers surveyed by Hasbro were compared against lists maintained by the technology platform provider, the current Smelter lists from the RMAP and our external consultant. This was done to confirm the validity of Smelters and the plausibility of the countries of origin.</w:t>
      </w:r>
    </w:p>
    <w:p>
      <w:pPr>
        <w:spacing w:after="0" w:line="185" w:lineRule="exact"/>
        <w:rPr>
          <w:rFonts w:ascii="Arial" w:cs="Arial" w:eastAsia="Arial" w:hAnsi="Arial"/>
          <w:sz w:val="16"/>
          <w:szCs w:val="16"/>
          <w:color w:val="auto"/>
        </w:rPr>
      </w:pPr>
    </w:p>
    <w:p>
      <w:pPr>
        <w:ind w:left="580" w:right="180" w:hanging="275"/>
        <w:spacing w:after="0" w:line="286" w:lineRule="auto"/>
        <w:tabs>
          <w:tab w:leader="none" w:pos="578" w:val="left"/>
        </w:tabs>
        <w:numPr>
          <w:ilvl w:val="0"/>
          <w:numId w:val="7"/>
        </w:numPr>
        <w:rPr>
          <w:rFonts w:ascii="Arial" w:cs="Arial" w:eastAsia="Arial" w:hAnsi="Arial"/>
          <w:sz w:val="16"/>
          <w:szCs w:val="16"/>
          <w:color w:val="auto"/>
        </w:rPr>
      </w:pPr>
      <w:r>
        <w:rPr>
          <w:rFonts w:ascii="Arial" w:cs="Arial" w:eastAsia="Arial" w:hAnsi="Arial"/>
          <w:sz w:val="20"/>
          <w:szCs w:val="20"/>
          <w:color w:val="auto"/>
        </w:rPr>
        <w:t>Conducted Responsible Business Alliance (RBA) audits on contract manufacturers to ensure they met minimum requirements.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Design and implement a strategy to respond to identified risks</w:t>
      </w:r>
    </w:p>
    <w:p>
      <w:pPr>
        <w:spacing w:after="0" w:line="380" w:lineRule="exact"/>
        <w:rPr>
          <w:sz w:val="20"/>
          <w:szCs w:val="20"/>
          <w:color w:val="auto"/>
        </w:rPr>
      </w:pPr>
    </w:p>
    <w:p>
      <w:pPr>
        <w:ind w:left="580" w:right="400" w:hanging="275"/>
        <w:spacing w:after="0" w:line="271" w:lineRule="auto"/>
        <w:tabs>
          <w:tab w:leader="none" w:pos="578" w:val="left"/>
        </w:tabs>
        <w:numPr>
          <w:ilvl w:val="0"/>
          <w:numId w:val="8"/>
        </w:numPr>
        <w:rPr>
          <w:rFonts w:ascii="Arial" w:cs="Arial" w:eastAsia="Arial" w:hAnsi="Arial"/>
          <w:sz w:val="16"/>
          <w:szCs w:val="16"/>
          <w:color w:val="auto"/>
        </w:rPr>
      </w:pPr>
      <w:r>
        <w:rPr>
          <w:rFonts w:ascii="Arial" w:cs="Arial" w:eastAsia="Arial" w:hAnsi="Arial"/>
          <w:sz w:val="20"/>
          <w:szCs w:val="20"/>
          <w:color w:val="auto"/>
        </w:rPr>
        <w:t>Executive members of the steering committee met three times during the 2025 conflict minerals due diligence period to review the results of the applicability assessment, survey review and associated risks.</w:t>
      </w:r>
    </w:p>
    <w:p>
      <w:pPr>
        <w:spacing w:after="0" w:line="304" w:lineRule="exact"/>
        <w:rPr>
          <w:rFonts w:ascii="Arial" w:cs="Arial" w:eastAsia="Arial" w:hAnsi="Arial"/>
          <w:sz w:val="16"/>
          <w:szCs w:val="16"/>
          <w:color w:val="auto"/>
        </w:rPr>
      </w:pPr>
    </w:p>
    <w:p>
      <w:pPr>
        <w:jc w:val="both"/>
        <w:ind w:left="580" w:right="180" w:hanging="275"/>
        <w:spacing w:after="0" w:line="276" w:lineRule="auto"/>
        <w:tabs>
          <w:tab w:leader="none" w:pos="578" w:val="left"/>
        </w:tabs>
        <w:numPr>
          <w:ilvl w:val="0"/>
          <w:numId w:val="8"/>
        </w:numPr>
        <w:rPr>
          <w:rFonts w:ascii="Arial" w:cs="Arial" w:eastAsia="Arial" w:hAnsi="Arial"/>
          <w:sz w:val="16"/>
          <w:szCs w:val="16"/>
          <w:color w:val="auto"/>
        </w:rPr>
      </w:pPr>
      <w:r>
        <w:rPr>
          <w:rFonts w:ascii="Arial" w:cs="Arial" w:eastAsia="Arial" w:hAnsi="Arial"/>
          <w:sz w:val="20"/>
          <w:szCs w:val="20"/>
          <w:color w:val="auto"/>
        </w:rPr>
        <w:t>All contract manufacturers responded to Hasbro's survey request. In cases where additional follow-up was needed, emails were sent by the technology platform, by our third-party consultant and, where necessary, by Hasbro management to address issues regarding their survey responses.</w:t>
      </w:r>
    </w:p>
    <w:p>
      <w:pPr>
        <w:spacing w:after="0" w:line="273" w:lineRule="exact"/>
        <w:rPr>
          <w:rFonts w:ascii="Arial" w:cs="Arial" w:eastAsia="Arial" w:hAnsi="Arial"/>
          <w:sz w:val="16"/>
          <w:szCs w:val="16"/>
          <w:color w:val="auto"/>
        </w:rPr>
      </w:pPr>
    </w:p>
    <w:p>
      <w:pPr>
        <w:jc w:val="both"/>
        <w:ind w:left="580" w:right="20" w:hanging="275"/>
        <w:spacing w:after="0" w:line="268" w:lineRule="auto"/>
        <w:tabs>
          <w:tab w:leader="none" w:pos="578" w:val="left"/>
        </w:tabs>
        <w:numPr>
          <w:ilvl w:val="0"/>
          <w:numId w:val="8"/>
        </w:numPr>
        <w:rPr>
          <w:rFonts w:ascii="Arial" w:cs="Arial" w:eastAsia="Arial" w:hAnsi="Arial"/>
          <w:sz w:val="16"/>
          <w:szCs w:val="16"/>
          <w:color w:val="auto"/>
        </w:rPr>
      </w:pPr>
      <w:r>
        <w:rPr>
          <w:rFonts w:ascii="Arial" w:cs="Arial" w:eastAsia="Arial" w:hAnsi="Arial"/>
          <w:sz w:val="20"/>
          <w:szCs w:val="20"/>
          <w:color w:val="auto"/>
        </w:rPr>
        <w:t>Contract manufacturers that provided survey responses identifying Smelters not on the RMI’s active or compliant Smelter lists were sent corrective action letters, as necessary, noting that Hasbro requires them to source 3TG from RMAP-compliant Smelters. In the corrective action letters, Hasbro requested that contract manufacturers that source from non-RMAP-compliant Smelters verify if the Smelters are in the Hasbro supply chain. If the Smelter was not in the supply chain, they were required to update their response and remove the Smelter from their list. If the Smelter was in the supply chain, contract manufacturers were instructed to contact the respective Smelters and require them to participate in a recognized conflict minerals audit program and provide documentation of this to Hasbro. If they were not able to obtain Smelter cooperation, the contract manufacturers were reminded of the Hasbro conflict minerals sourcing policy and requirement to remove the unaudited Smelter from their supply chain for Hasbro Products.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Carry out independent third-party audit of Smelter due diligence practices</w:t>
      </w:r>
    </w:p>
    <w:p>
      <w:pPr>
        <w:spacing w:after="0" w:line="393" w:lineRule="exact"/>
        <w:rPr>
          <w:sz w:val="20"/>
          <w:szCs w:val="20"/>
          <w:color w:val="auto"/>
        </w:rPr>
      </w:pPr>
    </w:p>
    <w:p>
      <w:pPr>
        <w:jc w:val="both"/>
        <w:ind w:left="40" w:right="20"/>
        <w:spacing w:after="0" w:line="261" w:lineRule="auto"/>
        <w:rPr>
          <w:sz w:val="20"/>
          <w:szCs w:val="20"/>
          <w:color w:val="auto"/>
        </w:rPr>
      </w:pPr>
      <w:r>
        <w:rPr>
          <w:rFonts w:ascii="Arial" w:cs="Arial" w:eastAsia="Arial" w:hAnsi="Arial"/>
          <w:sz w:val="20"/>
          <w:szCs w:val="20"/>
          <w:color w:val="auto"/>
        </w:rPr>
        <w:t>Hasbro is a downstream consumer of 3TG and is many steps removed from Smelters that provide minerals and ores. Hasbro does not purchase raw minerals or ores and does not directly purchase 3TG. Therefore, Hasbro does not perform or direct audits of Smelters within the supply chain. Rather, as a member of the RMI we rely on and support the audits carried out by that organization. Those audits confirm that Smelters conform to the OECD Framework for their own sourcing practices by reviewing the Smelter sourcing/conflict minerals policy and verifying implementation.</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annually on supply chain due diligence</w:t>
      </w:r>
    </w:p>
    <w:p>
      <w:pPr>
        <w:spacing w:after="0" w:line="380" w:lineRule="exact"/>
        <w:rPr>
          <w:sz w:val="20"/>
          <w:szCs w:val="20"/>
          <w:color w:val="auto"/>
        </w:rPr>
      </w:pPr>
    </w:p>
    <w:p>
      <w:pPr>
        <w:jc w:val="both"/>
        <w:ind w:left="40"/>
        <w:spacing w:after="0" w:line="271" w:lineRule="auto"/>
        <w:rPr>
          <w:sz w:val="20"/>
          <w:szCs w:val="20"/>
          <w:color w:val="auto"/>
        </w:rPr>
      </w:pPr>
      <w:r>
        <w:rPr>
          <w:rFonts w:ascii="Arial" w:cs="Arial" w:eastAsia="Arial" w:hAnsi="Arial"/>
          <w:sz w:val="20"/>
          <w:szCs w:val="20"/>
          <w:color w:val="auto"/>
        </w:rPr>
        <w:t>This report and the associated Form SD are available online at the following internet address: https://csr.hasbro.com/en-us/reports.</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 Determination</w:t>
      </w:r>
    </w:p>
    <w:p>
      <w:pPr>
        <w:spacing w:after="0" w:line="380" w:lineRule="exact"/>
        <w:rPr>
          <w:sz w:val="20"/>
          <w:szCs w:val="20"/>
          <w:color w:val="auto"/>
        </w:rPr>
      </w:pPr>
    </w:p>
    <w:p>
      <w:pPr>
        <w:jc w:val="both"/>
        <w:ind w:left="40" w:right="20"/>
        <w:spacing w:after="0" w:line="283" w:lineRule="auto"/>
        <w:rPr>
          <w:sz w:val="20"/>
          <w:szCs w:val="20"/>
          <w:color w:val="auto"/>
        </w:rPr>
      </w:pPr>
      <w:r>
        <w:rPr>
          <w:rFonts w:ascii="Arial" w:cs="Arial" w:eastAsia="Arial" w:hAnsi="Arial"/>
          <w:sz w:val="20"/>
          <w:szCs w:val="20"/>
          <w:color w:val="auto"/>
        </w:rPr>
        <w:t>Based on the due diligence described above for 2025, Hasbro was able to determine that some 3TG used by our contract manufacturers for Hasbro products may have originated in the Covered Countries and/or did not originate from recycled or scrap sources.</w:t>
      </w:r>
    </w:p>
    <w:p>
      <w:pPr>
        <w:sectPr>
          <w:pgSz w:w="11900" w:h="16838" w:orient="portrait"/>
          <w:cols w:equalWidth="0" w:num="1">
            <w:col w:w="10540"/>
          </w:cols>
          <w:pgMar w:left="660" w:top="982" w:right="69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9"/>
          <w:szCs w:val="19"/>
          <w:color w:val="auto"/>
        </w:rPr>
        <w:t>As a downstream consumer of 3TG, Hasbro must rely on its contract manufacturers to gather information about Smelters in the supply chain. Hasbro received responses from 100% of the contract manufacturers it surveyed (the survey included all 26 contract manufacturers identified as potentially incorporating 3TG into products supplied to Hasbro). The relevant contract manufacturers declared a total of 201 unique Smelter names as the source of 3TG in Hasbro products in 2025. Of the 201 declared Smelters, all but five were designated as conformant or active under the RMAP throughout 2025 based on the RMI data as of April 14, 2026. However, we are unable to link specific Smelters to our applicable products. Of the five non-conformant Smelters, three of them were conformant at the beginning of 2025, but were removed from the conformant list in the second half of 2025, and one was removed from the conformant list in January 2026. As of this filing, all manufacturers using any non-conformant Smelters were informed to cease using those Smelters. The results of our due diligence of the 3TG used in our in-scope products are noted below:</w:t>
      </w:r>
    </w:p>
    <w:p>
      <w:pPr>
        <w:spacing w:after="0" w:line="274" w:lineRule="exact"/>
        <w:rPr>
          <w:sz w:val="20"/>
          <w:szCs w:val="20"/>
          <w:color w:val="auto"/>
        </w:rPr>
      </w:pPr>
    </w:p>
    <w:tbl>
      <w:tblPr>
        <w:tblLayout w:type="fixed"/>
        <w:tblInd w:w="510" w:type="dxa"/>
        <w:tblCellMar>
          <w:top w:w="0" w:type="dxa"/>
          <w:left w:w="0" w:type="dxa"/>
          <w:bottom w:w="0" w:type="dxa"/>
          <w:right w:w="0" w:type="dxa"/>
        </w:tblCellMar>
      </w:tblPr>
      <w:tr>
        <w:trPr>
          <w:trHeight w:val="270"/>
        </w:trPr>
        <w:tc>
          <w:tcPr>
            <w:tcW w:w="43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2025 Smelter</w:t>
            </w:r>
          </w:p>
        </w:tc>
        <w:tc>
          <w:tcPr>
            <w:tcW w:w="8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10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Tungsten</w:t>
            </w:r>
          </w:p>
        </w:tc>
        <w:tc>
          <w:tcPr>
            <w:tcW w:w="9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Tantalum</w:t>
            </w:r>
          </w:p>
        </w:tc>
        <w:tc>
          <w:tcPr>
            <w:tcW w:w="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98"/>
        </w:trPr>
        <w:tc>
          <w:tcPr>
            <w:tcW w:w="4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Total number of Smelters</w:t>
            </w:r>
          </w:p>
        </w:tc>
        <w:tc>
          <w:tcPr>
            <w:tcW w:w="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50</w:t>
            </w:r>
          </w:p>
        </w:tc>
        <w:tc>
          <w:tcPr>
            <w:tcW w:w="1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29</w:t>
            </w:r>
          </w:p>
        </w:tc>
        <w:tc>
          <w:tcPr>
            <w:tcW w:w="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w:t>
            </w:r>
          </w:p>
        </w:tc>
        <w:tc>
          <w:tcPr>
            <w:tcW w:w="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92</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201</w:t>
            </w:r>
          </w:p>
        </w:tc>
        <w:tc>
          <w:tcPr>
            <w:tcW w:w="0" w:type="dxa"/>
            <w:vAlign w:val="bottom"/>
          </w:tcPr>
          <w:p>
            <w:pPr>
              <w:spacing w:after="0"/>
              <w:rPr>
                <w:sz w:val="1"/>
                <w:szCs w:val="1"/>
                <w:color w:val="auto"/>
              </w:rPr>
            </w:pPr>
          </w:p>
        </w:tc>
      </w:tr>
      <w:tr>
        <w:trPr>
          <w:trHeight w:val="266"/>
        </w:trPr>
        <w:tc>
          <w:tcPr>
            <w:tcW w:w="4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Number (%) of Smelters listed as conformant or</w:t>
            </w: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26</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30</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60"/>
        </w:trPr>
        <w:tc>
          <w:tcPr>
            <w:tcW w:w="4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xml:space="preserve">active </w:t>
            </w:r>
            <w:r>
              <w:rPr>
                <w:rFonts w:ascii="Arial" w:cs="Arial" w:eastAsia="Arial" w:hAnsi="Arial"/>
                <w:sz w:val="17"/>
                <w:szCs w:val="17"/>
                <w:color w:val="auto"/>
              </w:rPr>
              <w:t>by RMI</w:t>
            </w:r>
          </w:p>
        </w:tc>
        <w:tc>
          <w:tcPr>
            <w:tcW w:w="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(98%)</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(90%)</w:t>
            </w:r>
          </w:p>
        </w:tc>
        <w:tc>
          <w:tcPr>
            <w:tcW w:w="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(100%)</w:t>
            </w:r>
          </w:p>
        </w:tc>
        <w:tc>
          <w:tcPr>
            <w:tcW w:w="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(99%)</w:t>
            </w:r>
          </w:p>
        </w:tc>
        <w:tc>
          <w:tcPr>
            <w:tcW w:w="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3"/>
        </w:trPr>
        <w:tc>
          <w:tcPr>
            <w:tcW w:w="436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102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Status of Identified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22225</wp:posOffset>
            </wp:positionV>
            <wp:extent cx="6583680" cy="3951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3680"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Set forth in Annex 1 is a list of the unique Smelter names disclosed to us by contract manufacturers broken down by metal. Based on the information provided by Hasbro’s contract manufacturers, from the RMAP and other sources, Hasbro believes that the countries of origin of the 3TG contained in some of our products might include Covered Countries, and may not originate from recycled or scrap sources, but we are not able to make that determination at this time for all products or sources. The aggregated list of Countries of Origin</w:t>
      </w:r>
    </w:p>
    <w:p>
      <w:pPr>
        <w:sectPr>
          <w:pgSz w:w="11900" w:h="16838" w:orient="portrait"/>
          <w:cols w:equalWidth="0" w:num="1">
            <w:col w:w="10480"/>
          </w:cols>
          <w:pgMar w:left="700" w:top="955" w:right="719" w:bottom="1440" w:gutter="0" w:footer="0" w:header="0"/>
        </w:sectPr>
      </w:pPr>
    </w:p>
    <w:bookmarkStart w:id="9" w:name="page10"/>
    <w:bookmarkEnd w:id="9"/>
    <w:p>
      <w:pPr>
        <w:ind w:left="40" w:right="100"/>
        <w:spacing w:after="0" w:line="286" w:lineRule="auto"/>
        <w:rPr>
          <w:sz w:val="20"/>
          <w:szCs w:val="20"/>
          <w:color w:val="auto"/>
        </w:rPr>
      </w:pPr>
      <w:r>
        <w:rPr>
          <w:rFonts w:ascii="Arial" w:cs="Arial" w:eastAsia="Arial" w:hAnsi="Arial"/>
          <w:sz w:val="20"/>
          <w:szCs w:val="20"/>
          <w:color w:val="auto"/>
        </w:rPr>
        <w:t>based on input from RMI, and their Country-of-Origin list and the Smelters reported to us by our contract manufacturers is set forth in Annex 2.</w:t>
      </w:r>
    </w:p>
    <w:p>
      <w:pPr>
        <w:spacing w:after="0" w:line="275" w:lineRule="exact"/>
        <w:rPr>
          <w:sz w:val="20"/>
          <w:szCs w:val="20"/>
          <w:color w:val="auto"/>
        </w:rPr>
      </w:pPr>
    </w:p>
    <w:p>
      <w:pPr>
        <w:jc w:val="both"/>
        <w:ind w:left="40"/>
        <w:spacing w:after="0" w:line="278" w:lineRule="auto"/>
        <w:rPr>
          <w:sz w:val="20"/>
          <w:szCs w:val="20"/>
          <w:color w:val="auto"/>
        </w:rPr>
      </w:pPr>
      <w:r>
        <w:rPr>
          <w:rFonts w:ascii="Arial" w:cs="Arial" w:eastAsia="Arial" w:hAnsi="Arial"/>
          <w:sz w:val="20"/>
          <w:szCs w:val="20"/>
          <w:color w:val="auto"/>
        </w:rPr>
        <w:t>The Hasbro sourcing model is designed to provide Hasbro flexibility to move production of products among contract manufacturers based on contract manufacturer capacities and product demand. Consequently, there may be instances where the same Hasbro branded product is manufactured by multiple contract manufacturers, which increases the complexity in linking a product with specific Smelters.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 Independent audit</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20"/>
          <w:szCs w:val="20"/>
          <w:color w:val="auto"/>
        </w:rPr>
        <w:t>Hasbro has determined that for 2025 an independent private sector audit is not required.</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 Continuous Improvement efforts to mitigate risk</w:t>
      </w:r>
    </w:p>
    <w:p>
      <w:pPr>
        <w:spacing w:after="0" w:line="285" w:lineRule="exact"/>
        <w:rPr>
          <w:sz w:val="20"/>
          <w:szCs w:val="20"/>
          <w:color w:val="auto"/>
        </w:rPr>
      </w:pPr>
    </w:p>
    <w:p>
      <w:pPr>
        <w:ind w:left="40" w:right="420"/>
        <w:spacing w:after="0" w:line="262" w:lineRule="auto"/>
        <w:rPr>
          <w:sz w:val="20"/>
          <w:szCs w:val="20"/>
          <w:color w:val="auto"/>
        </w:rPr>
      </w:pPr>
      <w:r>
        <w:rPr>
          <w:rFonts w:ascii="Arial" w:cs="Arial" w:eastAsia="Arial" w:hAnsi="Arial"/>
          <w:sz w:val="20"/>
          <w:szCs w:val="20"/>
          <w:color w:val="auto"/>
        </w:rPr>
        <w:t>Hasbro took the following steps to improve our program overall, the number and quality of responses in the 2025 compliance period and to mitigate risk that 3TG used in Hasbro products may finance or benefit armed groups in the Covered Countries:</w:t>
      </w:r>
    </w:p>
    <w:p>
      <w:pPr>
        <w:spacing w:after="0" w:line="354" w:lineRule="exact"/>
        <w:rPr>
          <w:sz w:val="20"/>
          <w:szCs w:val="20"/>
          <w:color w:val="auto"/>
        </w:rPr>
      </w:pPr>
    </w:p>
    <w:p>
      <w:pPr>
        <w:ind w:left="580" w:hanging="275"/>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20"/>
          <w:szCs w:val="20"/>
          <w:color w:val="auto"/>
        </w:rPr>
        <w:t>Achieved a 100% response rate from all applicable contract manufacturers.</w:t>
      </w:r>
    </w:p>
    <w:p>
      <w:pPr>
        <w:spacing w:after="0" w:line="377" w:lineRule="exact"/>
        <w:rPr>
          <w:rFonts w:ascii="Arial" w:cs="Arial" w:eastAsia="Arial" w:hAnsi="Arial"/>
          <w:sz w:val="16"/>
          <w:szCs w:val="16"/>
          <w:color w:val="auto"/>
        </w:rPr>
      </w:pPr>
    </w:p>
    <w:p>
      <w:pPr>
        <w:jc w:val="both"/>
        <w:ind w:left="580" w:right="240" w:hanging="275"/>
        <w:spacing w:after="0" w:line="269" w:lineRule="auto"/>
        <w:tabs>
          <w:tab w:leader="none" w:pos="578" w:val="left"/>
        </w:tabs>
        <w:numPr>
          <w:ilvl w:val="0"/>
          <w:numId w:val="9"/>
        </w:numPr>
        <w:rPr>
          <w:rFonts w:ascii="Arial" w:cs="Arial" w:eastAsia="Arial" w:hAnsi="Arial"/>
          <w:sz w:val="16"/>
          <w:szCs w:val="16"/>
          <w:color w:val="auto"/>
        </w:rPr>
      </w:pPr>
      <w:r>
        <w:rPr>
          <w:rFonts w:ascii="Arial" w:cs="Arial" w:eastAsia="Arial" w:hAnsi="Arial"/>
          <w:sz w:val="20"/>
          <w:szCs w:val="20"/>
          <w:color w:val="auto"/>
        </w:rPr>
        <w:t>Continued to use contract terms and conditions for new contracts requiring contract manufacturers to respond to inquiries regarding 3TG in a timely manner, such as through incorporation of conflict minerals requirements into Hasbro’s Vendor Manual, which is incorporated into Hasbro’s Master Agreements with contract manufacturers.</w:t>
      </w:r>
    </w:p>
    <w:p>
      <w:pPr>
        <w:spacing w:after="0" w:line="278" w:lineRule="exact"/>
        <w:rPr>
          <w:rFonts w:ascii="Arial" w:cs="Arial" w:eastAsia="Arial" w:hAnsi="Arial"/>
          <w:sz w:val="16"/>
          <w:szCs w:val="16"/>
          <w:color w:val="auto"/>
        </w:rPr>
      </w:pPr>
    </w:p>
    <w:p>
      <w:pPr>
        <w:jc w:val="both"/>
        <w:ind w:left="580" w:right="160" w:hanging="275"/>
        <w:spacing w:after="0" w:line="278" w:lineRule="auto"/>
        <w:tabs>
          <w:tab w:leader="none" w:pos="578" w:val="left"/>
        </w:tabs>
        <w:numPr>
          <w:ilvl w:val="0"/>
          <w:numId w:val="9"/>
        </w:numPr>
        <w:rPr>
          <w:rFonts w:ascii="Arial" w:cs="Arial" w:eastAsia="Arial" w:hAnsi="Arial"/>
          <w:sz w:val="16"/>
          <w:szCs w:val="16"/>
          <w:color w:val="auto"/>
        </w:rPr>
      </w:pPr>
      <w:r>
        <w:rPr>
          <w:rFonts w:ascii="Arial" w:cs="Arial" w:eastAsia="Arial" w:hAnsi="Arial"/>
          <w:sz w:val="20"/>
          <w:szCs w:val="20"/>
          <w:color w:val="auto"/>
        </w:rPr>
        <w:t>Rather than relying on contract manufacturers to provide country of origin information, we undertook our own efforts to identify countries of origin using our third-party technology provider. Our external consultant conducted a further plausibility review to ensure that the identified countries have known 3TG ore mining operations or proven mineral reserves.</w:t>
      </w:r>
    </w:p>
    <w:p>
      <w:pPr>
        <w:spacing w:after="0" w:line="284" w:lineRule="exact"/>
        <w:rPr>
          <w:rFonts w:ascii="Arial" w:cs="Arial" w:eastAsia="Arial" w:hAnsi="Arial"/>
          <w:sz w:val="16"/>
          <w:szCs w:val="16"/>
          <w:color w:val="auto"/>
        </w:rPr>
      </w:pPr>
    </w:p>
    <w:p>
      <w:pPr>
        <w:jc w:val="both"/>
        <w:ind w:left="580" w:right="140" w:hanging="275"/>
        <w:spacing w:after="0" w:line="273" w:lineRule="auto"/>
        <w:tabs>
          <w:tab w:leader="none" w:pos="578" w:val="left"/>
        </w:tabs>
        <w:numPr>
          <w:ilvl w:val="0"/>
          <w:numId w:val="9"/>
        </w:numPr>
        <w:rPr>
          <w:rFonts w:ascii="Arial" w:cs="Arial" w:eastAsia="Arial" w:hAnsi="Arial"/>
          <w:sz w:val="16"/>
          <w:szCs w:val="16"/>
          <w:color w:val="auto"/>
        </w:rPr>
      </w:pPr>
      <w:r>
        <w:rPr>
          <w:rFonts w:ascii="Arial" w:cs="Arial" w:eastAsia="Arial" w:hAnsi="Arial"/>
          <w:sz w:val="20"/>
          <w:szCs w:val="20"/>
          <w:color w:val="auto"/>
        </w:rPr>
        <w:t>Continued to work with contract manufacturers to help them understand the importance of this initiative to Hasbro and to encourage their participation in the conflict minerals survey through trainings for relevant contract manufacturers. In 2025, Hasbro conducted virtual training sessions for global in-scope suppliers that needed such training. We believe this results in improvements in identifying Smelters applicable to Hasbro.</w:t>
      </w:r>
    </w:p>
    <w:p>
      <w:pPr>
        <w:spacing w:after="0" w:line="290" w:lineRule="exact"/>
        <w:rPr>
          <w:rFonts w:ascii="Arial" w:cs="Arial" w:eastAsia="Arial" w:hAnsi="Arial"/>
          <w:sz w:val="16"/>
          <w:szCs w:val="16"/>
          <w:color w:val="auto"/>
        </w:rPr>
      </w:pPr>
    </w:p>
    <w:p>
      <w:pPr>
        <w:jc w:val="both"/>
        <w:ind w:left="580" w:right="120" w:hanging="275"/>
        <w:spacing w:after="0" w:line="269" w:lineRule="auto"/>
        <w:tabs>
          <w:tab w:leader="none" w:pos="578" w:val="left"/>
        </w:tabs>
        <w:numPr>
          <w:ilvl w:val="0"/>
          <w:numId w:val="9"/>
        </w:numPr>
        <w:rPr>
          <w:rFonts w:ascii="Arial" w:cs="Arial" w:eastAsia="Arial" w:hAnsi="Arial"/>
          <w:sz w:val="16"/>
          <w:szCs w:val="16"/>
          <w:color w:val="auto"/>
        </w:rPr>
      </w:pPr>
      <w:r>
        <w:rPr>
          <w:rFonts w:ascii="Arial" w:cs="Arial" w:eastAsia="Arial" w:hAnsi="Arial"/>
          <w:sz w:val="20"/>
          <w:szCs w:val="20"/>
          <w:color w:val="auto"/>
        </w:rPr>
        <w:t>In the next compliance period, Hasbro intends to take the following steps to further improve the number and quality of contract manufacturer responses and continue to mitigate the risk that 3TG used in Hasbro products may finance or benefit armed groups in the Covered Countries:</w:t>
      </w:r>
    </w:p>
    <w:p>
      <w:pPr>
        <w:spacing w:after="0" w:line="307" w:lineRule="exact"/>
        <w:rPr>
          <w:sz w:val="20"/>
          <w:szCs w:val="20"/>
          <w:color w:val="auto"/>
        </w:rPr>
      </w:pPr>
    </w:p>
    <w:p>
      <w:pPr>
        <w:ind w:left="1120" w:right="800" w:hanging="266"/>
        <w:spacing w:after="0" w:line="286" w:lineRule="auto"/>
        <w:tabs>
          <w:tab w:leader="none" w:pos="1111" w:val="left"/>
        </w:tabs>
        <w:numPr>
          <w:ilvl w:val="0"/>
          <w:numId w:val="10"/>
        </w:numPr>
        <w:rPr>
          <w:rFonts w:ascii="Arial" w:cs="Arial" w:eastAsia="Arial" w:hAnsi="Arial"/>
          <w:sz w:val="16"/>
          <w:szCs w:val="16"/>
          <w:color w:val="auto"/>
        </w:rPr>
      </w:pPr>
      <w:r>
        <w:rPr>
          <w:rFonts w:ascii="Arial" w:cs="Arial" w:eastAsia="Arial" w:hAnsi="Arial"/>
          <w:sz w:val="20"/>
          <w:szCs w:val="20"/>
          <w:color w:val="auto"/>
        </w:rPr>
        <w:t>Continue to use contract terms and conditions for new contracts requiring contract manufacturers to respond to inquiries regarding conflict minerals in a timely manner.</w:t>
      </w:r>
    </w:p>
    <w:p>
      <w:pPr>
        <w:spacing w:after="0" w:line="275" w:lineRule="exact"/>
        <w:rPr>
          <w:rFonts w:ascii="Arial" w:cs="Arial" w:eastAsia="Arial" w:hAnsi="Arial"/>
          <w:sz w:val="16"/>
          <w:szCs w:val="16"/>
          <w:color w:val="auto"/>
        </w:rPr>
      </w:pPr>
    </w:p>
    <w:p>
      <w:pPr>
        <w:ind w:left="1120" w:right="380" w:hanging="266"/>
        <w:spacing w:after="0" w:line="286" w:lineRule="auto"/>
        <w:tabs>
          <w:tab w:leader="none" w:pos="1111" w:val="left"/>
        </w:tabs>
        <w:numPr>
          <w:ilvl w:val="0"/>
          <w:numId w:val="10"/>
        </w:numPr>
        <w:rPr>
          <w:rFonts w:ascii="Arial" w:cs="Arial" w:eastAsia="Arial" w:hAnsi="Arial"/>
          <w:sz w:val="16"/>
          <w:szCs w:val="16"/>
          <w:color w:val="auto"/>
        </w:rPr>
      </w:pPr>
      <w:r>
        <w:rPr>
          <w:rFonts w:ascii="Arial" w:cs="Arial" w:eastAsia="Arial" w:hAnsi="Arial"/>
          <w:sz w:val="20"/>
          <w:szCs w:val="20"/>
          <w:color w:val="auto"/>
        </w:rPr>
        <w:t>Continue to engage with contract manufacturers, with the objective of maintaining a 100% response rate from all applicable contract manufacturers and obtaining complete lists.</w:t>
      </w:r>
    </w:p>
    <w:p>
      <w:pPr>
        <w:spacing w:after="0" w:line="275" w:lineRule="exact"/>
        <w:rPr>
          <w:rFonts w:ascii="Arial" w:cs="Arial" w:eastAsia="Arial" w:hAnsi="Arial"/>
          <w:sz w:val="16"/>
          <w:szCs w:val="16"/>
          <w:color w:val="auto"/>
        </w:rPr>
      </w:pPr>
    </w:p>
    <w:p>
      <w:pPr>
        <w:ind w:left="1120" w:right="380" w:hanging="266"/>
        <w:spacing w:after="0" w:line="271" w:lineRule="auto"/>
        <w:tabs>
          <w:tab w:leader="none" w:pos="1112" w:val="left"/>
        </w:tabs>
        <w:numPr>
          <w:ilvl w:val="0"/>
          <w:numId w:val="10"/>
        </w:numPr>
        <w:rPr>
          <w:rFonts w:ascii="Arial" w:cs="Arial" w:eastAsia="Arial" w:hAnsi="Arial"/>
          <w:sz w:val="16"/>
          <w:szCs w:val="16"/>
          <w:color w:val="auto"/>
        </w:rPr>
      </w:pPr>
      <w:r>
        <w:rPr>
          <w:rFonts w:ascii="Arial" w:cs="Arial" w:eastAsia="Arial" w:hAnsi="Arial"/>
          <w:sz w:val="20"/>
          <w:szCs w:val="20"/>
          <w:color w:val="auto"/>
        </w:rPr>
        <w:t>Continue to work with contract manufacturers to identify to the extent possible the source of 3TG used in Hasbro's products.</w:t>
      </w:r>
    </w:p>
    <w:p>
      <w:pPr>
        <w:sectPr>
          <w:pgSz w:w="11900" w:h="16838" w:orient="portrait"/>
          <w:cols w:equalWidth="0" w:num="1">
            <w:col w:w="10620"/>
          </w:cols>
          <w:pgMar w:left="660" w:top="779" w:right="619" w:bottom="1440" w:gutter="0" w:footer="0" w:header="0"/>
        </w:sectPr>
      </w:pPr>
    </w:p>
    <w:bookmarkStart w:id="10" w:name="page11"/>
    <w:bookmarkEnd w:id="10"/>
    <w:p>
      <w:pPr>
        <w:ind w:left="1080" w:right="260" w:hanging="266"/>
        <w:spacing w:after="0" w:line="262" w:lineRule="auto"/>
        <w:tabs>
          <w:tab w:leader="none" w:pos="1071" w:val="left"/>
        </w:tabs>
        <w:numPr>
          <w:ilvl w:val="0"/>
          <w:numId w:val="11"/>
        </w:numPr>
        <w:rPr>
          <w:rFonts w:ascii="Arial" w:cs="Arial" w:eastAsia="Arial" w:hAnsi="Arial"/>
          <w:sz w:val="16"/>
          <w:szCs w:val="16"/>
          <w:color w:val="auto"/>
        </w:rPr>
      </w:pPr>
      <w:r>
        <w:rPr>
          <w:rFonts w:ascii="Arial" w:cs="Arial" w:eastAsia="Arial" w:hAnsi="Arial"/>
          <w:sz w:val="20"/>
          <w:szCs w:val="20"/>
          <w:color w:val="auto"/>
        </w:rPr>
        <w:t>Continue to build capabilities with active and new contract manufacturers by helping them understand the importance of this initiative to Hasbro and to encourage their participation through contract manufacturer trainings.</w:t>
      </w:r>
    </w:p>
    <w:p>
      <w:pPr>
        <w:spacing w:after="0" w:line="313" w:lineRule="exact"/>
        <w:rPr>
          <w:rFonts w:ascii="Arial" w:cs="Arial" w:eastAsia="Arial" w:hAnsi="Arial"/>
          <w:sz w:val="16"/>
          <w:szCs w:val="16"/>
          <w:color w:val="auto"/>
        </w:rPr>
      </w:pPr>
    </w:p>
    <w:p>
      <w:pPr>
        <w:ind w:left="1080" w:right="260" w:hanging="266"/>
        <w:spacing w:after="0" w:line="276" w:lineRule="auto"/>
        <w:tabs>
          <w:tab w:leader="none" w:pos="1071" w:val="left"/>
        </w:tabs>
        <w:numPr>
          <w:ilvl w:val="0"/>
          <w:numId w:val="11"/>
        </w:numPr>
        <w:rPr>
          <w:rFonts w:ascii="Arial" w:cs="Arial" w:eastAsia="Arial" w:hAnsi="Arial"/>
          <w:sz w:val="16"/>
          <w:szCs w:val="16"/>
          <w:color w:val="auto"/>
        </w:rPr>
      </w:pPr>
      <w:r>
        <w:rPr>
          <w:rFonts w:ascii="Arial" w:cs="Arial" w:eastAsia="Arial" w:hAnsi="Arial"/>
          <w:sz w:val="20"/>
          <w:szCs w:val="20"/>
          <w:color w:val="auto"/>
        </w:rPr>
        <w:t>Continue to require that any 3TG included in our products be sourced from Smelters that are identified as conformant through the RMAP or an audit program with which RMAP has a mutual recognition agreement.</w:t>
      </w:r>
    </w:p>
    <w:p>
      <w:pPr>
        <w:spacing w:after="0" w:line="286" w:lineRule="exact"/>
        <w:rPr>
          <w:rFonts w:ascii="Arial" w:cs="Arial" w:eastAsia="Arial" w:hAnsi="Arial"/>
          <w:sz w:val="16"/>
          <w:szCs w:val="16"/>
          <w:color w:val="auto"/>
        </w:rPr>
      </w:pPr>
    </w:p>
    <w:p>
      <w:pPr>
        <w:ind w:left="1080" w:right="180" w:hanging="266"/>
        <w:spacing w:after="0" w:line="271" w:lineRule="auto"/>
        <w:tabs>
          <w:tab w:leader="none" w:pos="1071" w:val="left"/>
        </w:tabs>
        <w:numPr>
          <w:ilvl w:val="0"/>
          <w:numId w:val="11"/>
        </w:numPr>
        <w:rPr>
          <w:rFonts w:ascii="Arial" w:cs="Arial" w:eastAsia="Arial" w:hAnsi="Arial"/>
          <w:sz w:val="16"/>
          <w:szCs w:val="16"/>
          <w:color w:val="auto"/>
        </w:rPr>
      </w:pPr>
      <w:r>
        <w:rPr>
          <w:rFonts w:ascii="Arial" w:cs="Arial" w:eastAsia="Arial" w:hAnsi="Arial"/>
          <w:sz w:val="20"/>
          <w:szCs w:val="20"/>
          <w:color w:val="auto"/>
        </w:rPr>
        <w:t>Continue to work with our contract manufacturers to better understand how individual sources of 3TG may apply to our individual product categories.</w:t>
      </w:r>
    </w:p>
    <w:p>
      <w:pPr>
        <w:spacing w:after="0" w:line="371" w:lineRule="exact"/>
        <w:rPr>
          <w:rFonts w:ascii="Arial" w:cs="Arial" w:eastAsia="Arial" w:hAnsi="Arial"/>
          <w:sz w:val="16"/>
          <w:szCs w:val="16"/>
          <w:color w:val="auto"/>
        </w:rPr>
      </w:pPr>
    </w:p>
    <w:p>
      <w:pPr>
        <w:jc w:val="both"/>
        <w:ind w:left="1080" w:right="60" w:hanging="266"/>
        <w:spacing w:after="0" w:line="276" w:lineRule="auto"/>
        <w:tabs>
          <w:tab w:leader="none" w:pos="1071" w:val="left"/>
        </w:tabs>
        <w:numPr>
          <w:ilvl w:val="0"/>
          <w:numId w:val="11"/>
        </w:numPr>
        <w:rPr>
          <w:rFonts w:ascii="Arial" w:cs="Arial" w:eastAsia="Arial" w:hAnsi="Arial"/>
          <w:sz w:val="16"/>
          <w:szCs w:val="16"/>
          <w:color w:val="auto"/>
        </w:rPr>
      </w:pPr>
      <w:r>
        <w:rPr>
          <w:rFonts w:ascii="Arial" w:cs="Arial" w:eastAsia="Arial" w:hAnsi="Arial"/>
          <w:sz w:val="20"/>
          <w:szCs w:val="20"/>
          <w:color w:val="auto"/>
        </w:rPr>
        <w:t>Continue to utilize an annual RBA Validated Audit Process (VAP) audit for 100% of our contract manufacturers, which includes verifying that a manufacturer has a documented, effective, and communicated conflict minerals policy and management program.</w:t>
      </w:r>
    </w:p>
    <w:p>
      <w:pPr>
        <w:spacing w:after="0" w:line="273" w:lineRule="exact"/>
        <w:rPr>
          <w:rFonts w:ascii="Arial" w:cs="Arial" w:eastAsia="Arial" w:hAnsi="Arial"/>
          <w:sz w:val="16"/>
          <w:szCs w:val="16"/>
          <w:color w:val="auto"/>
        </w:rPr>
      </w:pPr>
    </w:p>
    <w:p>
      <w:pPr>
        <w:jc w:val="both"/>
        <w:ind w:left="1080" w:right="680" w:hanging="266"/>
        <w:spacing w:after="0" w:line="262" w:lineRule="auto"/>
        <w:tabs>
          <w:tab w:leader="none" w:pos="1071" w:val="left"/>
        </w:tabs>
        <w:numPr>
          <w:ilvl w:val="0"/>
          <w:numId w:val="11"/>
        </w:numPr>
        <w:rPr>
          <w:rFonts w:ascii="Arial" w:cs="Arial" w:eastAsia="Arial" w:hAnsi="Arial"/>
          <w:sz w:val="16"/>
          <w:szCs w:val="16"/>
          <w:color w:val="auto"/>
        </w:rPr>
      </w:pPr>
      <w:r>
        <w:rPr>
          <w:rFonts w:ascii="Arial" w:cs="Arial" w:eastAsia="Arial" w:hAnsi="Arial"/>
          <w:sz w:val="20"/>
          <w:szCs w:val="20"/>
          <w:color w:val="auto"/>
        </w:rPr>
        <w:t>Continue to emphasize that Hasbro’s policy does not preclude contract manufacturers from sourcing conflict free minerals from the DRC and adjoining countries and communicate this policy provision to contract manufacturers.</w:t>
      </w:r>
    </w:p>
    <w:p>
      <w:pPr>
        <w:spacing w:after="0" w:line="3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Certain statements in this Conflict Minerals Report contain "forward-looking statements" within the meaning of the Private Securities Litigation Reform Act of 1995. These forward-looking statements include expectations concerning the Company's future actions to engage contract manufacturers, to identify to the extent possible the source of 3TG in its products and to take other actions regarding its product sourcing. The Company's actual actions or results may differ materially from those expected or anticipated in the forward-looking statements due to both known and unknown risks and uncertainties including, but not limited to, decisions to make changes in the Company’s continual improvement efforts and delays or difficulties in engaging contract manufacturers and identifying the source of 3TG contained in the Company’s products.</w:t>
      </w:r>
    </w:p>
    <w:p>
      <w:pPr>
        <w:sectPr>
          <w:pgSz w:w="11900" w:h="16838" w:orient="portrait"/>
          <w:cols w:equalWidth="0" w:num="1">
            <w:col w:w="10540"/>
          </w:cols>
          <w:pgMar w:left="700" w:top="631" w:right="659" w:bottom="1440" w:gutter="0" w:footer="0" w:header="0"/>
        </w:sectPr>
      </w:pPr>
    </w:p>
    <w:bookmarkStart w:id="11" w:name="page12"/>
    <w:bookmarkEnd w:id="11"/>
    <w:p>
      <w:pPr>
        <w:ind w:left="1620"/>
        <w:spacing w:after="0"/>
        <w:rPr>
          <w:sz w:val="20"/>
          <w:szCs w:val="20"/>
          <w:color w:val="auto"/>
        </w:rPr>
      </w:pPr>
      <w:r>
        <w:rPr>
          <w:rFonts w:ascii="Arial" w:cs="Arial" w:eastAsia="Arial" w:hAnsi="Arial"/>
          <w:sz w:val="20"/>
          <w:szCs w:val="20"/>
          <w:b w:val="1"/>
          <w:bCs w:val="1"/>
          <w:color w:val="auto"/>
        </w:rPr>
        <w:t xml:space="preserve">Annex 1 </w:t>
      </w:r>
      <w:r>
        <w:rPr>
          <w:rFonts w:ascii="Arial" w:cs="Arial" w:eastAsia="Arial" w:hAnsi="Arial"/>
          <w:sz w:val="20"/>
          <w:szCs w:val="20"/>
          <w:color w:val="auto"/>
        </w:rPr>
        <w:t>- List of the unique Smelter names disclosed to Hasbro by contract manufacturers.</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4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Metal</w:t>
            </w:r>
          </w:p>
        </w:tc>
        <w:tc>
          <w:tcPr>
            <w:tcW w:w="4780" w:type="dxa"/>
            <w:vAlign w:val="bottom"/>
            <w:tcBorders>
              <w:top w:val="single" w:sz="8" w:color="auto"/>
              <w:bottom w:val="single" w:sz="8" w:color="auto"/>
              <w:right w:val="single" w:sz="8" w:color="auto"/>
            </w:tcBorders>
          </w:tcPr>
          <w:p>
            <w:pPr>
              <w:ind w:left="1460"/>
              <w:spacing w:after="0"/>
              <w:rPr>
                <w:sz w:val="20"/>
                <w:szCs w:val="20"/>
                <w:color w:val="auto"/>
              </w:rPr>
            </w:pPr>
            <w:r>
              <w:rPr>
                <w:rFonts w:ascii="Arial" w:cs="Arial" w:eastAsia="Arial" w:hAnsi="Arial"/>
                <w:sz w:val="18"/>
                <w:szCs w:val="18"/>
                <w:b w:val="1"/>
                <w:bCs w:val="1"/>
                <w:color w:val="auto"/>
              </w:rPr>
              <w:t>Official Smelter Name</w:t>
            </w:r>
          </w:p>
        </w:tc>
        <w:tc>
          <w:tcPr>
            <w:tcW w:w="15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RMI Smelter ID</w:t>
            </w:r>
          </w:p>
        </w:tc>
        <w:tc>
          <w:tcPr>
            <w:tcW w:w="266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Smelter Country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Agosi AG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CID000035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Argor-Heraeus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CID000077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 Hafner GmbH + Co. KG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CID000176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Heimerle + Meule GmbH</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CID000694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Heraeus Metals Hong Kong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CID000707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Metalor Technologies (Hong Kong)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CID001149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Metalor Technologies (Singapore) Pte.,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CID001152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Metalor Technologies (Suzhou)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CID001147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Metalor Technologies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CID001153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Metalor USA Refining Corporation</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CID001157</w:t>
            </w:r>
          </w:p>
        </w:tc>
        <w:tc>
          <w:tcPr>
            <w:tcW w:w="26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4780" w:type="dxa"/>
            <w:vAlign w:val="bottom"/>
            <w:tcBorders>
              <w:bottom w:val="single" w:sz="8" w:color="auto"/>
              <w:right w:val="single" w:sz="8" w:color="auto"/>
            </w:tcBorders>
            <w:vMerge w:val="continue"/>
          </w:tcPr>
          <w:p>
            <w:pPr>
              <w:spacing w:after="0"/>
              <w:rPr>
                <w:sz w:val="21"/>
                <w:szCs w:val="21"/>
                <w:color w:val="auto"/>
              </w:rPr>
            </w:pP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SEMPSA Joyeria Plateria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CID001585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Valcambi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CID002003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Almalyk Mining and Metallurgical Complex (AMMC)</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CID000041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AngloGold Ashanti Corrego do Sitio Mineracao</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CID000058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ASAHI METALFINE, Inc.</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CID000082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Asahi Refining Canada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CID000924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Asahi Refining USA Inc.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CID000920</w:t>
            </w:r>
          </w:p>
        </w:tc>
        <w:tc>
          <w:tcPr>
            <w:tcW w:w="26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4780" w:type="dxa"/>
            <w:vAlign w:val="bottom"/>
            <w:tcBorders>
              <w:bottom w:val="single" w:sz="8" w:color="auto"/>
              <w:right w:val="single" w:sz="8" w:color="auto"/>
            </w:tcBorders>
            <w:vMerge w:val="continue"/>
          </w:tcPr>
          <w:p>
            <w:pPr>
              <w:spacing w:after="0"/>
              <w:rPr>
                <w:sz w:val="21"/>
                <w:szCs w:val="21"/>
                <w:color w:val="auto"/>
              </w:rPr>
            </w:pP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Aurubis AG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CID000113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Bangko Sentral ng Pilipinas (Central Bank of the</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CID000128</w:t>
            </w:r>
          </w:p>
        </w:tc>
        <w:tc>
          <w:tcPr>
            <w:tcW w:w="2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Philippines)</w:t>
            </w: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26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Boliden Mineral AB (Ronnskar)</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CID000157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Chimet S.p.A.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CID000233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Glencore Canada Corporation - CCR Refinery</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CID000185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 Corporation - The Perth Mint</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CID002030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Inner Mongolia Qiankun Gold and Silver Refinery Share</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CID000801</w:t>
            </w:r>
          </w:p>
        </w:tc>
        <w:tc>
          <w:tcPr>
            <w:tcW w:w="2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 Ltd.</w:t>
            </w: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26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Ishifuku Metal Industry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CID000807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Istanbul Gold Refinery</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CID000814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Japan Mint</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CID000823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Jiangxi Copper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CID000855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JX Advanced Metals Corporation</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CID000937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Kazzinc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CID000957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Kennecott Utah Copper LLC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CID000969</w:t>
            </w:r>
          </w:p>
        </w:tc>
        <w:tc>
          <w:tcPr>
            <w:tcW w:w="26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4780" w:type="dxa"/>
            <w:vAlign w:val="bottom"/>
            <w:tcBorders>
              <w:bottom w:val="single" w:sz="8" w:color="auto"/>
              <w:right w:val="single" w:sz="8" w:color="auto"/>
            </w:tcBorders>
            <w:vMerge w:val="continue"/>
          </w:tcPr>
          <w:p>
            <w:pPr>
              <w:spacing w:after="0"/>
              <w:rPr>
                <w:sz w:val="21"/>
                <w:szCs w:val="21"/>
                <w:color w:val="auto"/>
              </w:rPr>
            </w:pPr>
          </w:p>
        </w:tc>
        <w:tc>
          <w:tcPr>
            <w:tcW w:w="1520" w:type="dxa"/>
            <w:vAlign w:val="bottom"/>
            <w:tcBorders>
              <w:bottom w:val="single" w:sz="8" w:color="auto"/>
              <w:right w:val="single" w:sz="8" w:color="auto"/>
            </w:tcBorders>
            <w:vMerge w:val="continue"/>
          </w:tcPr>
          <w:p>
            <w:pPr>
              <w:spacing w:after="0"/>
              <w:rPr>
                <w:sz w:val="21"/>
                <w:szCs w:val="21"/>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LS MnM Inc.</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CID001078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Matsuda Sangyo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CID001119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Metalurgica Met-Mex Penoles S.A. De C.V.</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CID001161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Mitsubishi Materials Corporation</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CID001188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Mitsui Mining and Smelting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CID001193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MKS PAMP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CID001352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MMTC-PAMP India Pvt.,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CID002509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bl>
    <w:p>
      <w:pPr>
        <w:sectPr>
          <w:pgSz w:w="11900" w:h="16838" w:orient="portrait"/>
          <w:cols w:equalWidth="0" w:num="1">
            <w:col w:w="10400"/>
          </w:cols>
          <w:pgMar w:left="320" w:top="1047" w:right="11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Nadir Metal Rafineri San. Ve Tic. A.S.</w:t>
            </w:r>
          </w:p>
        </w:tc>
        <w:tc>
          <w:tcPr>
            <w:tcW w:w="1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CID001220</w:t>
            </w:r>
          </w:p>
        </w:tc>
        <w:tc>
          <w:tcPr>
            <w:tcW w:w="26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Navoi Mining and Metallurgical Combinat</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CID001236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Nihon Material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CID001259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Aneka Tambang (Persero) Tbk</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CID001397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PX Precinox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CID001498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Rand Refinery (Pty)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CID001512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Royal Canadian Mint</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CID001534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Shandong Gold Smelting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CID001916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Shandong Zhaojin Gold &amp; Silver Refinery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CID001622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Sichuan Tianze Precious Metals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CID001736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Solar Applied Materials Technology Corp.</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CID001761</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TAIWAN, PROVINCE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Sumitomo Metal Mining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CID001798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T.C.A S.p.A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CID002580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Tanaka Kikinzoku Kogyo K.K.</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CID001875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Tokuriki Honten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CID001938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TOO Tau-Ken-Altyn</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CID002615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Umicore S.A. Business Unit Precious Metals Refining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CID001980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Zhongyuan Gold Smelter of Zhongjin Gold Corporation</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CID002224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Zijin Mining Group Gold Smelting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CID002243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Ogussa Osterreichische Gold- und Silber-Scheideanstalt</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CID002779</w:t>
            </w:r>
          </w:p>
        </w:tc>
        <w:tc>
          <w:tcPr>
            <w:tcW w:w="2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GmbH</w:t>
            </w: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Italpreziosi</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CID002765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 Concentrators SA (Pty)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CID003575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WIELAND Edelmetalle GmbH</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CID002778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Abington Reldan Metals, LLC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CID002708</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Advanced Chemical Company</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CID000015</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Aida Chemical Industries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CID000019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Asaka Riken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CID000090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Bangalore Refinery</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CID002863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Chugai Mining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CID000264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Coimpa Industrial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CID004010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Dowa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CID000401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DSC (Do Sung Corporation)</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CID000359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 East Plant</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CID000425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 North Plant</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CID003424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Eco-System Recycling Co., Ltd. West Plant</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CID003425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Elite Industech Co., Ltd.</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CID004755</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TAIWAN, PROVINCE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GG Refinery Ltd.</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CID004506</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TANZANIA, UNITED</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REPUBLIC OF</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 by Gold Colombia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CID003641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Heraeus Germany GmbH Co. KG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CID000711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KGHM Polska Miedz Spolka Akcyjna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CID002511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Kojima Chemicals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CID000981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Korea Zinc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CID002605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bl>
    <w:p>
      <w:pPr>
        <w:sectPr>
          <w:pgSz w:w="11900" w:h="16838" w:orient="portrait"/>
          <w:cols w:equalWidth="0" w:num="1">
            <w:col w:w="10400"/>
          </w:cols>
          <w:pgMar w:left="320" w:top="660" w:right="117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 Metal Ltd.</w:t>
            </w:r>
          </w:p>
        </w:tc>
        <w:tc>
          <w:tcPr>
            <w:tcW w:w="1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CID000689</w:t>
            </w:r>
          </w:p>
        </w:tc>
        <w:tc>
          <w:tcPr>
            <w:tcW w:w="26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Materion</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CID001113</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NH Recytech Company</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CID003189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Ohura Precious Metal Industry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CID001325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Planta Recuperadora de Metales SpA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CID002919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REMONDIS PMR B.V.</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CID002582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SAFINA A.S.</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CID002290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CZECHIA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SungEel HiMetal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CID002918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United Precious Metal Refining, Inc.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CID001993</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Yamakin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CID002100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Yokohama Metal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CID002129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*Torecom</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CID001955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AMG Brasil</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CID001076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 Block Metals, LLC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CID002504</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F&amp;X Electro-Materials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CID000460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FIR Metals &amp; Resource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CID002505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Global Advanced Metals Aizu</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CID002558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Global Advanced Metals Boyertown</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CID002557</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Hengyang King Xing Lifeng New Materials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CID002492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Jiangxi Dinghai Tantalum &amp; Niobium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CID002512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Jiangxi Tuohong New Raw Material</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CID002842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JiuJiang JinXin Nonferrous Metals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CID000914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Jiujiang Tanbre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CID000917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Jiujiang Zhongao Tantalum &amp; Niobium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CID002506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KEMET de Mexico</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CID002539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Materion Newton Inc.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CID002548</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Metallurgical Products India Pvt.,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CID001163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Mineracao Taboca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CID001175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Mitsui Mining and Smelting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CID001192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Ningxia Orient Tantalum Industry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CID001277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NPM Silmet OU</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CID001200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Resind Industria e Comercio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CID002707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Taki Chemical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CID001869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TANIOBIS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CID002544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TANIOBIS GmbH</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CID002545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TANIOBIS Japan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CID002549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TANIOBIS Smelting GmbH &amp; Co. KG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CID002550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Telex Metals</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CID001891</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Ulba Metallurgical Plant JSC</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CID001969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XIMEI RESOURCES (GUANGDONG) LIMITED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CID000616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XinXing Haorong Electronic Material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CID002508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Yanling Jincheng Tantalum &amp; Niobium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CID001522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0400"/>
          </w:cols>
          <w:pgMar w:left="320" w:top="660" w:right="117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44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Alpha Assembly Solutions Inc</w:t>
            </w:r>
          </w:p>
        </w:tc>
        <w:tc>
          <w:tcPr>
            <w:tcW w:w="152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CID000292</w:t>
            </w:r>
          </w:p>
        </w:tc>
        <w:tc>
          <w:tcPr>
            <w:tcW w:w="2660" w:type="dxa"/>
            <w:vAlign w:val="bottom"/>
            <w:tcBorders>
              <w:top w:val="single" w:sz="8" w:color="auto"/>
              <w:right w:val="single" w:sz="8" w:color="auto"/>
            </w:tcBorders>
          </w:tcPr>
          <w:p>
            <w:pPr>
              <w:ind w:left="80"/>
              <w:spacing w:after="0" w:line="19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Aurubis Beerse</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CID002773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Aurubis Berango</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CID002774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Chenzhou Yunxiang Mining and Metallurgy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CID000228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Chifeng Dajingzi Tin Industry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CID003190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 Tin Group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CID001070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CRM Synergies EMEA, S.L.U.</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CID003524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Dowa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CID000402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EM Vinto</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CID000438</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BOLIVIA (PLURINATIONAL</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STATE OF)</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Estanho de Rondonia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CID000448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Fabrica Auricchio Industria e Comercio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CID003582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Fenix Metals</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CID000468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Gejiu Non-Ferrous Metal Processing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CID000538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Guangdong Hanhe Non-Ferrous Metal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CID003116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HuiChang Hill Tin Industry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CID002844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Luna Smelter,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CID003387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RWANDA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Magnu's Minerais Metais e Ligas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CID002468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Malaysia Smelting Corporation Berhad (Port Klang)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CID004434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Metallic Resources, Inc.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CID001142</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Mineracao Taboca S.A.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CID001173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Mining Minerals Resources SARL</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CID004065</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CONGO, DEMOCRATIC</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REPUBLIC OF THE</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Minsur</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CID001182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Mitsubishi Materials Corporation</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CID001191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 Manufacturing (Thailand)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CID001314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 Manufacturing Philippines, Inc.</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CID002517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Operaciones Metalurgicas S.A.</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CID001337</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BOLIVIA (PLURINATIONAL</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STATE OF)</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ATD Makmur Mandiri Jaya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CID002503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Bangka Prima Tin</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CID002776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Cipta Persada Mulia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CID002696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Mitra Stania Prima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CID001453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Mitra Sukses Globalindo</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CID003449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Premium Tin Indonesia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CID000313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Prima Timah Utama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CID001458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Putera Sarana Shakti (PT PSS)</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CID003868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Rajehan Ariq</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CID002593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Timah Tbk Kundur</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CID001477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PT Timah Tbk Mentok</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CID001482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Resind Industria e Comercio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CID002706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Rui Da Hung</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CID001539</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TAIWAN, PROVINCE OF</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Super Ligas</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CID002756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7"/>
        </w:trPr>
        <w:tc>
          <w:tcPr>
            <w:tcW w:w="14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Takehara PVD Materials Plant / PVD Materials Division of</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CID004403</w:t>
            </w:r>
          </w:p>
        </w:tc>
        <w:tc>
          <w:tcPr>
            <w:tcW w:w="2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5"/>
        </w:trPr>
        <w:tc>
          <w:tcPr>
            <w:tcW w:w="14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MITSUI MINING &amp; SMELTING CO., LTD.</w:t>
            </w: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320" w:top="660" w:right="117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8890" cy="697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6978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14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Thaisarco</w:t>
            </w:r>
          </w:p>
        </w:tc>
        <w:tc>
          <w:tcPr>
            <w:tcW w:w="1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CID001898</w:t>
            </w:r>
          </w:p>
        </w:tc>
        <w:tc>
          <w:tcPr>
            <w:tcW w:w="26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 Smelting Branch of Yunnan Tin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CID002180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Tin Technology &amp; Refining</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CID003325</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White Solder Metalurgia e Mineracao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CID002036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Woodcross Smelting Company Limited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CID004724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UGANDA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Yunnan Yunfan Non-ferrous Metals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CID003397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Jiangxi New Nanshan Technology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CID001231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Malaysia Smelting Corporation (MSC)</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CID001105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*Yunnan Chengfeng Non-ferrous Metals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CID002158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A.L.M.T. Corp.</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CID000004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Asia Tungsten Products Vietnam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CID002502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VIET NAM</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China Molybdenum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CID002641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Chongyi Zhangyuan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CID000258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Cronimet Brasil Ltda</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CID003468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Ganzhou Seadragon W &amp; Mo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CID002494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Global Tungsten &amp; Powders LLC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CID000568</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Guangdong Xianglu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CID000218</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H.C. Starck Tungsten GmbH</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CID002541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Hubei Green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CID003417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Japan New Metals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CID000825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Jiangwu H.C. Starck Tungsten Products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CID002551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Jiangxi Gan Bei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CID002321</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Jiangxi Tonggu Non-ferrous Metallurgical &amp; Chemical Co.,</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CID002318</w:t>
            </w:r>
          </w:p>
        </w:tc>
        <w:tc>
          <w:tcPr>
            <w:tcW w:w="2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5"/>
        </w:trPr>
        <w:tc>
          <w:tcPr>
            <w:tcW w:w="1440" w:type="dxa"/>
            <w:vAlign w:val="bottom"/>
            <w:tcBorders>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Jiangxi Xinsheng Tungsten Industry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CID002317</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Jiangxi Yaosheng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CID002316</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Kennametal Fallon</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CID000966</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Kennametal Huntsville</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CID000105</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Lianyou Metals Co., Ltd.</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CID003407</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TAIWAN, PROVINCE OF</w:t>
            </w:r>
          </w:p>
        </w:tc>
        <w:tc>
          <w:tcPr>
            <w:tcW w:w="0" w:type="dxa"/>
            <w:vAlign w:val="bottom"/>
          </w:tcPr>
          <w:p>
            <w:pPr>
              <w:spacing w:after="0"/>
              <w:rPr>
                <w:sz w:val="1"/>
                <w:szCs w:val="1"/>
                <w:color w:val="auto"/>
              </w:rPr>
            </w:pPr>
          </w:p>
        </w:tc>
      </w:tr>
      <w:tr>
        <w:trPr>
          <w:trHeight w:val="235"/>
        </w:trPr>
        <w:tc>
          <w:tcPr>
            <w:tcW w:w="1440" w:type="dxa"/>
            <w:vAlign w:val="bottom"/>
            <w:tcBorders>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Malipo Haiyu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CID002319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Masan High-Tech Materials</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CID002543</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VIET NAM</w:t>
            </w: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Niagara Refining LLC</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CID002589</w:t>
            </w:r>
          </w:p>
        </w:tc>
        <w:tc>
          <w:tcPr>
            <w:tcW w:w="26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8"/>
                <w:szCs w:val="18"/>
                <w:color w:val="auto"/>
              </w:rPr>
              <w:t>UNITED STATES OF</w:t>
            </w:r>
          </w:p>
        </w:tc>
        <w:tc>
          <w:tcPr>
            <w:tcW w:w="0" w:type="dxa"/>
            <w:vAlign w:val="bottom"/>
          </w:tcPr>
          <w:p>
            <w:pPr>
              <w:spacing w:after="0"/>
              <w:rPr>
                <w:sz w:val="1"/>
                <w:szCs w:val="1"/>
                <w:color w:val="auto"/>
              </w:rPr>
            </w:pPr>
          </w:p>
        </w:tc>
      </w:tr>
      <w:tr>
        <w:trPr>
          <w:trHeight w:val="235"/>
        </w:trPr>
        <w:tc>
          <w:tcPr>
            <w:tcW w:w="1440" w:type="dxa"/>
            <w:vAlign w:val="bottom"/>
            <w:tcBorders>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vMerge w:val="continue"/>
          </w:tcPr>
          <w:p>
            <w:pPr>
              <w:spacing w:after="0"/>
              <w:rPr>
                <w:sz w:val="20"/>
                <w:szCs w:val="20"/>
                <w:color w:val="auto"/>
              </w:rPr>
            </w:pP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TANIOBIS Smelting GmbH &amp; Co. KG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CID002542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Wolfram Bergbau und Hutten AG</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CID002044</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Xiamen Tungsten (H.C.)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CID002320</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Xiamen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CID002082</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*Fujian Xinlu 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CID003609</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*Ganzhou Jiangwu Ferrotungsten Co., Ltd.</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CID002315</w:t>
            </w:r>
          </w:p>
        </w:tc>
        <w:tc>
          <w:tcPr>
            <w:tcW w:w="2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7"/>
        </w:trPr>
        <w:tc>
          <w:tcPr>
            <w:tcW w:w="14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Tungsten</w:t>
            </w:r>
          </w:p>
        </w:tc>
        <w:tc>
          <w:tcPr>
            <w:tcW w:w="478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*Hunan Shizhuyuan Nonferrous Metals Co., Ltd.</w:t>
            </w:r>
          </w:p>
        </w:tc>
        <w:tc>
          <w:tcPr>
            <w:tcW w:w="15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CID002513</w:t>
            </w:r>
          </w:p>
        </w:tc>
        <w:tc>
          <w:tcPr>
            <w:tcW w:w="2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5"/>
        </w:trPr>
        <w:tc>
          <w:tcPr>
            <w:tcW w:w="1440" w:type="dxa"/>
            <w:vAlign w:val="bottom"/>
            <w:tcBorders>
              <w:bottom w:val="single" w:sz="8" w:color="auto"/>
              <w:right w:val="single" w:sz="8" w:color="auto"/>
            </w:tcBorders>
            <w:vMerge w:val="continue"/>
          </w:tcPr>
          <w:p>
            <w:pPr>
              <w:spacing w:after="0"/>
              <w:rPr>
                <w:sz w:val="20"/>
                <w:szCs w:val="20"/>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Chenzhou Tungsten Products Branch</w:t>
            </w:r>
          </w:p>
        </w:tc>
        <w:tc>
          <w:tcPr>
            <w:tcW w:w="1520" w:type="dxa"/>
            <w:vAlign w:val="bottom"/>
            <w:tcBorders>
              <w:bottom w:val="single" w:sz="8" w:color="auto"/>
              <w:right w:val="single" w:sz="8" w:color="auto"/>
            </w:tcBorders>
            <w:vMerge w:val="continue"/>
          </w:tcPr>
          <w:p>
            <w:pPr>
              <w:spacing w:after="0"/>
              <w:rPr>
                <w:sz w:val="20"/>
                <w:szCs w:val="20"/>
                <w:color w:val="auto"/>
              </w:rPr>
            </w:pPr>
          </w:p>
        </w:tc>
        <w:tc>
          <w:tcPr>
            <w:tcW w:w="26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color w:val="auto"/>
        </w:rPr>
        <w:t>* Non-conformant</w:t>
      </w:r>
    </w:p>
    <w:p>
      <w:pPr>
        <w:sectPr>
          <w:pgSz w:w="11900" w:h="16838" w:orient="portrait"/>
          <w:cols w:equalWidth="0" w:num="1">
            <w:col w:w="10400"/>
          </w:cols>
          <w:pgMar w:left="320" w:top="660" w:right="117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 xml:space="preserve">Annex 2 </w:t>
      </w:r>
      <w:r>
        <w:rPr>
          <w:rFonts w:ascii="Arial" w:cs="Arial" w:eastAsia="Arial" w:hAnsi="Arial"/>
          <w:sz w:val="20"/>
          <w:szCs w:val="20"/>
          <w:color w:val="auto"/>
        </w:rPr>
        <w:t>Country of Origin Information Based on RMI RCOI Data January 30, 2026</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of Origin</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Argentina G,</w:t>
            </w:r>
          </w:p>
        </w:tc>
        <w:tc>
          <w:tcPr>
            <w:tcW w:w="39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 G, W,</w:t>
            </w:r>
          </w:p>
        </w:tc>
        <w:tc>
          <w:tcPr>
            <w:tcW w:w="32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Nigeria G, Ta, Sn,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Australia G, Ta, Sn, W,</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Ghana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Panama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Austria W,</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Greece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Papua New Guinea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Azerbaijan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Guinea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Peru G, Sn,</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Belgium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Guyana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Philippines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Benin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Honduras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Portugal Sn,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 G, Sn, W,</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 G, W,</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Bosnia and Herzegovina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 G, Sn,</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*Rwanda Ta, Sn,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Botswana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Saudi Arabia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Brazil G, Ta, Sn, W,</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Senegal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Bulgaria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 G, W,</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Sierra Leone Ta,</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Burkina Faso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Kenya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Slomon Islands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*Burundi Ta, Sn, W,</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Slovakia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Cambodia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Kyrgyzstan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Canada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Lao People's Democratic Republic G, Sn,</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 G, Ta, Sn,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Chile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Liberia, G Ta,</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Sudan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 G, Ta, Sn, W,</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Madagascar G, Ta,</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Suriname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Colombia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Malaysia G, Sn, W,</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Sweden G,</w:t>
            </w:r>
          </w:p>
        </w:tc>
      </w:tr>
      <w:tr>
        <w:trPr>
          <w:trHeight w:val="264"/>
        </w:trPr>
        <w:tc>
          <w:tcPr>
            <w:tcW w:w="3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*Congo, Democratic Republic of the G, Ta, Sn,</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Mali G,</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Tajikistan G,</w:t>
            </w:r>
          </w:p>
        </w:tc>
      </w:tr>
      <w:tr>
        <w:trPr>
          <w:trHeight w:val="148"/>
        </w:trPr>
        <w:tc>
          <w:tcPr>
            <w:tcW w:w="382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Arial" w:cs="Arial" w:eastAsia="Arial" w:hAnsi="Arial"/>
                <w:sz w:val="17"/>
                <w:szCs w:val="17"/>
                <w:color w:val="auto"/>
              </w:rPr>
              <w:t>W,</w:t>
            </w:r>
          </w:p>
        </w:tc>
        <w:tc>
          <w:tcPr>
            <w:tcW w:w="3900" w:type="dxa"/>
            <w:vAlign w:val="bottom"/>
            <w:tcBorders>
              <w:bottom w:val="single" w:sz="8" w:color="auto"/>
              <w:right w:val="single" w:sz="8" w:color="auto"/>
            </w:tcBorders>
          </w:tcPr>
          <w:p>
            <w:pPr>
              <w:spacing w:after="0"/>
              <w:rPr>
                <w:sz w:val="12"/>
                <w:szCs w:val="12"/>
                <w:color w:val="auto"/>
              </w:rPr>
            </w:pPr>
          </w:p>
        </w:tc>
        <w:tc>
          <w:tcPr>
            <w:tcW w:w="3280" w:type="dxa"/>
            <w:vAlign w:val="bottom"/>
            <w:tcBorders>
              <w:bottom w:val="single" w:sz="8" w:color="auto"/>
              <w:right w:val="single" w:sz="8" w:color="auto"/>
            </w:tcBorders>
          </w:tcPr>
          <w:p>
            <w:pPr>
              <w:spacing w:after="0"/>
              <w:rPr>
                <w:sz w:val="12"/>
                <w:szCs w:val="12"/>
                <w:color w:val="auto"/>
              </w:rPr>
            </w:pP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Côte d'Ivoire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Mauritania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*Tanzania G, Sn,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Dominican Republic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Mexico G, W,</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 Ta, Sn,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Ecuador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Mongolia G, Sn, W,</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Turkey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Egypt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Morocco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*Uganda Sn,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Eswatini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Mozambique G, Ta,</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Ethiopia Ta,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Myanmar Sn, W,</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 G, Ta,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Fiji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Namibia G, Sn,</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Uzbekistan G,</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Finland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Zealand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 G, Sn, W,</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France G, Ta,</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Nicaragua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*Zambia G, Sn,</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French Guiana G,</w:t>
            </w: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Niger G,</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Zimbabwe G, Ta,</w:t>
            </w:r>
          </w:p>
        </w:tc>
      </w:tr>
      <w:tr>
        <w:trPr>
          <w:trHeight w:val="223"/>
        </w:trPr>
        <w:tc>
          <w:tcPr>
            <w:tcW w:w="3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Georgia G,</w:t>
            </w:r>
          </w:p>
        </w:tc>
        <w:tc>
          <w:tcPr>
            <w:tcW w:w="3900" w:type="dxa"/>
            <w:vAlign w:val="bottom"/>
            <w:tcBorders>
              <w:bottom w:val="single" w:sz="8" w:color="auto"/>
            </w:tcBorders>
          </w:tcPr>
          <w:p>
            <w:pPr>
              <w:spacing w:after="0"/>
              <w:rPr>
                <w:sz w:val="19"/>
                <w:szCs w:val="19"/>
                <w:color w:val="auto"/>
              </w:rPr>
            </w:pPr>
          </w:p>
        </w:tc>
        <w:tc>
          <w:tcPr>
            <w:tcW w:w="3280" w:type="dxa"/>
            <w:vAlign w:val="bottom"/>
          </w:tcPr>
          <w:p>
            <w:pPr>
              <w:spacing w:after="0"/>
              <w:rPr>
                <w:sz w:val="19"/>
                <w:szCs w:val="19"/>
                <w:color w:val="auto"/>
              </w:rPr>
            </w:pPr>
          </w:p>
        </w:tc>
      </w:tr>
    </w:tbl>
    <w:p>
      <w:pPr>
        <w:ind w:left="20"/>
        <w:spacing w:after="0"/>
        <w:rPr>
          <w:sz w:val="20"/>
          <w:szCs w:val="20"/>
          <w:color w:val="auto"/>
        </w:rPr>
      </w:pPr>
      <w:r>
        <w:rPr>
          <w:rFonts w:ascii="Arial" w:cs="Arial" w:eastAsia="Arial" w:hAnsi="Arial"/>
          <w:sz w:val="18"/>
          <w:szCs w:val="18"/>
          <w:color w:val="auto"/>
        </w:rPr>
        <w:t>Key: G = Gold; Ta = Tantalum; Sn = Tin; W = Tungsten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Covered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723265</wp:posOffset>
            </wp:positionV>
            <wp:extent cx="658368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36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right="1540"/>
        <w:spacing w:after="0" w:line="392" w:lineRule="auto"/>
        <w:rPr>
          <w:sz w:val="20"/>
          <w:szCs w:val="20"/>
          <w:color w:val="auto"/>
        </w:rPr>
      </w:pPr>
      <w:r>
        <w:rPr>
          <w:rFonts w:ascii="Arial" w:cs="Arial" w:eastAsia="Arial" w:hAnsi="Arial"/>
          <w:sz w:val="16"/>
          <w:szCs w:val="16"/>
          <w:color w:val="auto"/>
        </w:rPr>
        <w:t>Key: 3TG = Tantalum, Tin, Tungsten and Gold; 3T= Tantalum, Tin and Tungsten G = Gold; Ta= Tantalum; Sn= Tin; W=Tungsten * Covered Country</w:t>
      </w:r>
    </w:p>
    <w:sectPr>
      <w:pgSz w:w="11900" w:h="16838" w:orient="portrait"/>
      <w:cols w:equalWidth="0" w:num="1">
        <w:col w:w="11000"/>
      </w:cols>
      <w:pgMar w:left="320" w:top="629"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amp;"/>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o"/>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o"/>
      <w:numFmt w:val="bullet"/>
      <w:start w:val="1"/>
    </w:lvl>
  </w:abstractNum>
  <w:abstractNum w:abstractNumId="10">
    <w:nsid w:val="1F16E9E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2026-05-29T09:17:57Z</dcterms:created>
  <dcterms:modified xsi:type="dcterms:W3CDTF">2026-05-29T09:17:57Z</dcterms:modified>
</cp:coreProperties>
</file>