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354462.xml.htm"/>
      <w:bookmarkStart w:id="1" w:name="kswkform4_178535446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KILPIN TIMOTHY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HASBRO,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1027 NEWPORT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PAWTUCKET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02861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HASBRO, INC.</w:t>
              </w:r>
            </w:hyperlink>
            <w:r>
              <w:rPr/>
              <w:t xml:space="preserve"> [ </w:t>
            </w:r>
            <w:r>
              <w:rPr>
                <w:rFonts w:ascii="Times;serif" w:hAnsi="Times;serif"/>
                <w:color w:val="0000FF"/>
                <w:sz w:val="24"/>
                <w:shd w:fill="FFFFFF" w:val="clear"/>
              </w:rPr>
              <w:t>HAS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Toy, Lic &amp; 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925"/>
        <w:gridCol w:w="448"/>
        <w:gridCol w:w="838"/>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$.50 per share)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61.71</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64,229</w:t>
            </w:r>
            <w:r>
              <w:rPr>
                <w:rFonts w:ascii="Times;serif" w:hAnsi="Times;serif"/>
                <w:color w:val="008000"/>
                <w:position w:val="7"/>
                <w:sz w:val="16"/>
                <w:sz w:val="20"/>
                <w:shd w:fill="FFFFFF" w:val="clear"/>
              </w:rPr>
              <w:t>(1)</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$.50 per share)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54,229</w:t>
            </w:r>
            <w:r>
              <w:rPr>
                <w:rFonts w:ascii="Times;serif" w:hAnsi="Times;serif"/>
                <w:color w:val="008000"/>
                <w:position w:val="7"/>
                <w:sz w:val="16"/>
                <w:sz w:val="20"/>
                <w:shd w:fill="FFFFFF" w:val="clear"/>
              </w:rPr>
              <w:t>(1)</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$.50 per share)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61.71</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64,229</w:t>
            </w:r>
            <w:r>
              <w:rPr>
                <w:rFonts w:ascii="Times;serif" w:hAnsi="Times;serif"/>
                <w:color w:val="008000"/>
                <w:position w:val="7"/>
                <w:sz w:val="16"/>
                <w:sz w:val="20"/>
                <w:shd w:fill="FFFFFF" w:val="clear"/>
              </w:rPr>
              <w:t>(1)</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$.50 per share)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94.245</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54,229</w:t>
            </w:r>
            <w:r>
              <w:rPr>
                <w:rFonts w:ascii="Times;serif" w:hAnsi="Times;serif"/>
                <w:color w:val="008000"/>
                <w:position w:val="7"/>
                <w:sz w:val="16"/>
                <w:sz w:val="20"/>
                <w:shd w:fill="FFFFFF" w:val="clear"/>
              </w:rPr>
              <w:t>(1)</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w:t>
            </w:r>
            <w:r>
              <w:rPr>
                <w:rFonts w:ascii="Times;serif" w:hAnsi="Times;serif"/>
                <w:color w:val="008000"/>
                <w:position w:val="7"/>
                <w:sz w:val="16"/>
                <w:sz w:val="20"/>
                <w:shd w:fill="FFFFFF" w:val="clear"/>
              </w:rPr>
              <w:t>(2)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61.71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05/16/2030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61.71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14,436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number of securities reported in Column 5 as beneficially owned following the transactions reported on this form reflect a correction to the reporting person's total beneficial ownership. An amendment filed on April 4, 2025 corrected the reporting person's total beneficial ownership as of that date, but that corrected total was not carried forward into the reporting person's Form 4 filings for the period between the date of the amendment and this filing. Accordingly, the amount reported in Column 5 of this form reflects the correct total beneficial ownership since the April 4, 2025 amendment, together with additional shares issued upon vesting of previously accrued DEUs. The total beneficial ownership number also includes 21,480 shares subject to currently unvested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options were granted under an employee stock option plan in accordance with Rule 16b-3 and have tandem tax withholding rights.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33 1/3% of the options became exercisable on each of May 17, 2024, May 17, 2025 and May 17,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Matthew Gilman, P/O/A for Timothy J. Kilpin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12785" TargetMode="External"/><Relationship Id="rId5" Type="http://schemas.openxmlformats.org/officeDocument/2006/relationships/hyperlink" Target="http://www.sec.gov/cgi-bin/browse-edgar?action=getcompany&amp;CIK=00000460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797</Words>
  <Characters>4266</Characters>
  <CharactersWithSpaces>4956</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