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1"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October 1, 2023</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2" w:lineRule="exact"/>
        <w:rPr>
          <w:sz w:val="24"/>
          <w:szCs w:val="24"/>
          <w:color w:val="auto"/>
        </w:rPr>
      </w:pPr>
    </w:p>
    <w:p>
      <w:pPr>
        <w:ind w:left="4360" w:right="1400" w:hanging="4136"/>
        <w:spacing w:after="0" w:line="383" w:lineRule="auto"/>
        <w:tabs>
          <w:tab w:leader="none" w:pos="62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1-6682</w:t>
      </w:r>
    </w:p>
    <w:p>
      <w:pPr>
        <w:ind w:left="4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__________________</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HASBRO, INC.</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994" w:right="399" w:bottom="1440" w:gutter="0" w:footer="0" w:header="0"/>
        </w:sectPr>
      </w:pPr>
    </w:p>
    <w:p>
      <w:pPr>
        <w:spacing w:after="0" w:line="36"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Rhode Island</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05-0155090</w:t>
      </w:r>
    </w:p>
    <w:p>
      <w:pPr>
        <w:spacing w:after="0" w:line="77" w:lineRule="exact"/>
        <w:rPr>
          <w:sz w:val="24"/>
          <w:szCs w:val="24"/>
          <w:color w:val="auto"/>
        </w:rPr>
      </w:pPr>
    </w:p>
    <w:p>
      <w:pPr>
        <w:sectPr>
          <w:pgSz w:w="11900" w:h="16838" w:orient="portrait"/>
          <w:cols w:equalWidth="0" w:num="2">
            <w:col w:w="7220" w:space="720"/>
            <w:col w:w="3240"/>
          </w:cols>
          <w:pgMar w:left="320" w:top="994" w:right="399" w:bottom="1440" w:gutter="0" w:footer="0" w:header="0"/>
          <w:type w:val="continuous"/>
        </w:sectPr>
      </w:pPr>
    </w:p>
    <w:p>
      <w:pPr>
        <w:ind w:left="7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52" w:lineRule="exact"/>
        <w:rPr>
          <w:sz w:val="24"/>
          <w:szCs w:val="24"/>
          <w:color w:val="auto"/>
        </w:rPr>
      </w:pPr>
    </w:p>
    <w:p>
      <w:pPr>
        <w:sectPr>
          <w:pgSz w:w="11900" w:h="16838" w:orient="portrait"/>
          <w:cols w:equalWidth="0" w:num="2">
            <w:col w:w="6340" w:space="720"/>
            <w:col w:w="4120"/>
          </w:cols>
          <w:pgMar w:left="320" w:top="994" w:right="399" w:bottom="1440" w:gutter="0" w:footer="0" w:header="0"/>
          <w:type w:val="continuous"/>
        </w:sectPr>
      </w:pPr>
    </w:p>
    <w:p>
      <w:pPr>
        <w:ind w:left="2060"/>
        <w:spacing w:after="0"/>
        <w:rPr>
          <w:sz w:val="20"/>
          <w:szCs w:val="20"/>
          <w:color w:val="auto"/>
        </w:rPr>
      </w:pPr>
      <w:r>
        <w:rPr>
          <w:rFonts w:ascii="Arial" w:cs="Arial" w:eastAsia="Arial" w:hAnsi="Arial"/>
          <w:sz w:val="16"/>
          <w:szCs w:val="16"/>
          <w:b w:val="1"/>
          <w:bCs w:val="1"/>
          <w:color w:val="auto"/>
        </w:rPr>
        <w:t>1027 Newport Avenue</w:t>
      </w:r>
    </w:p>
    <w:p>
      <w:pPr>
        <w:sectPr>
          <w:pgSz w:w="11900" w:h="16838" w:orient="portrait"/>
          <w:cols w:equalWidth="0" w:num="1">
            <w:col w:w="11180"/>
          </w:cols>
          <w:pgMar w:left="320" w:top="994" w:right="399" w:bottom="1440" w:gutter="0" w:footer="0" w:header="0"/>
          <w:type w:val="continuous"/>
        </w:sectPr>
      </w:pPr>
    </w:p>
    <w:p>
      <w:pPr>
        <w:spacing w:after="0" w:line="73"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Pawtucket, Rhode Island</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02861</w:t>
      </w:r>
    </w:p>
    <w:p>
      <w:pPr>
        <w:spacing w:after="0" w:line="77" w:lineRule="exact"/>
        <w:rPr>
          <w:sz w:val="24"/>
          <w:szCs w:val="24"/>
          <w:color w:val="auto"/>
        </w:rPr>
      </w:pPr>
    </w:p>
    <w:p>
      <w:pPr>
        <w:sectPr>
          <w:pgSz w:w="11900" w:h="16838" w:orient="portrait"/>
          <w:cols w:equalWidth="0" w:num="2">
            <w:col w:w="7420" w:space="720"/>
            <w:col w:w="3040"/>
          </w:cols>
          <w:pgMar w:left="320" w:top="994" w:right="39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77" w:lineRule="exact"/>
        <w:rPr>
          <w:sz w:val="24"/>
          <w:szCs w:val="24"/>
          <w:color w:val="auto"/>
        </w:rPr>
      </w:pPr>
    </w:p>
    <w:p>
      <w:pPr>
        <w:sectPr>
          <w:pgSz w:w="11900" w:h="16838" w:orient="portrait"/>
          <w:cols w:equalWidth="0" w:num="2">
            <w:col w:w="7260" w:space="720"/>
            <w:col w:w="3200"/>
          </w:cols>
          <w:pgMar w:left="320" w:top="994" w:right="3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(401) 431-8697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247" w:lineRule="exact"/>
        <w:rPr>
          <w:sz w:val="24"/>
          <w:szCs w:val="24"/>
          <w:color w:val="auto"/>
        </w:rPr>
      </w:pPr>
    </w:p>
    <w:p>
      <w:pPr>
        <w:ind w:left="58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994" w:right="399" w:bottom="1440" w:gutter="0" w:footer="0" w:header="0"/>
          <w:type w:val="continuous"/>
        </w:sectPr>
      </w:pPr>
    </w:p>
    <w:p>
      <w:pPr>
        <w:spacing w:after="0" w:line="144"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ectPr>
          <w:pgSz w:w="11900" w:h="16838" w:orient="portrait"/>
          <w:cols w:equalWidth="0" w:num="3">
            <w:col w:w="4200" w:space="720"/>
            <w:col w:w="1640" w:space="720"/>
            <w:col w:w="3900"/>
          </w:cols>
          <w:pgMar w:left="320" w:top="994" w:right="399" w:bottom="1440" w:gutter="0" w:footer="0" w:header="0"/>
          <w:type w:val="continuous"/>
        </w:sectPr>
      </w:pPr>
    </w:p>
    <w:p>
      <w:pPr>
        <w:ind w:left="740"/>
        <w:spacing w:after="0"/>
        <w:rPr>
          <w:sz w:val="20"/>
          <w:szCs w:val="20"/>
          <w:color w:val="auto"/>
        </w:rPr>
      </w:pPr>
      <w:r>
        <w:rPr>
          <w:rFonts w:ascii="Arial" w:cs="Arial" w:eastAsia="Arial" w:hAnsi="Arial"/>
          <w:sz w:val="16"/>
          <w:szCs w:val="16"/>
          <w:b w:val="1"/>
          <w:bCs w:val="1"/>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The NASDAQ Global Select Market</w:t>
      </w:r>
    </w:p>
    <w:p>
      <w:pPr>
        <w:spacing w:after="0" w:line="150" w:lineRule="exact"/>
        <w:rPr>
          <w:sz w:val="24"/>
          <w:szCs w:val="24"/>
          <w:color w:val="auto"/>
        </w:rPr>
      </w:pPr>
    </w:p>
    <w:p>
      <w:pPr>
        <w:sectPr>
          <w:pgSz w:w="11900" w:h="16838" w:orient="portrait"/>
          <w:cols w:equalWidth="0" w:num="3">
            <w:col w:w="4700" w:space="720"/>
            <w:col w:w="1480" w:space="720"/>
            <w:col w:w="3560"/>
          </w:cols>
          <w:pgMar w:left="320" w:top="994" w:right="399" w:bottom="1440" w:gutter="0" w:footer="0" w:header="0"/>
          <w:type w:val="continuous"/>
        </w:sectPr>
      </w:pPr>
    </w:p>
    <w:p>
      <w:pPr>
        <w:jc w:val="both"/>
        <w:ind w:firstLine="567"/>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49" w:lineRule="exact"/>
        <w:rPr>
          <w:sz w:val="24"/>
          <w:szCs w:val="24"/>
          <w:color w:val="auto"/>
        </w:rPr>
      </w:pPr>
    </w:p>
    <w:p>
      <w:pPr>
        <w:ind w:right="240" w:firstLine="567"/>
        <w:spacing w:after="0" w:line="32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1" w:lineRule="exact"/>
        <w:rPr>
          <w:sz w:val="24"/>
          <w:szCs w:val="24"/>
          <w:color w:val="auto"/>
        </w:rPr>
      </w:pPr>
    </w:p>
    <w:p>
      <w:pPr>
        <w:ind w:right="100" w:firstLine="56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660" w:type="dxa"/>
        <w:tblCellMar>
          <w:top w:w="0" w:type="dxa"/>
          <w:left w:w="0" w:type="dxa"/>
          <w:bottom w:w="0" w:type="dxa"/>
          <w:right w:w="0" w:type="dxa"/>
        </w:tblCellMar>
      </w:tblPr>
      <w:tr>
        <w:trPr>
          <w:trHeight w:val="257"/>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320"/>
              <w:spacing w:after="0"/>
              <w:rPr>
                <w:sz w:val="20"/>
                <w:szCs w:val="20"/>
                <w:color w:val="auto"/>
              </w:rPr>
            </w:pPr>
            <w:r>
              <w:rPr>
                <w:rFonts w:ascii="Arial" w:cs="Arial" w:eastAsia="Arial" w:hAnsi="Arial"/>
                <w:sz w:val="18"/>
                <w:szCs w:val="18"/>
                <w:color w:val="auto"/>
              </w:rPr>
              <w:t>x</w:t>
            </w:r>
          </w:p>
        </w:tc>
        <w:tc>
          <w:tcPr>
            <w:tcW w:w="422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2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3" w:lineRule="exact"/>
        <w:rPr>
          <w:sz w:val="24"/>
          <w:szCs w:val="24"/>
          <w:color w:val="auto"/>
        </w:rPr>
      </w:pPr>
    </w:p>
    <w:p>
      <w:pPr>
        <w:ind w:right="180" w:firstLine="567"/>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85" w:lineRule="exact"/>
        <w:rPr>
          <w:sz w:val="24"/>
          <w:szCs w:val="24"/>
          <w:color w:val="auto"/>
        </w:rPr>
      </w:pPr>
    </w:p>
    <w:p>
      <w:pPr>
        <w:ind w:left="580"/>
        <w:spacing w:after="0" w:line="207" w:lineRule="exact"/>
        <w:tabs>
          <w:tab w:leader="none" w:pos="91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2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The number of shares of Common Stock, par value $.50 per share, outstanding as of October 26, 2023 was 138,764,146.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212529"/>
        </w:rPr>
        <w:t>Forward Looking Statement Safe Harbor</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Certain statements in this Form 10-Q contain “forward-looking statements” within the meaning of the Private Securities Litigation Reform Act of 1995. These statements, which may be identified by the use of forward-looking words or phrases, include statements relating to: our business strategies and plans; expectations relating to inventory; expectations relating to products, gaming and entertainment; anticipated cost savings; financial targets; and expectations relating to the announced sale of the non-core eOne film and TV business, including the timing of completion and use of proceeds. Our actual actions or results may differ materially from those expected or anticipated in the forward-looking statements due to both known and unknown risks and uncertainties.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212529"/>
        </w:rPr>
        <w:t>Factors that might cause such a difference include, but are not limited to:</w:t>
      </w:r>
    </w:p>
    <w:p>
      <w:pPr>
        <w:spacing w:after="0" w:line="117" w:lineRule="exact"/>
        <w:rPr>
          <w:sz w:val="20"/>
          <w:szCs w:val="20"/>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on our Blueprint 2.0 strategy, including to focus on and scale select business initiatives and brands to drive profitability and to achieve anticipated cost savings;</w:t>
      </w:r>
    </w:p>
    <w:p>
      <w:pPr>
        <w:spacing w:after="0" w:line="62"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in the play and entertainment industry, including to design and offer products that are sought after by consumers and retailers;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evolve and transform our business and capabilities to address the global consumer landscape;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design, develop, manufacture, and ship products on a timely, cost-effective and profitable basis;</w:t>
      </w:r>
    </w:p>
    <w:p>
      <w:pPr>
        <w:spacing w:after="0" w:line="117" w:lineRule="exact"/>
        <w:rPr>
          <w:rFonts w:ascii="Arial" w:cs="Arial" w:eastAsia="Arial" w:hAnsi="Arial"/>
          <w:sz w:val="18"/>
          <w:szCs w:val="18"/>
          <w:color w:val="auto"/>
        </w:rPr>
      </w:pPr>
    </w:p>
    <w:p>
      <w:pPr>
        <w:ind w:left="660" w:right="16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relating to our ability to successfully complete the announced sale of the eOne Film and Television business, including uncertainty as to whether the transaction will be completed in a timely manner or at all; the conditions precedent to completion of the transaction will be satisfied; risks of unexpected costs, liabilities or delays; the effect of ongoing actors’ strikes; and the effect of the announcement, pendency or consummation of the transaction on customers, employees, actors, writers, producers and operating results;</w:t>
      </w:r>
    </w:p>
    <w:p>
      <w:pPr>
        <w:spacing w:after="0" w:line="63" w:lineRule="exact"/>
        <w:rPr>
          <w:rFonts w:ascii="Arial" w:cs="Arial" w:eastAsia="Arial" w:hAnsi="Arial"/>
          <w:sz w:val="17"/>
          <w:szCs w:val="17"/>
          <w:color w:val="auto"/>
        </w:rPr>
      </w:pPr>
    </w:p>
    <w:p>
      <w:pPr>
        <w:ind w:left="660" w:right="1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challenges of selling products at retail, including lower consumer discretionary spending due to economic conditions, which could lead to increased promotions, discounts and other actions in the short term in an effort to reduce inventory;</w:t>
      </w:r>
    </w:p>
    <w:p>
      <w:pPr>
        <w:spacing w:after="0" w:line="62" w:lineRule="exact"/>
        <w:rPr>
          <w:rFonts w:ascii="Arial" w:cs="Arial" w:eastAsia="Arial" w:hAnsi="Arial"/>
          <w:sz w:val="18"/>
          <w:szCs w:val="18"/>
          <w:color w:val="auto"/>
        </w:rPr>
      </w:pPr>
    </w:p>
    <w:p>
      <w:pPr>
        <w:jc w:val="both"/>
        <w:ind w:left="660" w:right="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inflation and downturns in global and regional economic conditions or other events, such as government shutdowns, impacting one or more of the markets in which we sell products, which can negatively impact our retail customers and consumers, result in lower employment levels, consumer disposable income, retailer inventories and spending, including lower spending on purchases of our products;</w:t>
      </w:r>
    </w:p>
    <w:p>
      <w:pPr>
        <w:spacing w:after="0" w:line="57" w:lineRule="exact"/>
        <w:rPr>
          <w:rFonts w:ascii="Arial" w:cs="Arial" w:eastAsia="Arial" w:hAnsi="Arial"/>
          <w:sz w:val="17"/>
          <w:szCs w:val="17"/>
          <w:color w:val="auto"/>
        </w:rPr>
      </w:pPr>
    </w:p>
    <w:p>
      <w:pPr>
        <w:ind w:left="660" w:right="7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 party relationships, including with third party manufacturers, licensors of brands, studios, content producers and entertainment distribution channels;</w:t>
      </w:r>
    </w:p>
    <w:p>
      <w:pPr>
        <w:spacing w:after="0" w:line="62"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any prolonged strike by, or lockout of, one or more of the unions that provide personnel essential to the production of films or television programs, such as the ongoing strike by the actors' unions, could delay or halt our ongoing development, production and distribution activities; halts or delays, depending on the length of time, could cause a delay or interruption in our release of new films and television programs, which could impact our entertainment business;</w:t>
      </w:r>
    </w:p>
    <w:p>
      <w:pPr>
        <w:spacing w:after="0" w:line="78"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concentration of manufacturing for many of our products in the People’s Republic of China and our ability to successfully diversify sourcing of our products to reduce reliance on sources of supply in China;</w:t>
      </w:r>
    </w:p>
    <w:p>
      <w:pPr>
        <w:spacing w:after="0" w:line="62" w:lineRule="exact"/>
        <w:rPr>
          <w:rFonts w:ascii="Arial" w:cs="Arial" w:eastAsia="Arial" w:hAnsi="Arial"/>
          <w:sz w:val="18"/>
          <w:szCs w:val="18"/>
          <w:color w:val="auto"/>
        </w:rPr>
      </w:pPr>
    </w:p>
    <w:p>
      <w:pPr>
        <w:ind w:left="660" w:right="24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economic and public health conditions or regulatory changes in the markets in which we and our customers, partners, licensees, suppliers and manufacturers operate, such as inflation, rising interest rates, higher commodity prices, labor costs or transportation costs, the coronavirus or other outbreaks of illness or disease, the occurrence of which could create work slowdowns, delays or shortages in production or shipment of products, increases in costs or delays in revenue;</w:t>
      </w:r>
    </w:p>
    <w:p>
      <w:pPr>
        <w:spacing w:after="0" w:line="78" w:lineRule="exact"/>
        <w:rPr>
          <w:rFonts w:ascii="Arial" w:cs="Arial" w:eastAsia="Arial" w:hAnsi="Arial"/>
          <w:sz w:val="18"/>
          <w:szCs w:val="18"/>
          <w:color w:val="auto"/>
        </w:rPr>
      </w:pPr>
    </w:p>
    <w:p>
      <w:pPr>
        <w:jc w:val="both"/>
        <w:ind w:left="660" w:right="24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international operations, such as conflict in territories in which we operate, currency conversion, currency fluctuations, the imposition of tariffs, quotas, shipping delays or difficulties, border adjustment taxes or other protectionist measures, and other challenges in the territories in which we operate;</w:t>
      </w:r>
    </w:p>
    <w:p>
      <w:pPr>
        <w:spacing w:after="0" w:line="75" w:lineRule="exact"/>
        <w:rPr>
          <w:rFonts w:ascii="Arial" w:cs="Arial" w:eastAsia="Arial" w:hAnsi="Arial"/>
          <w:sz w:val="18"/>
          <w:szCs w:val="18"/>
          <w:color w:val="auto"/>
        </w:rPr>
      </w:pPr>
    </w:p>
    <w:p>
      <w:pPr>
        <w:ind w:left="660" w:right="18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leadership changes;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talented and diverse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 w:name="page3"/>
    <w:bookmarkEnd w:id="2"/>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benefits of cost-savings and efficiency and/or revenue and operating profit enhancing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impairment and/or write-offs of businesses, products and content we acquire and/or produce;</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acquisitions, dispositions and other investments we complete may not provide us with the benefits we expect, or the realization of such benefits may be significantly delayed. We may not achieve a successful or timely sale of non-core assets;</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assets and intellectual property, including as a result of infringement, theft, misappropriation, cyber-attacks or other acts compromising the integrity of our assets or intellectual property;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business due to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product recalls or product liability suits and costs associated with product safety regulations;</w:t>
      </w:r>
    </w:p>
    <w:p>
      <w:pPr>
        <w:spacing w:after="0" w:line="117"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or regulations, or the interpretation and application of such laws and regulations, which may cause us to alter tax reserves or make other changes which significantly impact our reported financial results;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litigation or arbitration decisions or settlement actions;</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concentration of our customers, potentially increasing the negative impact to our business of difficulties experienced by any of our customers or changes in their purchasing or selling patterns;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bankruptcy or other lack of success of one or more of our significant retailers, licensees and other partners;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risks and uncertainties as may be detailed in our public announcements and U.S. Securities and Exchange Commission (“SEC”) filings.</w:t>
      </w:r>
    </w:p>
    <w:p>
      <w:pPr>
        <w:spacing w:after="0" w:line="140" w:lineRule="exact"/>
        <w:rPr>
          <w:sz w:val="20"/>
          <w:szCs w:val="20"/>
          <w:color w:val="auto"/>
        </w:rPr>
      </w:pPr>
    </w:p>
    <w:p>
      <w:pPr>
        <w:spacing w:after="0" w:line="342" w:lineRule="auto"/>
        <w:rPr>
          <w:sz w:val="20"/>
          <w:szCs w:val="20"/>
          <w:color w:val="auto"/>
        </w:rPr>
      </w:pPr>
      <w:r>
        <w:rPr>
          <w:rFonts w:ascii="Arial" w:cs="Arial" w:eastAsia="Arial" w:hAnsi="Arial"/>
          <w:sz w:val="16"/>
          <w:szCs w:val="16"/>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right"/>
        <w:ind w:right="180"/>
        <w:spacing w:after="0"/>
        <w:tabs>
          <w:tab w:leader="none" w:pos="2400" w:val="left"/>
          <w:tab w:leader="none" w:pos="940" w:val="left"/>
        </w:tabs>
        <w:rPr>
          <w:sz w:val="20"/>
          <w:szCs w:val="20"/>
          <w:color w:val="auto"/>
        </w:rPr>
      </w:pPr>
      <w:r>
        <w:rPr>
          <w:rFonts w:ascii="Arial" w:cs="Arial" w:eastAsia="Arial" w:hAnsi="Arial"/>
          <w:sz w:val="16"/>
          <w:szCs w:val="16"/>
          <w:b w:val="1"/>
          <w:bCs w:val="1"/>
          <w:color w:val="auto"/>
        </w:rPr>
        <w:t>October 1,</w:t>
      </w:r>
      <w:r>
        <w:rPr>
          <w:sz w:val="20"/>
          <w:szCs w:val="20"/>
          <w:color w:val="auto"/>
        </w:rPr>
        <w:tab/>
      </w:r>
      <w:r>
        <w:rPr>
          <w:rFonts w:ascii="Arial" w:cs="Arial" w:eastAsia="Arial" w:hAnsi="Arial"/>
          <w:sz w:val="16"/>
          <w:szCs w:val="16"/>
          <w:b w:val="1"/>
          <w:bCs w:val="1"/>
          <w:color w:val="auto"/>
        </w:rPr>
        <w:t>September 25,</w:t>
      </w:r>
      <w:r>
        <w:rPr>
          <w:sz w:val="20"/>
          <w:szCs w:val="20"/>
          <w:color w:val="auto"/>
        </w:rPr>
        <w:tab/>
      </w:r>
      <w:r>
        <w:rPr>
          <w:rFonts w:ascii="Arial" w:cs="Arial" w:eastAsia="Arial" w:hAnsi="Arial"/>
          <w:sz w:val="14"/>
          <w:szCs w:val="14"/>
          <w:b w:val="1"/>
          <w:bCs w:val="1"/>
          <w:color w:val="auto"/>
        </w:rPr>
        <w:t>December 25,</w:t>
      </w:r>
    </w:p>
    <w:p>
      <w:pPr>
        <w:ind w:left="7540"/>
        <w:spacing w:after="0"/>
        <w:tabs>
          <w:tab w:leader="none" w:pos="8960" w:val="left"/>
          <w:tab w:leader="none" w:pos="1040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ASSETS</w:t>
      </w:r>
    </w:p>
    <w:p>
      <w:pPr>
        <w:sectPr>
          <w:pgSz w:w="11900" w:h="16838" w:orient="portrait"/>
          <w:cols w:equalWidth="0" w:num="1">
            <w:col w:w="11240"/>
          </w:cols>
          <w:pgMar w:left="320" w:top="1066"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including restricted cash of $1.1 million, $6.1 million and $14.5</w:t>
      </w:r>
    </w:p>
    <w:p>
      <w:pPr>
        <w:spacing w:after="0" w:line="46" w:lineRule="exact"/>
        <w:rPr>
          <w:sz w:val="20"/>
          <w:szCs w:val="20"/>
          <w:color w:val="auto"/>
        </w:rPr>
      </w:pPr>
    </w:p>
    <w:p>
      <w:pPr>
        <w:ind w:left="460"/>
        <w:spacing w:after="0"/>
        <w:tabs>
          <w:tab w:leader="none" w:pos="7020" w:val="left"/>
        </w:tabs>
        <w:rPr>
          <w:sz w:val="20"/>
          <w:szCs w:val="20"/>
          <w:color w:val="auto"/>
        </w:rPr>
      </w:pPr>
      <w:r>
        <w:rPr>
          <w:rFonts w:ascii="Arial" w:cs="Arial" w:eastAsia="Arial" w:hAnsi="Arial"/>
          <w:sz w:val="17"/>
          <w:szCs w:val="17"/>
          <w:color w:val="auto"/>
        </w:rPr>
        <w:t>million</w:t>
      </w:r>
      <w:r>
        <w:rPr>
          <w:sz w:val="20"/>
          <w:szCs w:val="20"/>
          <w:color w:val="auto"/>
        </w:rPr>
        <w:tab/>
      </w:r>
      <w:r>
        <w:rPr>
          <w:rFonts w:ascii="Arial" w:cs="Arial" w:eastAsia="Arial" w:hAnsi="Arial"/>
          <w:sz w:val="17"/>
          <w:szCs w:val="17"/>
          <w:color w:val="auto"/>
        </w:rPr>
        <w:t>$</w:t>
      </w:r>
    </w:p>
    <w:p>
      <w:pPr>
        <w:spacing w:after="0" w:line="60" w:lineRule="exact"/>
        <w:rPr>
          <w:sz w:val="20"/>
          <w:szCs w:val="20"/>
          <w:color w:val="auto"/>
        </w:rPr>
      </w:pPr>
    </w:p>
    <w:p>
      <w:pPr>
        <w:ind w:left="460" w:right="240"/>
        <w:spacing w:after="0" w:line="273" w:lineRule="auto"/>
        <w:rPr>
          <w:sz w:val="20"/>
          <w:szCs w:val="20"/>
          <w:color w:val="auto"/>
        </w:rPr>
      </w:pPr>
      <w:r>
        <w:rPr>
          <w:rFonts w:ascii="Arial" w:cs="Arial" w:eastAsia="Arial" w:hAnsi="Arial"/>
          <w:sz w:val="18"/>
          <w:szCs w:val="18"/>
          <w:color w:val="auto"/>
        </w:rPr>
        <w:t>Accounts receivable, less allowance for doubtful accounts of $20.8 million, $21.8 million and $20.0 million</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Assets held for sale</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6" w:lineRule="exact"/>
        <w:rPr>
          <w:sz w:val="20"/>
          <w:szCs w:val="20"/>
          <w:color w:val="auto"/>
        </w:rPr>
      </w:pPr>
    </w:p>
    <w:p>
      <w:pPr>
        <w:ind w:left="20" w:right="240"/>
        <w:spacing w:after="0" w:line="273" w:lineRule="auto"/>
        <w:rPr>
          <w:sz w:val="20"/>
          <w:szCs w:val="20"/>
          <w:color w:val="auto"/>
        </w:rPr>
      </w:pPr>
      <w:r>
        <w:rPr>
          <w:rFonts w:ascii="Arial" w:cs="Arial" w:eastAsia="Arial" w:hAnsi="Arial"/>
          <w:sz w:val="18"/>
          <w:szCs w:val="18"/>
          <w:color w:val="auto"/>
        </w:rPr>
        <w:t>Property, plant and equipment, less accumulated depreciation of $603.3 million, $640.3 million and $654.5 million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w:t>
      </w:r>
    </w:p>
    <w:p>
      <w:pPr>
        <w:spacing w:after="0" w:line="35" w:lineRule="exact"/>
        <w:rPr>
          <w:sz w:val="20"/>
          <w:szCs w:val="20"/>
          <w:color w:val="auto"/>
        </w:rPr>
      </w:pPr>
    </w:p>
    <w:p>
      <w:pPr>
        <w:ind w:left="720" w:right="500" w:hanging="278"/>
        <w:spacing w:after="0" w:line="273" w:lineRule="auto"/>
        <w:rPr>
          <w:sz w:val="20"/>
          <w:szCs w:val="20"/>
          <w:color w:val="auto"/>
        </w:rPr>
      </w:pPr>
      <w:r>
        <w:rPr>
          <w:rFonts w:ascii="Arial" w:cs="Arial" w:eastAsia="Arial" w:hAnsi="Arial"/>
          <w:sz w:val="18"/>
          <w:szCs w:val="18"/>
          <w:color w:val="auto"/>
        </w:rPr>
        <w:t>Other intangible assets, net of accumulated amortization of $1,229.3 million, $1,094.6 million and $1,137.2 million</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185.5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551.6</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513.1</w:t>
            </w:r>
          </w:p>
        </w:tc>
      </w:tr>
      <w:tr>
        <w:trPr>
          <w:trHeight w:val="485"/>
        </w:trPr>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1,102.0</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1,188.8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1,132.4</w:t>
            </w:r>
          </w:p>
        </w:tc>
      </w:tr>
      <w:tr>
        <w:trPr>
          <w:trHeight w:val="23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617.7</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676.8</w:t>
            </w:r>
          </w:p>
        </w:tc>
      </w:tr>
      <w:tr>
        <w:trPr>
          <w:trHeight w:val="23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286.2</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676.8</w:t>
            </w:r>
          </w:p>
        </w:tc>
      </w:tr>
      <w:tr>
        <w:trPr>
          <w:trHeight w:val="270"/>
        </w:trPr>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1,048.7</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3,240.1</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2,999.1</w:t>
            </w:r>
          </w:p>
        </w:tc>
      </w:tr>
      <w:tr>
        <w:trPr>
          <w:trHeight w:val="485"/>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474.6</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w:t>
            </w:r>
          </w:p>
        </w:tc>
      </w:tr>
      <w:tr>
        <w:trPr>
          <w:trHeight w:val="439"/>
        </w:trPr>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3,238.8</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3,469.8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3,470.1</w:t>
            </w:r>
          </w:p>
        </w:tc>
      </w:tr>
      <w:tr>
        <w:trPr>
          <w:trHeight w:val="485"/>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655.1</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1,079.7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814.6</w:t>
            </w:r>
          </w:p>
        </w:tc>
      </w:tr>
      <w:tr>
        <w:trPr>
          <w:trHeight w:val="23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731.6</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1,404.3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-745490</wp:posOffset>
            </wp:positionV>
            <wp:extent cx="8483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-1207770</wp:posOffset>
            </wp:positionV>
            <wp:extent cx="8483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140" w:space="620"/>
            <w:col w:w="3480"/>
          </w:cols>
          <w:pgMar w:left="320" w:top="1066"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0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other assets</w:t>
            </w: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4,625.5</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5,953.8</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5,874.0</w:t>
            </w:r>
          </w:p>
        </w:tc>
      </w:tr>
      <w:tr>
        <w:trPr>
          <w:trHeight w:val="248"/>
        </w:trPr>
        <w:tc>
          <w:tcPr>
            <w:tcW w:w="70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8"/>
          <w:szCs w:val="18"/>
          <w:b w:val="1"/>
          <w:bCs w:val="1"/>
          <w:u w:val="single" w:color="auto"/>
          <w:color w:val="auto"/>
        </w:rPr>
        <w:t>LIABILITIES, NONCONTROLLING INTERESTS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Short-term borrowings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Current portion of long-term debt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Accrued liabilities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Liabilities held for sale</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ind w:left="68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142.4</w:t>
            </w:r>
          </w:p>
        </w:tc>
      </w:tr>
      <w:tr>
        <w:trPr>
          <w:trHeight w:val="270"/>
        </w:trPr>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70"/>
        </w:trPr>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427.3</w:t>
            </w:r>
          </w:p>
        </w:tc>
      </w:tr>
      <w:tr>
        <w:trPr>
          <w:trHeight w:val="270"/>
        </w:trPr>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985.4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1,537.5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1,506.8</w:t>
            </w:r>
          </w:p>
        </w:tc>
      </w:tr>
      <w:tr>
        <w:trPr>
          <w:trHeight w:val="270"/>
        </w:trPr>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607.4</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2,189.7</w:t>
            </w:r>
          </w:p>
        </w:tc>
      </w:tr>
      <w:tr>
        <w:trPr>
          <w:trHeight w:val="270"/>
        </w:trPr>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3,654.6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3,725.1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3,711.2</w:t>
            </w:r>
          </w:p>
        </w:tc>
      </w:tr>
      <w:tr>
        <w:trPr>
          <w:trHeight w:val="270"/>
        </w:trPr>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-1199515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-856615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-513715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-170815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300" w:space="720"/>
            <w:col w:w="4220"/>
          </w:cols>
          <w:pgMar w:left="320" w:top="1066"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6,117.0</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6,627.1</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6,434.0</w:t>
            </w: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4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3" w:lineRule="exact"/>
        <w:rPr>
          <w:sz w:val="20"/>
          <w:szCs w:val="20"/>
          <w:color w:val="auto"/>
        </w:rPr>
      </w:pPr>
    </w:p>
    <w:p>
      <w:pPr>
        <w:sectPr>
          <w:pgSz w:w="11900" w:h="16838" w:orient="portrait"/>
          <w:cols w:equalWidth="0" w:num="1">
            <w:col w:w="11240"/>
          </w:cols>
          <w:pgMar w:left="320" w:top="1066"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Preference stock of $2.50 par value. Authorized 5,000,000 shares; none issued</w:t>
      </w:r>
    </w:p>
    <w:p>
      <w:pPr>
        <w:spacing w:after="0" w:line="75" w:lineRule="exact"/>
        <w:rPr>
          <w:sz w:val="20"/>
          <w:szCs w:val="20"/>
          <w:color w:val="auto"/>
        </w:rPr>
      </w:pPr>
    </w:p>
    <w:p>
      <w:pPr>
        <w:ind w:left="720" w:right="300" w:hanging="323"/>
        <w:spacing w:after="0" w:line="316" w:lineRule="auto"/>
        <w:rPr>
          <w:sz w:val="20"/>
          <w:szCs w:val="20"/>
          <w:color w:val="auto"/>
        </w:rPr>
      </w:pPr>
      <w:r>
        <w:rPr>
          <w:rFonts w:ascii="Arial" w:cs="Arial" w:eastAsia="Arial" w:hAnsi="Arial"/>
          <w:sz w:val="16"/>
          <w:szCs w:val="16"/>
          <w:color w:val="auto"/>
        </w:rPr>
        <w:t>Common stock of $0.50 par value. Authorized 600,000,000 shares; issued 220,286,736 shares at October 1, 2023, September 25, 2022, and December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Accumulated other comprehensive loss</w:t>
      </w:r>
    </w:p>
    <w:p>
      <w:pPr>
        <w:spacing w:after="0" w:line="63" w:lineRule="exact"/>
        <w:rPr>
          <w:sz w:val="20"/>
          <w:szCs w:val="20"/>
          <w:color w:val="auto"/>
        </w:rPr>
      </w:pPr>
    </w:p>
    <w:p>
      <w:pPr>
        <w:ind w:left="720" w:right="600" w:hanging="323"/>
        <w:spacing w:after="0" w:line="316" w:lineRule="auto"/>
        <w:rPr>
          <w:sz w:val="20"/>
          <w:szCs w:val="20"/>
          <w:color w:val="auto"/>
        </w:rPr>
      </w:pPr>
      <w:r>
        <w:rPr>
          <w:rFonts w:ascii="Arial" w:cs="Arial" w:eastAsia="Arial" w:hAnsi="Arial"/>
          <w:sz w:val="16"/>
          <w:szCs w:val="16"/>
          <w:color w:val="auto"/>
        </w:rPr>
        <w:t>Treasury stock, at cost; 81,541,637 shares at October 1, 2023; 82,178,615 shares at September 25, 2022; and 82,106,383 shares at December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440"/>
        <w:spacing w:after="0"/>
        <w:tabs>
          <w:tab w:leader="none" w:pos="1860" w:val="left"/>
          <w:tab w:leader="none" w:pos="3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ind w:left="220"/>
        <w:spacing w:after="0"/>
        <w:tabs>
          <w:tab w:leader="none" w:pos="1640" w:val="left"/>
          <w:tab w:leader="none" w:pos="308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8"/>
          <w:szCs w:val="18"/>
          <w:color w:val="auto"/>
        </w:rPr>
        <w:t>110.1</w:t>
      </w:r>
      <w:r>
        <w:rPr>
          <w:sz w:val="20"/>
          <w:szCs w:val="20"/>
          <w:color w:val="auto"/>
        </w:rPr>
        <w:tab/>
      </w:r>
      <w:r>
        <w:rPr>
          <w:rFonts w:ascii="Arial" w:cs="Arial" w:eastAsia="Arial" w:hAnsi="Arial"/>
          <w:sz w:val="15"/>
          <w:szCs w:val="15"/>
          <w:color w:val="auto"/>
        </w:rPr>
        <w:t>110.1</w:t>
      </w:r>
    </w:p>
    <w:p>
      <w:pPr>
        <w:spacing w:after="0" w:line="63" w:lineRule="exact"/>
        <w:rPr>
          <w:sz w:val="20"/>
          <w:szCs w:val="20"/>
          <w:color w:val="auto"/>
        </w:rPr>
      </w:pPr>
    </w:p>
    <w:p>
      <w:pPr>
        <w:ind w:left="80"/>
        <w:spacing w:after="0"/>
        <w:tabs>
          <w:tab w:leader="none" w:pos="1500" w:val="left"/>
          <w:tab w:leader="none" w:pos="2920" w:val="left"/>
        </w:tabs>
        <w:rPr>
          <w:sz w:val="20"/>
          <w:szCs w:val="20"/>
          <w:color w:val="auto"/>
        </w:rPr>
      </w:pPr>
      <w:r>
        <w:rPr>
          <w:rFonts w:ascii="Arial" w:cs="Arial" w:eastAsia="Arial" w:hAnsi="Arial"/>
          <w:sz w:val="18"/>
          <w:szCs w:val="18"/>
          <w:color w:val="auto"/>
        </w:rPr>
        <w:t>2,574.1</w:t>
      </w:r>
      <w:r>
        <w:rPr>
          <w:sz w:val="20"/>
          <w:szCs w:val="20"/>
          <w:color w:val="auto"/>
        </w:rPr>
        <w:tab/>
      </w:r>
      <w:r>
        <w:rPr>
          <w:rFonts w:ascii="Arial" w:cs="Arial" w:eastAsia="Arial" w:hAnsi="Arial"/>
          <w:sz w:val="18"/>
          <w:szCs w:val="18"/>
          <w:color w:val="auto"/>
        </w:rPr>
        <w:t>2,530.1</w:t>
      </w:r>
      <w:r>
        <w:rPr>
          <w:sz w:val="20"/>
          <w:szCs w:val="20"/>
          <w:color w:val="auto"/>
        </w:rPr>
        <w:tab/>
      </w:r>
      <w:r>
        <w:rPr>
          <w:rFonts w:ascii="Arial" w:cs="Arial" w:eastAsia="Arial" w:hAnsi="Arial"/>
          <w:sz w:val="16"/>
          <w:szCs w:val="16"/>
          <w:color w:val="auto"/>
        </w:rPr>
        <w:t>2,540.6</w:t>
      </w:r>
    </w:p>
    <w:p>
      <w:pPr>
        <w:spacing w:after="0" w:line="63" w:lineRule="exact"/>
        <w:rPr>
          <w:sz w:val="20"/>
          <w:szCs w:val="20"/>
          <w:color w:val="auto"/>
        </w:rPr>
      </w:pPr>
    </w:p>
    <w:p>
      <w:pPr>
        <w:ind w:left="80"/>
        <w:spacing w:after="0"/>
        <w:tabs>
          <w:tab w:leader="none" w:pos="1500" w:val="left"/>
          <w:tab w:leader="none" w:pos="2920" w:val="left"/>
        </w:tabs>
        <w:rPr>
          <w:sz w:val="20"/>
          <w:szCs w:val="20"/>
          <w:color w:val="auto"/>
        </w:rPr>
      </w:pPr>
      <w:r>
        <w:rPr>
          <w:rFonts w:ascii="Arial" w:cs="Arial" w:eastAsia="Arial" w:hAnsi="Arial"/>
          <w:sz w:val="18"/>
          <w:szCs w:val="18"/>
          <w:color w:val="auto"/>
        </w:rPr>
        <w:t>3,348.3</w:t>
      </w:r>
      <w:r>
        <w:rPr>
          <w:sz w:val="20"/>
          <w:szCs w:val="20"/>
          <w:color w:val="auto"/>
        </w:rPr>
        <w:tab/>
      </w:r>
      <w:r>
        <w:rPr>
          <w:rFonts w:ascii="Arial" w:cs="Arial" w:eastAsia="Arial" w:hAnsi="Arial"/>
          <w:sz w:val="18"/>
          <w:szCs w:val="18"/>
          <w:color w:val="auto"/>
        </w:rPr>
        <w:t>4,297.8</w:t>
      </w:r>
      <w:r>
        <w:rPr>
          <w:sz w:val="20"/>
          <w:szCs w:val="20"/>
          <w:color w:val="auto"/>
        </w:rPr>
        <w:tab/>
      </w:r>
      <w:r>
        <w:rPr>
          <w:rFonts w:ascii="Arial" w:cs="Arial" w:eastAsia="Arial" w:hAnsi="Arial"/>
          <w:sz w:val="16"/>
          <w:szCs w:val="16"/>
          <w:color w:val="auto"/>
        </w:rPr>
        <w:t>4,071.4</w:t>
      </w:r>
    </w:p>
    <w:p>
      <w:pPr>
        <w:spacing w:after="0" w:line="63" w:lineRule="exact"/>
        <w:rPr>
          <w:sz w:val="20"/>
          <w:szCs w:val="20"/>
          <w:color w:val="auto"/>
        </w:rPr>
      </w:pPr>
    </w:p>
    <w:p>
      <w:pPr>
        <w:ind w:left="140"/>
        <w:spacing w:after="0"/>
        <w:tabs>
          <w:tab w:leader="none" w:pos="1560" w:val="left"/>
          <w:tab w:leader="none" w:pos="2980" w:val="left"/>
        </w:tabs>
        <w:rPr>
          <w:sz w:val="20"/>
          <w:szCs w:val="20"/>
          <w:color w:val="auto"/>
        </w:rPr>
      </w:pPr>
      <w:r>
        <w:rPr>
          <w:rFonts w:ascii="Arial" w:cs="Arial" w:eastAsia="Arial" w:hAnsi="Arial"/>
          <w:sz w:val="18"/>
          <w:szCs w:val="18"/>
          <w:color w:val="auto"/>
        </w:rPr>
        <w:t>(208.4)</w:t>
      </w:r>
      <w:r>
        <w:rPr>
          <w:sz w:val="20"/>
          <w:szCs w:val="20"/>
          <w:color w:val="auto"/>
        </w:rPr>
        <w:tab/>
      </w:r>
      <w:r>
        <w:rPr>
          <w:rFonts w:ascii="Arial" w:cs="Arial" w:eastAsia="Arial" w:hAnsi="Arial"/>
          <w:sz w:val="18"/>
          <w:szCs w:val="18"/>
          <w:color w:val="auto"/>
        </w:rPr>
        <w:t>(324.9)</w:t>
      </w:r>
      <w:r>
        <w:rPr>
          <w:sz w:val="20"/>
          <w:szCs w:val="20"/>
          <w:color w:val="auto"/>
        </w:rPr>
        <w:tab/>
      </w:r>
      <w:r>
        <w:rPr>
          <w:rFonts w:ascii="Arial" w:cs="Arial" w:eastAsia="Arial" w:hAnsi="Arial"/>
          <w:sz w:val="17"/>
          <w:szCs w:val="17"/>
          <w:color w:val="auto"/>
        </w:rPr>
        <w:t>(254.9)</w:t>
      </w:r>
    </w:p>
    <w:p>
      <w:pPr>
        <w:spacing w:after="0" w:line="279" w:lineRule="exact"/>
        <w:rPr>
          <w:sz w:val="20"/>
          <w:szCs w:val="20"/>
          <w:color w:val="auto"/>
        </w:rPr>
      </w:pPr>
    </w:p>
    <w:p>
      <w:pPr>
        <w:spacing w:after="0"/>
        <w:tabs>
          <w:tab w:leader="none" w:pos="1420" w:val="left"/>
          <w:tab w:leader="none" w:pos="2860" w:val="left"/>
        </w:tabs>
        <w:rPr>
          <w:sz w:val="20"/>
          <w:szCs w:val="20"/>
          <w:color w:val="auto"/>
        </w:rPr>
      </w:pPr>
      <w:r>
        <w:rPr>
          <w:rFonts w:ascii="Arial" w:cs="Arial" w:eastAsia="Arial" w:hAnsi="Arial"/>
          <w:sz w:val="18"/>
          <w:szCs w:val="18"/>
          <w:color w:val="auto"/>
        </w:rPr>
        <w:t>(3,626.3)</w:t>
      </w:r>
      <w:r>
        <w:rPr>
          <w:sz w:val="20"/>
          <w:szCs w:val="20"/>
          <w:color w:val="auto"/>
        </w:rPr>
        <w:tab/>
      </w:r>
      <w:r>
        <w:rPr>
          <w:rFonts w:ascii="Arial" w:cs="Arial" w:eastAsia="Arial" w:hAnsi="Arial"/>
          <w:sz w:val="18"/>
          <w:szCs w:val="18"/>
          <w:color w:val="auto"/>
        </w:rPr>
        <w:t>(3,637.1)</w:t>
      </w:r>
      <w:r>
        <w:rPr>
          <w:sz w:val="20"/>
          <w:szCs w:val="20"/>
          <w:color w:val="auto"/>
        </w:rPr>
        <w:tab/>
      </w:r>
      <w:r>
        <w:rPr>
          <w:rFonts w:ascii="Arial" w:cs="Arial" w:eastAsia="Arial" w:hAnsi="Arial"/>
          <w:sz w:val="16"/>
          <w:szCs w:val="16"/>
          <w:color w:val="auto"/>
        </w:rPr>
        <w:t>(3,634.4)</w:t>
      </w:r>
    </w:p>
    <w:p>
      <w:pPr>
        <w:spacing w:after="0" w:line="63" w:lineRule="exact"/>
        <w:rPr>
          <w:sz w:val="20"/>
          <w:szCs w:val="20"/>
          <w:color w:val="auto"/>
        </w:rPr>
      </w:pPr>
    </w:p>
    <w:p>
      <w:pPr>
        <w:ind w:left="300"/>
        <w:spacing w:after="0"/>
        <w:tabs>
          <w:tab w:leader="none" w:pos="1720" w:val="left"/>
          <w:tab w:leader="none" w:pos="316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8"/>
          <w:szCs w:val="18"/>
          <w:color w:val="auto"/>
        </w:rPr>
        <w:t>23.0</w:t>
      </w:r>
      <w:r>
        <w:rPr>
          <w:sz w:val="20"/>
          <w:szCs w:val="20"/>
          <w:color w:val="auto"/>
        </w:rPr>
        <w:tab/>
      </w:r>
      <w:r>
        <w:rPr>
          <w:rFonts w:ascii="Arial" w:cs="Arial" w:eastAsia="Arial" w:hAnsi="Arial"/>
          <w:sz w:val="15"/>
          <w:szCs w:val="15"/>
          <w:color w:val="auto"/>
        </w:rPr>
        <w:t>29.1</w:t>
      </w:r>
    </w:p>
    <w:p>
      <w:pPr>
        <w:spacing w:after="0" w:line="23" w:lineRule="exact"/>
        <w:rPr>
          <w:sz w:val="20"/>
          <w:szCs w:val="20"/>
          <w:color w:val="auto"/>
        </w:rPr>
      </w:pPr>
    </w:p>
    <w:p>
      <w:pPr>
        <w:sectPr>
          <w:pgSz w:w="11900" w:h="16838" w:orient="portrait"/>
          <w:cols w:equalWidth="0" w:num="2">
            <w:col w:w="6960" w:space="720"/>
            <w:col w:w="3560"/>
          </w:cols>
          <w:pgMar w:left="320" w:top="1066"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shareholders' equity</w:t>
            </w:r>
          </w:p>
        </w:tc>
        <w:tc>
          <w:tcPr>
            <w:tcW w:w="4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2,223.2</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2,999.0</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2,861.9</w:t>
            </w:r>
          </w:p>
        </w:tc>
      </w:tr>
      <w:tr>
        <w:trPr>
          <w:trHeight w:val="248"/>
        </w:trPr>
        <w:tc>
          <w:tcPr>
            <w:tcW w:w="70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liabilities, noncontrolling interests and shareholders'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1">
            <w:col w:w="11240"/>
          </w:cols>
          <w:pgMar w:left="320" w:top="1066" w:right="339" w:bottom="1440" w:gutter="0" w:footer="0" w:header="0"/>
          <w:type w:val="continuous"/>
        </w:sectPr>
      </w:pPr>
    </w:p>
    <w:p>
      <w:pPr>
        <w:spacing w:after="0"/>
        <w:rPr>
          <w:sz w:val="20"/>
          <w:szCs w:val="20"/>
          <w:color w:val="auto"/>
        </w:rPr>
      </w:pPr>
      <w:r>
        <w:rPr>
          <w:rFonts w:ascii="Arial" w:cs="Arial" w:eastAsia="Arial" w:hAnsi="Arial"/>
          <w:sz w:val="16"/>
          <w:szCs w:val="16"/>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68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6"/>
                <w:szCs w:val="16"/>
                <w:color w:val="auto"/>
              </w:rPr>
            </w:pPr>
          </w:p>
        </w:tc>
        <w:tc>
          <w:tcPr>
            <w:tcW w:w="25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October 1,</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w w:val="96"/>
              </w:rPr>
              <w:t>September 25,</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October 1,</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w w:val="96"/>
              </w:rPr>
              <w:t>September 25,</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0" w:type="dxa"/>
            <w:vAlign w:val="bottom"/>
          </w:tcPr>
          <w:p>
            <w:pPr>
              <w:spacing w:after="0"/>
              <w:rPr>
                <w:sz w:val="1"/>
                <w:szCs w:val="1"/>
                <w:color w:val="auto"/>
              </w:rPr>
            </w:pPr>
          </w:p>
        </w:tc>
      </w:tr>
      <w:tr>
        <w:trPr>
          <w:trHeight w:val="229"/>
        </w:trPr>
        <w:tc>
          <w:tcPr>
            <w:tcW w:w="5580" w:type="dxa"/>
            <w:vAlign w:val="bottom"/>
          </w:tcPr>
          <w:p>
            <w:pPr>
              <w:ind w:left="800"/>
              <w:spacing w:after="0"/>
              <w:rPr>
                <w:sz w:val="20"/>
                <w:szCs w:val="20"/>
                <w:color w:val="auto"/>
              </w:rPr>
            </w:pPr>
            <w:r>
              <w:rPr>
                <w:rFonts w:ascii="Arial" w:cs="Arial" w:eastAsia="Arial" w:hAnsi="Arial"/>
                <w:sz w:val="18"/>
                <w:szCs w:val="18"/>
                <w:color w:val="auto"/>
              </w:rPr>
              <w:t>Program cost amortization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Royalties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29"/>
        </w:trPr>
        <w:tc>
          <w:tcPr>
            <w:tcW w:w="5580" w:type="dxa"/>
            <w:vAlign w:val="bottom"/>
          </w:tcPr>
          <w:p>
            <w:pPr>
              <w:ind w:left="800"/>
              <w:spacing w:after="0"/>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30"/>
        </w:trPr>
        <w:tc>
          <w:tcPr>
            <w:tcW w:w="5580" w:type="dxa"/>
            <w:vAlign w:val="bottom"/>
          </w:tcPr>
          <w:p>
            <w:pPr>
              <w:ind w:left="80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Selling, distribution and administration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229"/>
        </w:trPr>
        <w:tc>
          <w:tcPr>
            <w:tcW w:w="5580" w:type="dxa"/>
            <w:vAlign w:val="bottom"/>
          </w:tcPr>
          <w:p>
            <w:pPr>
              <w:ind w:left="800"/>
              <w:spacing w:after="0"/>
              <w:rPr>
                <w:sz w:val="20"/>
                <w:szCs w:val="20"/>
                <w:color w:val="auto"/>
              </w:rPr>
            </w:pPr>
            <w:r>
              <w:rPr>
                <w:rFonts w:ascii="Arial" w:cs="Arial" w:eastAsia="Arial" w:hAnsi="Arial"/>
                <w:sz w:val="18"/>
                <w:szCs w:val="18"/>
                <w:color w:val="auto"/>
              </w:rPr>
              <w:t>Loss on assets held for sale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Impairment of goodwill</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1,481.6</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3,644.8</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30"/>
        </w:trPr>
        <w:tc>
          <w:tcPr>
            <w:tcW w:w="5580" w:type="dxa"/>
            <w:vAlign w:val="bottom"/>
          </w:tcPr>
          <w:p>
            <w:pPr>
              <w:ind w:left="80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Total non-operating expense,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(loss) attributable to noncontrolling interests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 attributable to Hasbro,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per common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8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tcPr>
          <w:p>
            <w:pPr>
              <w:ind w:left="20"/>
              <w:spacing w:after="0" w:line="203" w:lineRule="exact"/>
              <w:rPr>
                <w:sz w:val="20"/>
                <w:szCs w:val="20"/>
                <w:color w:val="auto"/>
              </w:rPr>
            </w:pPr>
            <w:r>
              <w:rPr>
                <w:rFonts w:ascii="Arial" w:cs="Arial" w:eastAsia="Arial" w:hAnsi="Arial"/>
                <w:sz w:val="18"/>
                <w:szCs w:val="18"/>
                <w:color w:val="auto"/>
              </w:rPr>
              <w:t>Cash dividends declared per common share</w:t>
            </w: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
        </w:trPr>
        <w:tc>
          <w:tcPr>
            <w:tcW w:w="5580" w:type="dxa"/>
            <w:vAlign w:val="bottom"/>
            <w:vMerge w:val="restart"/>
          </w:tcPr>
          <w:p>
            <w:pPr>
              <w:spacing w:after="0"/>
              <w:rPr>
                <w:sz w:val="20"/>
                <w:szCs w:val="20"/>
                <w:color w:val="auto"/>
              </w:rPr>
            </w:pPr>
            <w:r>
              <w:rPr>
                <w:rFonts w:ascii="Arial" w:cs="Arial" w:eastAsia="Arial" w:hAnsi="Arial"/>
                <w:sz w:val="18"/>
                <w:szCs w:val="18"/>
                <w:color w:val="auto"/>
                <w:w w:val="94"/>
              </w:rPr>
              <w:t>See accompanying condensed notes to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5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58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6"/>
                <w:szCs w:val="16"/>
                <w:color w:val="auto"/>
              </w:rPr>
            </w:pPr>
          </w:p>
        </w:tc>
        <w:tc>
          <w:tcPr>
            <w:tcW w:w="23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8"/>
        </w:trPr>
        <w:tc>
          <w:tcPr>
            <w:tcW w:w="6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October 1,</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w w:val="93"/>
              </w:rPr>
              <w:t>September 25,</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October 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w w:val="91"/>
              </w:rPr>
              <w:t>September 25,</w:t>
            </w:r>
          </w:p>
        </w:tc>
      </w:tr>
      <w:tr>
        <w:trPr>
          <w:trHeight w:val="196"/>
        </w:trPr>
        <w:tc>
          <w:tcPr>
            <w:tcW w:w="6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w:t>
            </w: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color w:val="auto"/>
              </w:rPr>
              <w:t>Other comprehensive earnings (loss):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currency translation adjustments,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r>
      <w:tr>
        <w:trPr>
          <w:trHeight w:val="229"/>
        </w:trPr>
        <w:tc>
          <w:tcPr>
            <w:tcW w:w="6120" w:type="dxa"/>
            <w:vAlign w:val="bottom"/>
          </w:tcPr>
          <w:p>
            <w:pPr>
              <w:ind w:left="600"/>
              <w:spacing w:after="0"/>
              <w:rPr>
                <w:sz w:val="20"/>
                <w:szCs w:val="20"/>
                <w:color w:val="auto"/>
              </w:rPr>
            </w:pPr>
            <w:r>
              <w:rPr>
                <w:rFonts w:ascii="Arial" w:cs="Arial" w:eastAsia="Arial" w:hAnsi="Arial"/>
                <w:sz w:val="18"/>
                <w:szCs w:val="18"/>
                <w:color w:val="auto"/>
              </w:rPr>
              <w:t>Unrealized holding losses on available-for-sale securities, net of tax</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6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gains (losses) on cash flow hedging activities,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6120" w:type="dxa"/>
            <w:vAlign w:val="bottom"/>
          </w:tcPr>
          <w:p>
            <w:pPr>
              <w:ind w:left="640"/>
              <w:spacing w:after="0"/>
              <w:rPr>
                <w:sz w:val="20"/>
                <w:szCs w:val="20"/>
                <w:color w:val="auto"/>
              </w:rPr>
            </w:pPr>
            <w:r>
              <w:rPr>
                <w:rFonts w:ascii="Arial" w:cs="Arial" w:eastAsia="Arial" w:hAnsi="Arial"/>
                <w:sz w:val="18"/>
                <w:szCs w:val="18"/>
                <w:color w:val="auto"/>
              </w:rPr>
              <w:t>Reclassifications to earnings, net of tax:</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1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Net losses (gains) on cash flow hedging activities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6120" w:type="dxa"/>
            <w:vAlign w:val="bottom"/>
          </w:tcPr>
          <w:p>
            <w:pPr>
              <w:ind w:left="1160"/>
              <w:spacing w:after="0"/>
              <w:rPr>
                <w:sz w:val="20"/>
                <w:szCs w:val="20"/>
                <w:color w:val="auto"/>
              </w:rPr>
            </w:pPr>
            <w:r>
              <w:rPr>
                <w:rFonts w:ascii="Arial" w:cs="Arial" w:eastAsia="Arial" w:hAnsi="Arial"/>
                <w:sz w:val="18"/>
                <w:szCs w:val="18"/>
                <w:color w:val="auto"/>
                <w:w w:val="93"/>
              </w:rPr>
              <w:t>Amortization of unrecognized pension and postretirement amounts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earnings (loss), net of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2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comprehensive earnings (loss) attributable to noncontrolling interests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earnings (loss) attributable to Hasbro, Inc.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ind w:right="-239"/>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9"/>
        </w:trPr>
        <w:tc>
          <w:tcPr>
            <w:tcW w:w="7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October 1,</w:t>
            </w:r>
          </w:p>
        </w:tc>
        <w:tc>
          <w:tcPr>
            <w:tcW w:w="160" w:type="dxa"/>
            <w:vAlign w:val="bottom"/>
          </w:tcPr>
          <w:p>
            <w:pPr>
              <w:spacing w:after="0"/>
              <w:rPr>
                <w:sz w:val="11"/>
                <w:szCs w:val="11"/>
                <w:color w:val="auto"/>
              </w:rPr>
            </w:pPr>
          </w:p>
        </w:tc>
        <w:tc>
          <w:tcPr>
            <w:tcW w:w="1160" w:type="dxa"/>
            <w:vAlign w:val="bottom"/>
          </w:tcPr>
          <w:p>
            <w:pPr>
              <w:jc w:val="right"/>
              <w:ind w:right="151"/>
              <w:spacing w:after="0" w:line="129" w:lineRule="exact"/>
              <w:rPr>
                <w:sz w:val="20"/>
                <w:szCs w:val="20"/>
                <w:color w:val="auto"/>
              </w:rPr>
            </w:pPr>
            <w:r>
              <w:rPr>
                <w:rFonts w:ascii="Arial" w:cs="Arial" w:eastAsia="Arial" w:hAnsi="Arial"/>
                <w:sz w:val="14"/>
                <w:szCs w:val="14"/>
                <w:b w:val="1"/>
                <w:bCs w:val="1"/>
                <w:color w:val="auto"/>
                <w:w w:val="93"/>
              </w:rPr>
              <w:t>September 25,</w:t>
            </w:r>
          </w:p>
        </w:tc>
      </w:tr>
      <w:tr>
        <w:trPr>
          <w:trHeight w:val="196"/>
        </w:trPr>
        <w:tc>
          <w:tcPr>
            <w:tcW w:w="79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(427.0)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331.6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980" w:type="dxa"/>
            <w:vAlign w:val="bottom"/>
          </w:tcPr>
          <w:p>
            <w:pPr>
              <w:ind w:left="540"/>
              <w:spacing w:after="0"/>
              <w:rPr>
                <w:sz w:val="20"/>
                <w:szCs w:val="20"/>
                <w:color w:val="auto"/>
              </w:rPr>
            </w:pPr>
            <w:r>
              <w:rPr>
                <w:rFonts w:ascii="Arial" w:cs="Arial" w:eastAsia="Arial" w:hAnsi="Arial"/>
                <w:sz w:val="18"/>
                <w:szCs w:val="18"/>
                <w:color w:val="auto"/>
              </w:rPr>
              <w:t>Depreciation of plant and equipment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Impairment of goodwill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Impairment of intangible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Loss on assets held for sale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Program cost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r>
      <w:tr>
        <w:trPr>
          <w:trHeight w:val="229"/>
        </w:trPr>
        <w:tc>
          <w:tcPr>
            <w:tcW w:w="7980" w:type="dxa"/>
            <w:vAlign w:val="bottom"/>
          </w:tcPr>
          <w:p>
            <w:pPr>
              <w:ind w:left="5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30"/>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29"/>
        </w:trPr>
        <w:tc>
          <w:tcPr>
            <w:tcW w:w="7980" w:type="dxa"/>
            <w:vAlign w:val="bottom"/>
          </w:tcPr>
          <w:p>
            <w:pPr>
              <w:ind w:left="540"/>
              <w:spacing w:after="0"/>
              <w:rPr>
                <w:sz w:val="20"/>
                <w:szCs w:val="20"/>
                <w:color w:val="auto"/>
              </w:rPr>
            </w:pPr>
            <w:r>
              <w:rPr>
                <w:rFonts w:ascii="Arial" w:cs="Arial" w:eastAsia="Arial" w:hAnsi="Arial"/>
                <w:sz w:val="18"/>
                <w:szCs w:val="18"/>
                <w:color w:val="auto"/>
              </w:rPr>
              <w:t>Other non-cash items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operating assets and liabilities net of acquired balances: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(Increase) decrease in accounts receivable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Decrease (increase) in inventories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Decrease in prepaid expenses and other current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Program spend,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r>
      <w:tr>
        <w:trPr>
          <w:trHeight w:val="229"/>
        </w:trPr>
        <w:tc>
          <w:tcPr>
            <w:tcW w:w="7980" w:type="dxa"/>
            <w:vAlign w:val="bottom"/>
          </w:tcPr>
          <w:p>
            <w:pPr>
              <w:ind w:left="540"/>
              <w:spacing w:after="0"/>
              <w:rPr>
                <w:sz w:val="20"/>
                <w:szCs w:val="20"/>
                <w:color w:val="auto"/>
              </w:rPr>
            </w:pPr>
            <w:r>
              <w:rPr>
                <w:rFonts w:ascii="Arial" w:cs="Arial" w:eastAsia="Arial" w:hAnsi="Arial"/>
                <w:sz w:val="18"/>
                <w:szCs w:val="18"/>
                <w:color w:val="auto"/>
              </w:rPr>
              <w:t>Decrease in accounts payable and accrued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 in net deemed repatriation tax</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79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79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(146.3)</w:t>
            </w: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798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Net cash utilized by investing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Proceeds from borrowings with maturity greater than three months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Repayments of borrowings with maturity greater than three months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Net proceeds from other short-term borrowings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121.6</w:t>
            </w: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Purchases of common stock</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Stock-based compensation transactions</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Payments related to tax withholding for share-based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798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Net cash utilized by financing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due to cash classified as held for sale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551.6</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16"/>
        </w:trPr>
        <w:tc>
          <w:tcPr>
            <w:tcW w:w="7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Cash paid during the period for: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980" w:type="dxa"/>
            <w:vAlign w:val="bottom"/>
          </w:tcPr>
          <w:p>
            <w:pPr>
              <w:ind w:left="980"/>
              <w:spacing w:after="0"/>
              <w:rPr>
                <w:sz w:val="20"/>
                <w:szCs w:val="20"/>
                <w:color w:val="auto"/>
              </w:rPr>
            </w:pPr>
            <w:r>
              <w:rPr>
                <w:rFonts w:ascii="Arial" w:cs="Arial" w:eastAsia="Arial" w:hAnsi="Arial"/>
                <w:sz w:val="18"/>
                <w:szCs w:val="18"/>
                <w:color w:val="auto"/>
              </w:rPr>
              <w:t>Interest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107.1</w:t>
            </w:r>
          </w:p>
        </w:tc>
      </w:tr>
      <w:tr>
        <w:trPr>
          <w:trHeight w:val="230"/>
        </w:trPr>
        <w:tc>
          <w:tcPr>
            <w:tcW w:w="79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86" w:right="5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October 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right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6"/>
              </w:rPr>
              <w:t>Total</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48"/>
              <w:spacing w:after="0" w:line="157" w:lineRule="exact"/>
              <w:rPr>
                <w:sz w:val="20"/>
                <w:szCs w:val="20"/>
                <w:color w:val="auto"/>
              </w:rPr>
            </w:pPr>
            <w:r>
              <w:rPr>
                <w:rFonts w:ascii="Arial" w:cs="Arial" w:eastAsia="Arial" w:hAnsi="Arial"/>
                <w:sz w:val="14"/>
                <w:szCs w:val="14"/>
                <w:color w:val="auto"/>
                <w:w w:val="88"/>
              </w:rPr>
              <w:t>Redeemable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Common</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Additional</w:t>
            </w:r>
          </w:p>
        </w:tc>
        <w:tc>
          <w:tcPr>
            <w:tcW w:w="11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Retained</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Accumulated Other</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Treasury</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Noncontrolling</w:t>
            </w: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color w:val="auto"/>
                <w:w w:val="90"/>
              </w:rPr>
              <w:t>Shareholders'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Paid-in Capital</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Earnings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Comprehensive Loss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2"/>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July 2, 2023</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2,554.6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2,470.2</w:t>
            </w:r>
          </w:p>
        </w:tc>
        <w:tc>
          <w:tcPr>
            <w:tcW w:w="1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rPr>
              <w:t>Net loss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(171.1)</w:t>
            </w:r>
          </w:p>
        </w:tc>
        <w:tc>
          <w:tcPr>
            <w:tcW w:w="100" w:type="dxa"/>
            <w:vAlign w:val="bottom"/>
          </w:tcPr>
          <w:p>
            <w:pPr>
              <w:spacing w:after="0"/>
              <w:rPr>
                <w:sz w:val="12"/>
                <w:szCs w:val="12"/>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(171.1)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140"/>
              <w:spacing w:after="0"/>
              <w:rPr>
                <w:sz w:val="20"/>
                <w:szCs w:val="20"/>
                <w:color w:val="auto"/>
              </w:rPr>
            </w:pPr>
            <w:r>
              <w:rPr>
                <w:rFonts w:ascii="Arial" w:cs="Arial" w:eastAsia="Arial" w:hAnsi="Arial"/>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Net earnings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rPr>
              <w:t>Other comprehensive</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14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w w:val="99"/>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14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rPr>
              <w:t>Distributions paid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140"/>
              <w:spacing w:after="0" w:line="149" w:lineRule="exact"/>
              <w:rPr>
                <w:sz w:val="20"/>
                <w:szCs w:val="20"/>
                <w:color w:val="auto"/>
              </w:rPr>
            </w:pPr>
            <w:r>
              <w:rPr>
                <w:rFonts w:ascii="Arial" w:cs="Arial" w:eastAsia="Arial" w:hAnsi="Arial"/>
                <w:sz w:val="14"/>
                <w:szCs w:val="14"/>
                <w:color w:val="auto"/>
              </w:rPr>
              <w:t>noncontrolling owners and</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140"/>
              <w:spacing w:after="0"/>
              <w:rPr>
                <w:sz w:val="20"/>
                <w:szCs w:val="20"/>
                <w:color w:val="auto"/>
              </w:rPr>
            </w:pPr>
            <w:r>
              <w:rPr>
                <w:rFonts w:ascii="Arial" w:cs="Arial" w:eastAsia="Arial" w:hAnsi="Arial"/>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October 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2,223.2</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September 25, 2022</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right w:val="single" w:sz="8" w:color="auto"/>
            </w:tcBorders>
            <w:gridSpan w:val="2"/>
          </w:tcPr>
          <w:p>
            <w:pPr>
              <w:jc w:val="center"/>
              <w:ind w:right="240"/>
              <w:spacing w:after="0" w:line="137" w:lineRule="exact"/>
              <w:rPr>
                <w:sz w:val="20"/>
                <w:szCs w:val="20"/>
                <w:color w:val="auto"/>
              </w:rPr>
            </w:pPr>
            <w:r>
              <w:rPr>
                <w:rFonts w:ascii="Arial" w:cs="Arial" w:eastAsia="Arial" w:hAnsi="Arial"/>
                <w:sz w:val="14"/>
                <w:szCs w:val="14"/>
                <w:color w:val="auto"/>
                <w:w w:val="96"/>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8"/>
              <w:spacing w:after="0" w:line="137" w:lineRule="exact"/>
              <w:rPr>
                <w:sz w:val="20"/>
                <w:szCs w:val="20"/>
                <w:color w:val="auto"/>
              </w:rPr>
            </w:pPr>
            <w:r>
              <w:rPr>
                <w:rFonts w:ascii="Arial" w:cs="Arial" w:eastAsia="Arial" w:hAnsi="Arial"/>
                <w:sz w:val="14"/>
                <w:szCs w:val="14"/>
                <w:color w:val="auto"/>
                <w:w w:val="88"/>
              </w:rPr>
              <w:t>Redeemable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Common</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Additional</w:t>
            </w:r>
          </w:p>
        </w:tc>
        <w:tc>
          <w:tcPr>
            <w:tcW w:w="11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Retained</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Accumulated Other</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Treasury</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Noncontrolling</w:t>
            </w: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color w:val="auto"/>
                <w:w w:val="90"/>
              </w:rPr>
              <w:t>Shareholders'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Paid-in Capital</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Earnings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Comprehensive Loss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2"/>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26, 2022</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(3,636.2)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3,012.8</w:t>
            </w:r>
          </w:p>
        </w:tc>
        <w:tc>
          <w:tcPr>
            <w:tcW w:w="1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3"/>
        </w:trPr>
        <w:tc>
          <w:tcPr>
            <w:tcW w:w="1840" w:type="dxa"/>
            <w:vAlign w:val="bottom"/>
          </w:tcPr>
          <w:p>
            <w:pPr>
              <w:ind w:left="220"/>
              <w:spacing w:after="0" w:line="143" w:lineRule="exact"/>
              <w:rPr>
                <w:sz w:val="20"/>
                <w:szCs w:val="20"/>
                <w:color w:val="auto"/>
              </w:rPr>
            </w:pPr>
            <w:r>
              <w:rPr>
                <w:rFonts w:ascii="Arial" w:cs="Arial" w:eastAsia="Arial" w:hAnsi="Arial"/>
                <w:sz w:val="14"/>
                <w:szCs w:val="14"/>
                <w:color w:val="auto"/>
                <w:w w:val="95"/>
              </w:rPr>
              <w:t>Net earnings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129.2</w:t>
            </w:r>
          </w:p>
        </w:tc>
        <w:tc>
          <w:tcPr>
            <w:tcW w:w="100" w:type="dxa"/>
            <w:vAlign w:val="bottom"/>
          </w:tcPr>
          <w:p>
            <w:pPr>
              <w:spacing w:after="0"/>
              <w:rPr>
                <w:sz w:val="12"/>
                <w:szCs w:val="12"/>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129.2</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220"/>
              <w:spacing w:after="0"/>
              <w:rPr>
                <w:sz w:val="20"/>
                <w:szCs w:val="20"/>
                <w:color w:val="auto"/>
              </w:rPr>
            </w:pPr>
            <w:r>
              <w:rPr>
                <w:rFonts w:ascii="Arial" w:cs="Arial" w:eastAsia="Arial" w:hAnsi="Arial"/>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220"/>
              <w:spacing w:after="0"/>
              <w:rPr>
                <w:sz w:val="20"/>
                <w:szCs w:val="20"/>
                <w:color w:val="auto"/>
              </w:rPr>
            </w:pPr>
            <w:r>
              <w:rPr>
                <w:rFonts w:ascii="Arial" w:cs="Arial" w:eastAsia="Arial" w:hAnsi="Arial"/>
                <w:sz w:val="14"/>
                <w:szCs w:val="14"/>
                <w:color w:val="auto"/>
                <w:w w:val="98"/>
              </w:rPr>
              <w:t>Other comprehensive loss</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w w:val="94"/>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transactions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Pr>
          <w:p>
            <w:pPr>
              <w:ind w:left="220"/>
              <w:spacing w:after="0" w:line="143" w:lineRule="exact"/>
              <w:rPr>
                <w:sz w:val="20"/>
                <w:szCs w:val="20"/>
                <w:color w:val="auto"/>
              </w:rPr>
            </w:pPr>
            <w:r>
              <w:rPr>
                <w:rFonts w:ascii="Arial" w:cs="Arial" w:eastAsia="Arial" w:hAnsi="Arial"/>
                <w:sz w:val="14"/>
                <w:szCs w:val="14"/>
                <w:color w:val="auto"/>
              </w:rPr>
              <w:t>Purchases of common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22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4"/>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expense</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220"/>
              <w:spacing w:after="0"/>
              <w:rPr>
                <w:sz w:val="20"/>
                <w:szCs w:val="20"/>
                <w:color w:val="auto"/>
              </w:rPr>
            </w:pPr>
            <w:r>
              <w:rPr>
                <w:rFonts w:ascii="Arial" w:cs="Arial" w:eastAsia="Arial" w:hAnsi="Arial"/>
                <w:sz w:val="14"/>
                <w:szCs w:val="14"/>
                <w:color w:val="auto"/>
              </w:rPr>
              <w:t>Dividends declared</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(96.6)</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Buyout of redeemable</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noncontrolling interest</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Pr>
          <w:p>
            <w:pPr>
              <w:ind w:left="220"/>
              <w:spacing w:after="0" w:line="143" w:lineRule="exact"/>
              <w:rPr>
                <w:sz w:val="20"/>
                <w:szCs w:val="20"/>
                <w:color w:val="auto"/>
              </w:rPr>
            </w:pPr>
            <w:r>
              <w:rPr>
                <w:rFonts w:ascii="Arial" w:cs="Arial" w:eastAsia="Arial" w:hAnsi="Arial"/>
                <w:sz w:val="14"/>
                <w:szCs w:val="14"/>
                <w:color w:val="auto"/>
              </w:rPr>
              <w:t>Distributions paid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220"/>
              <w:spacing w:after="0" w:line="149" w:lineRule="exact"/>
              <w:rPr>
                <w:sz w:val="20"/>
                <w:szCs w:val="20"/>
                <w:color w:val="auto"/>
              </w:rPr>
            </w:pPr>
            <w:r>
              <w:rPr>
                <w:rFonts w:ascii="Arial" w:cs="Arial" w:eastAsia="Arial" w:hAnsi="Arial"/>
                <w:sz w:val="14"/>
                <w:szCs w:val="14"/>
                <w:color w:val="auto"/>
                <w:w w:val="97"/>
              </w:rPr>
              <w:t>noncontrolling owners and</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220"/>
              <w:spacing w:after="0"/>
              <w:rPr>
                <w:sz w:val="20"/>
                <w:szCs w:val="20"/>
                <w:color w:val="auto"/>
              </w:rPr>
            </w:pPr>
            <w:r>
              <w:rPr>
                <w:rFonts w:ascii="Arial" w:cs="Arial" w:eastAsia="Arial" w:hAnsi="Arial"/>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Balance, September 25,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2,999.0</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6"/>
        </w:trPr>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Nine Months Ended October 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right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6"/>
              </w:rPr>
              <w:t>Total</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48"/>
              <w:spacing w:after="0" w:line="157" w:lineRule="exact"/>
              <w:rPr>
                <w:sz w:val="20"/>
                <w:szCs w:val="20"/>
                <w:color w:val="auto"/>
              </w:rPr>
            </w:pPr>
            <w:r>
              <w:rPr>
                <w:rFonts w:ascii="Arial" w:cs="Arial" w:eastAsia="Arial" w:hAnsi="Arial"/>
                <w:sz w:val="14"/>
                <w:szCs w:val="14"/>
                <w:color w:val="auto"/>
                <w:w w:val="88"/>
              </w:rPr>
              <w:t>Redeemable</w:t>
            </w: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91"/>
              </w:rPr>
              <w:t>Common</w:t>
            </w:r>
          </w:p>
        </w:tc>
        <w:tc>
          <w:tcPr>
            <w:tcW w:w="106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7"/>
              </w:rPr>
              <w:t>Additional</w:t>
            </w:r>
          </w:p>
        </w:tc>
        <w:tc>
          <w:tcPr>
            <w:tcW w:w="1120" w:type="dxa"/>
            <w:vAlign w:val="bottom"/>
            <w:gridSpan w:val="2"/>
          </w:tcPr>
          <w:p>
            <w:pPr>
              <w:ind w:left="260"/>
              <w:spacing w:after="0" w:line="141" w:lineRule="exact"/>
              <w:rPr>
                <w:sz w:val="20"/>
                <w:szCs w:val="20"/>
                <w:color w:val="auto"/>
              </w:rPr>
            </w:pPr>
            <w:r>
              <w:rPr>
                <w:rFonts w:ascii="Arial" w:cs="Arial" w:eastAsia="Arial" w:hAnsi="Arial"/>
                <w:sz w:val="14"/>
                <w:szCs w:val="14"/>
                <w:color w:val="auto"/>
              </w:rPr>
              <w:t>Retained</w:t>
            </w:r>
          </w:p>
        </w:tc>
        <w:tc>
          <w:tcPr>
            <w:tcW w:w="142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3"/>
              </w:rPr>
              <w:t>Accumulated Other</w:t>
            </w:r>
          </w:p>
        </w:tc>
        <w:tc>
          <w:tcPr>
            <w:tcW w:w="112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0"/>
              </w:rPr>
              <w:t>Treasury</w:t>
            </w:r>
          </w:p>
        </w:tc>
        <w:tc>
          <w:tcPr>
            <w:tcW w:w="130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8"/>
              </w:rPr>
              <w:t>Noncontrolling</w:t>
            </w: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1" w:lineRule="exact"/>
              <w:rPr>
                <w:sz w:val="20"/>
                <w:szCs w:val="20"/>
                <w:color w:val="auto"/>
              </w:rPr>
            </w:pPr>
            <w:r>
              <w:rPr>
                <w:rFonts w:ascii="Arial" w:cs="Arial" w:eastAsia="Arial" w:hAnsi="Arial"/>
                <w:sz w:val="14"/>
                <w:szCs w:val="14"/>
                <w:color w:val="auto"/>
                <w:w w:val="90"/>
              </w:rPr>
              <w:t>Shareholders'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1"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Paid-in Capital</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Earnings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Comprehensive Loss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Interests</w:t>
            </w:r>
          </w:p>
        </w:tc>
        <w:tc>
          <w:tcPr>
            <w:tcW w:w="120" w:type="dxa"/>
            <w:vAlign w:val="bottom"/>
          </w:tcPr>
          <w:p>
            <w:pPr>
              <w:spacing w:after="0"/>
              <w:rPr>
                <w:sz w:val="17"/>
                <w:szCs w:val="17"/>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2"/>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Balance, December 25, 2022</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2,861.9</w:t>
            </w:r>
          </w:p>
        </w:tc>
        <w:tc>
          <w:tcPr>
            <w:tcW w:w="1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rPr>
              <w:t>Net loss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(428.2)</w:t>
            </w:r>
          </w:p>
        </w:tc>
        <w:tc>
          <w:tcPr>
            <w:tcW w:w="100" w:type="dxa"/>
            <w:vAlign w:val="bottom"/>
          </w:tcPr>
          <w:p>
            <w:pPr>
              <w:spacing w:after="0"/>
              <w:rPr>
                <w:sz w:val="12"/>
                <w:szCs w:val="12"/>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(428.2)</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140"/>
              <w:spacing w:after="0"/>
              <w:rPr>
                <w:sz w:val="20"/>
                <w:szCs w:val="20"/>
                <w:color w:val="auto"/>
              </w:rPr>
            </w:pPr>
            <w:r>
              <w:rPr>
                <w:rFonts w:ascii="Arial" w:cs="Arial" w:eastAsia="Arial" w:hAnsi="Arial"/>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Net earnings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rPr>
              <w:t>Other comprehensive</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46.5</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14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w w:val="99"/>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14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(294.9)</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(291.3)</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rPr>
              <w:t>Distributions paid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40" w:type="dxa"/>
            <w:vAlign w:val="bottom"/>
          </w:tcPr>
          <w:p>
            <w:pPr>
              <w:ind w:left="140"/>
              <w:spacing w:after="0" w:line="141" w:lineRule="exact"/>
              <w:rPr>
                <w:sz w:val="20"/>
                <w:szCs w:val="20"/>
                <w:color w:val="auto"/>
              </w:rPr>
            </w:pPr>
            <w:r>
              <w:rPr>
                <w:rFonts w:ascii="Arial" w:cs="Arial" w:eastAsia="Arial" w:hAnsi="Arial"/>
                <w:sz w:val="14"/>
                <w:szCs w:val="14"/>
                <w:color w:val="auto"/>
              </w:rPr>
              <w:t>noncontrolling owners and</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840" w:type="dxa"/>
            <w:vAlign w:val="bottom"/>
          </w:tcPr>
          <w:p>
            <w:pPr>
              <w:ind w:left="140"/>
              <w:spacing w:after="0"/>
              <w:rPr>
                <w:sz w:val="20"/>
                <w:szCs w:val="20"/>
                <w:color w:val="auto"/>
              </w:rPr>
            </w:pPr>
            <w:r>
              <w:rPr>
                <w:rFonts w:ascii="Arial" w:cs="Arial" w:eastAsia="Arial" w:hAnsi="Arial"/>
                <w:sz w:val="14"/>
                <w:szCs w:val="14"/>
                <w:color w:val="auto"/>
              </w:rPr>
              <w:t>other foreign exchange</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Renegade buyout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1840" w:type="dxa"/>
            <w:vAlign w:val="bottom"/>
          </w:tcPr>
          <w:p>
            <w:pPr>
              <w:ind w:left="20"/>
              <w:spacing w:after="0"/>
              <w:rPr>
                <w:sz w:val="20"/>
                <w:szCs w:val="20"/>
                <w:color w:val="auto"/>
              </w:rPr>
            </w:pPr>
            <w:r>
              <w:rPr>
                <w:rFonts w:ascii="Arial" w:cs="Arial" w:eastAsia="Arial" w:hAnsi="Arial"/>
                <w:sz w:val="14"/>
                <w:szCs w:val="14"/>
                <w:color w:val="auto"/>
              </w:rPr>
              <w:t>Balance, October 1,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2,574.1</w:t>
            </w:r>
          </w:p>
        </w:tc>
        <w:tc>
          <w:tcPr>
            <w:tcW w:w="1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3,348.3</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(208.4)</w:t>
            </w:r>
          </w:p>
        </w:tc>
        <w:tc>
          <w:tcPr>
            <w:tcW w:w="1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(3,626.3)</w:t>
            </w:r>
          </w:p>
        </w:tc>
        <w:tc>
          <w:tcPr>
            <w:tcW w:w="1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2,223.2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4"/>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ind w:left="600"/>
              <w:spacing w:after="0"/>
              <w:rPr>
                <w:sz w:val="20"/>
                <w:szCs w:val="20"/>
                <w:color w:val="auto"/>
              </w:rPr>
            </w:pPr>
            <w:r>
              <w:rPr>
                <w:rFonts w:ascii="Arial" w:cs="Arial" w:eastAsia="Arial" w:hAnsi="Arial"/>
                <w:sz w:val="14"/>
                <w:szCs w:val="14"/>
                <w:b w:val="1"/>
                <w:bCs w:val="1"/>
                <w:color w:val="auto"/>
              </w:rPr>
              <w:t>Nine Months Ended September 25, 2022</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right w:val="single" w:sz="8" w:color="auto"/>
            </w:tcBorders>
            <w:gridSpan w:val="2"/>
          </w:tcPr>
          <w:p>
            <w:pPr>
              <w:jc w:val="center"/>
              <w:ind w:right="240"/>
              <w:spacing w:after="0" w:line="137" w:lineRule="exact"/>
              <w:rPr>
                <w:sz w:val="20"/>
                <w:szCs w:val="20"/>
                <w:color w:val="auto"/>
              </w:rPr>
            </w:pPr>
            <w:r>
              <w:rPr>
                <w:rFonts w:ascii="Arial" w:cs="Arial" w:eastAsia="Arial" w:hAnsi="Arial"/>
                <w:sz w:val="14"/>
                <w:szCs w:val="14"/>
                <w:color w:val="auto"/>
                <w:w w:val="96"/>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8"/>
              <w:spacing w:after="0" w:line="137" w:lineRule="exact"/>
              <w:rPr>
                <w:sz w:val="20"/>
                <w:szCs w:val="20"/>
                <w:color w:val="auto"/>
              </w:rPr>
            </w:pPr>
            <w:r>
              <w:rPr>
                <w:rFonts w:ascii="Arial" w:cs="Arial" w:eastAsia="Arial" w:hAnsi="Arial"/>
                <w:sz w:val="14"/>
                <w:szCs w:val="14"/>
                <w:color w:val="auto"/>
                <w:w w:val="88"/>
              </w:rPr>
              <w:t>Redeemable</w:t>
            </w: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91"/>
              </w:rPr>
              <w:t>Common</w:t>
            </w:r>
          </w:p>
        </w:tc>
        <w:tc>
          <w:tcPr>
            <w:tcW w:w="106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7"/>
              </w:rPr>
              <w:t>Additional</w:t>
            </w:r>
          </w:p>
        </w:tc>
        <w:tc>
          <w:tcPr>
            <w:tcW w:w="1120" w:type="dxa"/>
            <w:vAlign w:val="bottom"/>
            <w:gridSpan w:val="2"/>
          </w:tcPr>
          <w:p>
            <w:pPr>
              <w:ind w:left="260"/>
              <w:spacing w:after="0" w:line="141" w:lineRule="exact"/>
              <w:rPr>
                <w:sz w:val="20"/>
                <w:szCs w:val="20"/>
                <w:color w:val="auto"/>
              </w:rPr>
            </w:pPr>
            <w:r>
              <w:rPr>
                <w:rFonts w:ascii="Arial" w:cs="Arial" w:eastAsia="Arial" w:hAnsi="Arial"/>
                <w:sz w:val="14"/>
                <w:szCs w:val="14"/>
                <w:color w:val="auto"/>
              </w:rPr>
              <w:t>Retained</w:t>
            </w:r>
          </w:p>
        </w:tc>
        <w:tc>
          <w:tcPr>
            <w:tcW w:w="142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3"/>
              </w:rPr>
              <w:t>Accumulated Other</w:t>
            </w:r>
          </w:p>
        </w:tc>
        <w:tc>
          <w:tcPr>
            <w:tcW w:w="112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0"/>
              </w:rPr>
              <w:t>Treasury</w:t>
            </w:r>
          </w:p>
        </w:tc>
        <w:tc>
          <w:tcPr>
            <w:tcW w:w="130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8"/>
              </w:rPr>
              <w:t>Noncontrolling</w:t>
            </w: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1" w:lineRule="exact"/>
              <w:rPr>
                <w:sz w:val="20"/>
                <w:szCs w:val="20"/>
                <w:color w:val="auto"/>
              </w:rPr>
            </w:pPr>
            <w:r>
              <w:rPr>
                <w:rFonts w:ascii="Arial" w:cs="Arial" w:eastAsia="Arial" w:hAnsi="Arial"/>
                <w:sz w:val="14"/>
                <w:szCs w:val="14"/>
                <w:color w:val="auto"/>
                <w:w w:val="90"/>
              </w:rPr>
              <w:t>Shareholders'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1"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Paid-in Capital</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Earnings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Comprehensive Loss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Interests</w:t>
            </w:r>
          </w:p>
        </w:tc>
        <w:tc>
          <w:tcPr>
            <w:tcW w:w="120" w:type="dxa"/>
            <w:vAlign w:val="bottom"/>
          </w:tcPr>
          <w:p>
            <w:pPr>
              <w:spacing w:after="0"/>
              <w:rPr>
                <w:sz w:val="17"/>
                <w:szCs w:val="17"/>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2"/>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Balance, December 26, 2021</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3,063.1</w:t>
            </w:r>
          </w:p>
        </w:tc>
        <w:tc>
          <w:tcPr>
            <w:tcW w:w="1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3"/>
        </w:trPr>
        <w:tc>
          <w:tcPr>
            <w:tcW w:w="1840" w:type="dxa"/>
            <w:vAlign w:val="bottom"/>
          </w:tcPr>
          <w:p>
            <w:pPr>
              <w:ind w:left="220"/>
              <w:spacing w:after="0" w:line="143" w:lineRule="exact"/>
              <w:rPr>
                <w:sz w:val="20"/>
                <w:szCs w:val="20"/>
                <w:color w:val="auto"/>
              </w:rPr>
            </w:pPr>
            <w:r>
              <w:rPr>
                <w:rFonts w:ascii="Arial" w:cs="Arial" w:eastAsia="Arial" w:hAnsi="Arial"/>
                <w:sz w:val="14"/>
                <w:szCs w:val="14"/>
                <w:color w:val="auto"/>
                <w:w w:val="95"/>
              </w:rPr>
              <w:t>Net earnings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332.4</w:t>
            </w:r>
          </w:p>
        </w:tc>
        <w:tc>
          <w:tcPr>
            <w:tcW w:w="100" w:type="dxa"/>
            <w:vAlign w:val="bottom"/>
          </w:tcPr>
          <w:p>
            <w:pPr>
              <w:spacing w:after="0"/>
              <w:rPr>
                <w:sz w:val="12"/>
                <w:szCs w:val="12"/>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332.4</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220"/>
              <w:spacing w:after="0"/>
              <w:rPr>
                <w:sz w:val="20"/>
                <w:szCs w:val="20"/>
                <w:color w:val="auto"/>
              </w:rPr>
            </w:pPr>
            <w:r>
              <w:rPr>
                <w:rFonts w:ascii="Arial" w:cs="Arial" w:eastAsia="Arial" w:hAnsi="Arial"/>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earnings (loss)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40" w:type="dxa"/>
            <w:vAlign w:val="bottom"/>
            <w:shd w:val="clear" w:color="auto" w:fill="CCEEFF"/>
          </w:tcPr>
          <w:p>
            <w:pPr>
              <w:ind w:left="220"/>
              <w:spacing w:after="0" w:line="141" w:lineRule="exact"/>
              <w:rPr>
                <w:sz w:val="20"/>
                <w:szCs w:val="20"/>
                <w:color w:val="auto"/>
              </w:rPr>
            </w:pPr>
            <w:r>
              <w:rPr>
                <w:rFonts w:ascii="Arial" w:cs="Arial" w:eastAsia="Arial" w:hAnsi="Arial"/>
                <w:sz w:val="14"/>
                <w:szCs w:val="14"/>
                <w:color w:val="auto"/>
              </w:rPr>
              <w:t>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3"/>
        </w:trPr>
        <w:tc>
          <w:tcPr>
            <w:tcW w:w="1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060" w:type="dxa"/>
            <w:vAlign w:val="bottom"/>
            <w:tcBorders>
              <w:bottom w:val="single" w:sz="8" w:color="CCEEFF"/>
            </w:tcBorders>
            <w:gridSpan w:val="2"/>
            <w:vMerge w:val="continue"/>
            <w:shd w:val="clear" w:color="auto" w:fill="CCEEFF"/>
          </w:tcPr>
          <w:p>
            <w:pPr>
              <w:spacing w:after="0"/>
              <w:rPr>
                <w:sz w:val="15"/>
                <w:szCs w:val="15"/>
                <w:color w:val="auto"/>
              </w:rPr>
            </w:pPr>
          </w:p>
        </w:tc>
        <w:tc>
          <w:tcPr>
            <w:tcW w:w="1120" w:type="dxa"/>
            <w:vAlign w:val="bottom"/>
            <w:tcBorders>
              <w:bottom w:val="single" w:sz="8" w:color="CCEEFF"/>
            </w:tcBorders>
            <w:gridSpan w:val="2"/>
            <w:vMerge w:val="continue"/>
            <w:shd w:val="clear" w:color="auto" w:fill="CCEEFF"/>
          </w:tcPr>
          <w:p>
            <w:pPr>
              <w:spacing w:after="0"/>
              <w:rPr>
                <w:sz w:val="15"/>
                <w:szCs w:val="15"/>
                <w:color w:val="auto"/>
              </w:rPr>
            </w:pPr>
          </w:p>
        </w:tc>
        <w:tc>
          <w:tcPr>
            <w:tcW w:w="1420" w:type="dxa"/>
            <w:vAlign w:val="bottom"/>
            <w:tcBorders>
              <w:bottom w:val="single" w:sz="8" w:color="CCEEFF"/>
            </w:tcBorders>
            <w:gridSpan w:val="2"/>
            <w:vMerge w:val="continue"/>
            <w:shd w:val="clear" w:color="auto" w:fill="CCEEFF"/>
          </w:tcPr>
          <w:p>
            <w:pPr>
              <w:spacing w:after="0"/>
              <w:rPr>
                <w:sz w:val="15"/>
                <w:szCs w:val="15"/>
                <w:color w:val="auto"/>
              </w:rPr>
            </w:pPr>
          </w:p>
        </w:tc>
        <w:tc>
          <w:tcPr>
            <w:tcW w:w="1120" w:type="dxa"/>
            <w:vAlign w:val="bottom"/>
            <w:tcBorders>
              <w:bottom w:val="single" w:sz="8" w:color="CCEEFF"/>
            </w:tcBorders>
            <w:gridSpan w:val="2"/>
            <w:vMerge w:val="continue"/>
            <w:shd w:val="clear" w:color="auto" w:fill="CCEEFF"/>
          </w:tcPr>
          <w:p>
            <w:pPr>
              <w:spacing w:after="0"/>
              <w:rPr>
                <w:sz w:val="15"/>
                <w:szCs w:val="15"/>
                <w:color w:val="auto"/>
              </w:rPr>
            </w:pPr>
          </w:p>
        </w:tc>
        <w:tc>
          <w:tcPr>
            <w:tcW w:w="12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220"/>
              <w:spacing w:after="0"/>
              <w:rPr>
                <w:sz w:val="20"/>
                <w:szCs w:val="20"/>
                <w:color w:val="auto"/>
              </w:rPr>
            </w:pPr>
            <w:r>
              <w:rPr>
                <w:rFonts w:ascii="Arial" w:cs="Arial" w:eastAsia="Arial" w:hAnsi="Arial"/>
                <w:sz w:val="14"/>
                <w:szCs w:val="14"/>
                <w:color w:val="auto"/>
                <w:w w:val="96"/>
              </w:rPr>
              <w:t>Change in put option value</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8"/>
              </w:rPr>
              <w:t>Other comprehensive loss</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40" w:type="dxa"/>
            <w:vAlign w:val="bottom"/>
          </w:tcPr>
          <w:p>
            <w:pPr>
              <w:ind w:left="220"/>
              <w:spacing w:after="0" w:line="143" w:lineRule="exact"/>
              <w:rPr>
                <w:sz w:val="20"/>
                <w:szCs w:val="20"/>
                <w:color w:val="auto"/>
              </w:rPr>
            </w:pPr>
            <w:r>
              <w:rPr>
                <w:rFonts w:ascii="Arial" w:cs="Arial" w:eastAsia="Arial" w:hAnsi="Arial"/>
                <w:sz w:val="14"/>
                <w:szCs w:val="14"/>
                <w:color w:val="auto"/>
                <w:w w:val="94"/>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53.1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2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Purchases of common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Pr>
          <w:p>
            <w:pPr>
              <w:ind w:left="220"/>
              <w:spacing w:after="0" w:line="143" w:lineRule="exact"/>
              <w:rPr>
                <w:sz w:val="20"/>
                <w:szCs w:val="20"/>
                <w:color w:val="auto"/>
              </w:rPr>
            </w:pPr>
            <w:r>
              <w:rPr>
                <w:rFonts w:ascii="Arial" w:cs="Arial" w:eastAsia="Arial" w:hAnsi="Arial"/>
                <w:sz w:val="14"/>
                <w:szCs w:val="14"/>
                <w:color w:val="auto"/>
                <w:w w:val="94"/>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22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Dividends declared</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(292.4)</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40" w:type="dxa"/>
            <w:vAlign w:val="bottom"/>
          </w:tcPr>
          <w:p>
            <w:pPr>
              <w:ind w:left="220"/>
              <w:spacing w:after="0" w:line="143" w:lineRule="exact"/>
              <w:rPr>
                <w:sz w:val="20"/>
                <w:szCs w:val="20"/>
                <w:color w:val="auto"/>
              </w:rPr>
            </w:pPr>
            <w:r>
              <w:rPr>
                <w:rFonts w:ascii="Arial" w:cs="Arial" w:eastAsia="Arial" w:hAnsi="Arial"/>
                <w:sz w:val="14"/>
                <w:szCs w:val="14"/>
                <w:color w:val="auto"/>
              </w:rPr>
              <w:t>Buyout of redeemable</w:t>
            </w:r>
          </w:p>
        </w:tc>
        <w:tc>
          <w:tcPr>
            <w:tcW w:w="100" w:type="dxa"/>
            <w:vAlign w:val="bottom"/>
          </w:tcPr>
          <w:p>
            <w:pPr>
              <w:spacing w:after="0"/>
              <w:rPr>
                <w:sz w:val="12"/>
                <w:szCs w:val="12"/>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94"/>
        </w:trPr>
        <w:tc>
          <w:tcPr>
            <w:tcW w:w="1840" w:type="dxa"/>
            <w:vAlign w:val="bottom"/>
          </w:tcPr>
          <w:p>
            <w:pPr>
              <w:ind w:left="220"/>
              <w:spacing w:after="0"/>
              <w:rPr>
                <w:sz w:val="20"/>
                <w:szCs w:val="20"/>
                <w:color w:val="auto"/>
              </w:rPr>
            </w:pPr>
            <w:r>
              <w:rPr>
                <w:rFonts w:ascii="Arial" w:cs="Arial" w:eastAsia="Arial" w:hAnsi="Arial"/>
                <w:sz w:val="14"/>
                <w:szCs w:val="14"/>
                <w:color w:val="auto"/>
              </w:rPr>
              <w:t>noncontrolling interest</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Distributions paid to</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40" w:type="dxa"/>
            <w:vAlign w:val="bottom"/>
            <w:shd w:val="clear" w:color="auto" w:fill="CCEEFF"/>
          </w:tcPr>
          <w:p>
            <w:pPr>
              <w:ind w:left="220"/>
              <w:spacing w:after="0" w:line="141" w:lineRule="exact"/>
              <w:rPr>
                <w:sz w:val="20"/>
                <w:szCs w:val="20"/>
                <w:color w:val="auto"/>
              </w:rPr>
            </w:pPr>
            <w:r>
              <w:rPr>
                <w:rFonts w:ascii="Arial" w:cs="Arial" w:eastAsia="Arial" w:hAnsi="Arial"/>
                <w:sz w:val="14"/>
                <w:szCs w:val="14"/>
                <w:color w:val="auto"/>
                <w:w w:val="97"/>
              </w:rPr>
              <w:t>noncontrolling owners and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3"/>
        </w:trPr>
        <w:tc>
          <w:tcPr>
            <w:tcW w:w="1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foreign exchange</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vMerge w:val="continue"/>
            <w:shd w:val="clear" w:color="auto" w:fill="CCEEFF"/>
          </w:tcPr>
          <w:p>
            <w:pPr>
              <w:spacing w:after="0"/>
              <w:rPr>
                <w:sz w:val="17"/>
                <w:szCs w:val="17"/>
                <w:color w:val="auto"/>
              </w:rPr>
            </w:pPr>
          </w:p>
        </w:tc>
        <w:tc>
          <w:tcPr>
            <w:tcW w:w="1060" w:type="dxa"/>
            <w:vAlign w:val="bottom"/>
            <w:tcBorders>
              <w:bottom w:val="single" w:sz="8" w:color="CCEEFF"/>
            </w:tcBorders>
            <w:gridSpan w:val="2"/>
            <w:vMerge w:val="continue"/>
            <w:shd w:val="clear" w:color="auto" w:fill="CCEEFF"/>
          </w:tcPr>
          <w:p>
            <w:pPr>
              <w:spacing w:after="0"/>
              <w:rPr>
                <w:sz w:val="17"/>
                <w:szCs w:val="17"/>
                <w:color w:val="auto"/>
              </w:rPr>
            </w:pPr>
          </w:p>
        </w:tc>
        <w:tc>
          <w:tcPr>
            <w:tcW w:w="1120" w:type="dxa"/>
            <w:vAlign w:val="bottom"/>
            <w:tcBorders>
              <w:bottom w:val="single" w:sz="8" w:color="CCEEFF"/>
            </w:tcBorders>
            <w:gridSpan w:val="2"/>
            <w:vMerge w:val="continue"/>
            <w:shd w:val="clear" w:color="auto" w:fill="CCEEFF"/>
          </w:tcPr>
          <w:p>
            <w:pPr>
              <w:spacing w:after="0"/>
              <w:rPr>
                <w:sz w:val="17"/>
                <w:szCs w:val="17"/>
                <w:color w:val="auto"/>
              </w:rPr>
            </w:pPr>
          </w:p>
        </w:tc>
        <w:tc>
          <w:tcPr>
            <w:tcW w:w="1420" w:type="dxa"/>
            <w:vAlign w:val="bottom"/>
            <w:tcBorders>
              <w:bottom w:val="single" w:sz="8" w:color="CCEEFF"/>
            </w:tcBorders>
            <w:gridSpan w:val="2"/>
            <w:vMerge w:val="continue"/>
            <w:shd w:val="clear" w:color="auto" w:fill="CCEEFF"/>
          </w:tcPr>
          <w:p>
            <w:pPr>
              <w:spacing w:after="0"/>
              <w:rPr>
                <w:sz w:val="17"/>
                <w:szCs w:val="17"/>
                <w:color w:val="auto"/>
              </w:rPr>
            </w:pPr>
          </w:p>
        </w:tc>
        <w:tc>
          <w:tcPr>
            <w:tcW w:w="1120" w:type="dxa"/>
            <w:vAlign w:val="bottom"/>
            <w:tcBorders>
              <w:bottom w:val="single" w:sz="8" w:color="CCEEFF"/>
            </w:tcBorders>
            <w:gridSpan w:val="2"/>
            <w:vMerge w:val="continue"/>
            <w:shd w:val="clear" w:color="auto" w:fill="CCEEFF"/>
          </w:tcPr>
          <w:p>
            <w:pPr>
              <w:spacing w:after="0"/>
              <w:rPr>
                <w:sz w:val="17"/>
                <w:szCs w:val="17"/>
                <w:color w:val="auto"/>
              </w:rPr>
            </w:pPr>
          </w:p>
        </w:tc>
        <w:tc>
          <w:tcPr>
            <w:tcW w:w="12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840" w:type="dxa"/>
            <w:vAlign w:val="bottom"/>
          </w:tcPr>
          <w:p>
            <w:pPr>
              <w:ind w:left="20"/>
              <w:spacing w:after="0"/>
              <w:rPr>
                <w:sz w:val="20"/>
                <w:szCs w:val="20"/>
                <w:color w:val="auto"/>
              </w:rPr>
            </w:pPr>
            <w:r>
              <w:rPr>
                <w:rFonts w:ascii="Arial" w:cs="Arial" w:eastAsia="Arial" w:hAnsi="Arial"/>
                <w:sz w:val="14"/>
                <w:szCs w:val="14"/>
                <w:color w:val="auto"/>
                <w:w w:val="97"/>
              </w:rPr>
              <w:t>Balance, September 25,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2,530.1</w:t>
            </w:r>
          </w:p>
        </w:tc>
        <w:tc>
          <w:tcPr>
            <w:tcW w:w="1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4,297.8</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(324.9)</w:t>
            </w:r>
          </w:p>
        </w:tc>
        <w:tc>
          <w:tcPr>
            <w:tcW w:w="1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(3,637.1)</w:t>
            </w:r>
          </w:p>
        </w:tc>
        <w:tc>
          <w:tcPr>
            <w:tcW w:w="1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2,999.0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2"/>
        </w:trPr>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normal and recurring adjustments necessary to present fairly the consolidated financial position of Hasbro, Inc. and all majority-owned subsidiaries ("Hasbro" or the "Company") as of October 1, 2023 and September 25, 2022, and the results of its operations and cash flows and shareholders' equity for the periods then ended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notes thereto. Actual results could differ from those estimates.</w:t>
      </w:r>
    </w:p>
    <w:p>
      <w:pPr>
        <w:spacing w:after="0" w:line="152"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The quarters ended October 1, 2023 and September 25, 2022 were each 13-week periods. The nine-month periods ended October 1, 2023 and September 25, 2022 were 40-week and 39-week periods, respectively.</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results of operations for the quarter ended October 1, 2023 are not necessarily indicative of results to be expected for the full year 2023, nor were those of the comparable 2022 period representative of those actually experienced for the full year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Significant Accounting Policies</w:t>
      </w:r>
    </w:p>
    <w:p>
      <w:pPr>
        <w:spacing w:after="0" w:line="11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Company's significant accounting policies are summarized in note 1 to the consolidated financial statements included in the Company's Annual Report on Form 10-K for the year ended December 25, 2022 ("2022 Form 10-K"). An update and supplement to these accounting policies for the treatment of assets and liabilities held for sale associated with our planned sale of the non-core eOne Film and TV business is below.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and Liabilities Held for Sale</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classify assets and related liabilities as held for sale when: (i) management has committed to a plan to sell the assets, (ii) the net assets are available for immediate sale, (iii) there is an active program to locate a buyer, (iv) the sale and transfer of the net assets is probable within one year, (v) the sale price of the net assets is comparable to current fair value and (vi) actions required to complete the plan indicate it is unlikely that significant changes will be made or that management will withdraw from the sale. Assets and liabilities held for sale are presented separately on our consolidated balance sheets at the lower of cost or fair value, less costs to sell. Depreciation of property, plant and equipment and amortization of finite-lived intangible assets and right-of-use assets are not recorded while these assets are classified as held for sale. For each period that assets are classified as being held for sale, they are tested for recoverability. Unless otherwise specified, the amounts and information in the notes presented do not include assets and liabilities that have been reclassified as held for sale as of October 1, 2023. See note 15 — Assets held for sale, for additional information.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Film and TV Reporting Unit</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second quarter of 2023, the Company determined that a triggering event occurred following a downward revision of the Company's financial forecast for its Film and TV business, driven by challenging industry conditions that included the strike by the Writers Guild of America. As a result, the Company performed a quantitative impairment test and determined that the Film and TV reporting unit within the Company's Entertainment segment, was impaired. During the second quarter of 2023, the Company recorded pre-tax non-cash impairment charges of $296.2 million as the carrying value of the Film and TV reporting unit exceeded its expected fair value, as determined using a discounted cash flow model which is primarily based on management’s future revenue and cost estimates. These impairment charges consisted of a $231.2 million goodwill impairment charge associated with goodwill assigned to the Company's Film and TV reporting unit, recorded within Impairment of Goodwill and a $65.0 million intangible asset impairment charge related to the Company's definite-lived intangible eOne Trademark, recorded in Selling, Distribution and Administration costs, within the Consolidated Statements of Operations for the nine months ended October 1, 2023.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Blueprint 2.0 and Operational Excellence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October 2022, following a several months long strategic review of our business led by our CEO, the Company announced a new strategic plan guided by our new Blueprint 2.0, a consumer-centric framework for bringing compelling and expansive brand experiences to audiences around the world. During the review, with the assistance of a third party consultant, the Company identified opportunities to focus and scale its business, enhance operational excellence, including through specialized organizational programs and supply chain transformation, to drive growth and profit and enhance shareholder value.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0" w:name="page11"/>
    <w:bookmarkEnd w:id="1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Company is increasing strategic investment in its most valuable and profitable franchises across toys, games, entertainment and licensing, and exiting certain non-core aspects of the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Brand Portfolio Realignment</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212529"/>
        </w:rPr>
        <w:t>Effective for the first quarter 2023, we realigned our brand portfolios to correspond with the evolution of our Blueprint 2.0 strategy. We are focusing on fewer, bigger, more profitable brands that showcase our leadership in preschool toys, action figures and accessories, games, arts &amp; crafts, and outdoor action brands.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212529"/>
        </w:rPr>
        <w:t>Our new product categories beginning in the first quarter of 2023 are as follows:</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u w:val="single" w:color="auto"/>
          <w:color w:val="212529"/>
        </w:rPr>
        <w:t>Franchise Brands</w:t>
      </w:r>
      <w:r>
        <w:rPr>
          <w:rFonts w:ascii="Arial" w:cs="Arial" w:eastAsia="Arial" w:hAnsi="Arial"/>
          <w:sz w:val="17"/>
          <w:szCs w:val="17"/>
          <w:color w:val="212529"/>
        </w:rPr>
        <w:t xml:space="preserve"> - A refreshed group of our most financially significant brands which we consider to have the greatest long-term potential including DUNGEONS &amp; DRAGONS, Hasbro Gaming, MAGIC: THE GATHERING, NERF, PEPPA PIG, PLAY-DOH, and TRANSFORMERS.</w:t>
      </w:r>
    </w:p>
    <w:p>
      <w:pPr>
        <w:spacing w:after="0" w:line="3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u w:val="single" w:color="auto"/>
          <w:color w:val="212529"/>
        </w:rPr>
        <w:t>Partner Brands</w:t>
      </w:r>
      <w:r>
        <w:rPr>
          <w:rFonts w:ascii="Arial" w:cs="Arial" w:eastAsia="Arial" w:hAnsi="Arial"/>
          <w:sz w:val="18"/>
          <w:szCs w:val="18"/>
          <w:color w:val="212529"/>
        </w:rPr>
        <w:t xml:space="preserve"> - The Partner Brands category includes those brands we license from other parties such as Disney's STAR WARS and MARVEL brands as well as other partners, for which we develop toy and game products, with a focus on those key Partner Brands that give us the largest growth potential and where we can lead and innovate in the category.</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212529"/>
        </w:rPr>
        <w:t>Portfolio Brands</w:t>
      </w:r>
      <w:r>
        <w:rPr>
          <w:rFonts w:ascii="Arial" w:cs="Arial" w:eastAsia="Arial" w:hAnsi="Arial"/>
          <w:sz w:val="18"/>
          <w:szCs w:val="18"/>
          <w:color w:val="212529"/>
        </w:rPr>
        <w:t xml:space="preserve"> - Our Portfolio Brands category includes those brands we own or control which we feel have upside in revenue and profitability that have not yet grown to the significance of a franchise brand.</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212529"/>
        </w:rPr>
        <w:t>Non-Hasbro Branded Film &amp; TV</w:t>
      </w:r>
      <w:r>
        <w:rPr>
          <w:rFonts w:ascii="Arial" w:cs="Arial" w:eastAsia="Arial" w:hAnsi="Arial"/>
          <w:sz w:val="18"/>
          <w:szCs w:val="18"/>
          <w:color w:val="212529"/>
        </w:rPr>
        <w:t xml:space="preserve"> - The Non-Hasbro Branded Film &amp; TV category includes non-Hasbro-branded film, TV and other entertainment related revenues. All Hasbro-branded content is included in the portfolios noted above.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have been prepared without audit, pursuant to the rules and regulations of the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25, 2022 in its 2022 Form 10-K, which includes all such information and disclosures and, accordingly, should be read in conjunction with the financial information included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October 1, 2023, there were no recently adopted accounting standards that had a material effect on the Company’s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Accounting Pronouncements</w:t>
      </w:r>
    </w:p>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October 1, 2023, there were no recently issued accounting pronouncements that are expected to have a material effect on the Company’s financial statements.</w:t>
      </w:r>
    </w:p>
    <w:p>
      <w:pPr>
        <w:spacing w:after="0" w:line="13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Assets and Liabilities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ordinary course of business, the Company’s Consumer Products, Wizards of the Coast and Digital Gaming and Entertainment segments enter into contracts to license certain of the Company’s intellectual property, providing licensees right-to-use or access to such intellectual property for use in the production and sale of consumer products and digital game development, and for use within content for distribution over streaming platforms and for television and film. The Company also licenses owned television and film content for distribution to third parties in formats that include broadcast, digital streaming and theatrical.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or through in-application purchases. These digital gaming revenues are recognized over a period of time, determined based on player usage patterns or the estimated playing life of the user or when additional downloadable content is made available. The Company defers revenues on all licensee and digital gaming advanced payments until the respective performance obligations are satisfied. The Company records the aggregate deferred revenues as contract liabilities, with the current portion recorded within Accrued Liabilities and the long-term portion recorded as Other Non-current Liabilities in the Company’s consolidated balance sheets. The Company records contract assets, primarily related to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respectively, and the long-term portion is recorded within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amounts of contract assets and liabilities for the nine months ended October 1, 2023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October 1, 2023</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w w:val="79"/>
              </w:rPr>
              <w:t>Assets</w:t>
            </w:r>
          </w:p>
        </w:tc>
        <w:tc>
          <w:tcPr>
            <w:tcW w:w="8600" w:type="dxa"/>
            <w:vAlign w:val="bottom"/>
            <w:tcBorders>
              <w:bottom w:val="single" w:sz="8" w:color="CCEEFF"/>
            </w:tcBorders>
            <w:gridSpan w:val="2"/>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6"/>
                <w:szCs w:val="16"/>
                <w:color w:val="auto"/>
              </w:rPr>
              <w:t>Balance at beginning of the year</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594.4</w:t>
            </w:r>
          </w:p>
        </w:tc>
      </w:tr>
      <w:tr>
        <w:trPr>
          <w:trHeight w:val="219"/>
        </w:trPr>
        <w:tc>
          <w:tcPr>
            <w:tcW w:w="20" w:type="dxa"/>
            <w:vAlign w:val="bottom"/>
            <w:shd w:val="clear" w:color="auto" w:fill="CCEEFF"/>
          </w:tcPr>
          <w:p>
            <w:pPr>
              <w:spacing w:after="0"/>
              <w:rPr>
                <w:sz w:val="19"/>
                <w:szCs w:val="19"/>
                <w:color w:val="auto"/>
              </w:rPr>
            </w:pPr>
          </w:p>
        </w:tc>
        <w:tc>
          <w:tcPr>
            <w:tcW w:w="90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Recognized in current year</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w:t>
            </w:r>
          </w:p>
        </w:tc>
      </w:tr>
      <w:tr>
        <w:trPr>
          <w:trHeight w:val="213"/>
        </w:trPr>
        <w:tc>
          <w:tcPr>
            <w:tcW w:w="20" w:type="dxa"/>
            <w:vAlign w:val="bottom"/>
          </w:tcPr>
          <w:p>
            <w:pPr>
              <w:spacing w:after="0"/>
              <w:rPr>
                <w:sz w:val="18"/>
                <w:szCs w:val="18"/>
                <w:color w:val="auto"/>
              </w:rPr>
            </w:pPr>
          </w:p>
        </w:tc>
        <w:tc>
          <w:tcPr>
            <w:tcW w:w="9040" w:type="dxa"/>
            <w:vAlign w:val="bottom"/>
            <w:gridSpan w:val="3"/>
          </w:tcPr>
          <w:p>
            <w:pPr>
              <w:ind w:left="120"/>
              <w:spacing w:after="0"/>
              <w:rPr>
                <w:sz w:val="20"/>
                <w:szCs w:val="20"/>
                <w:color w:val="auto"/>
              </w:rPr>
            </w:pPr>
            <w:r>
              <w:rPr>
                <w:rFonts w:ascii="Arial" w:cs="Arial" w:eastAsia="Arial" w:hAnsi="Arial"/>
                <w:sz w:val="16"/>
                <w:szCs w:val="16"/>
                <w:color w:val="auto"/>
              </w:rPr>
              <w:t>Amounts reclassified to accounts receivable</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(427.4)</w:t>
            </w:r>
          </w:p>
        </w:tc>
      </w:tr>
      <w:tr>
        <w:trPr>
          <w:trHeight w:val="219"/>
        </w:trPr>
        <w:tc>
          <w:tcPr>
            <w:tcW w:w="20" w:type="dxa"/>
            <w:vAlign w:val="bottom"/>
            <w:shd w:val="clear" w:color="auto" w:fill="CCEEFF"/>
          </w:tcPr>
          <w:p>
            <w:pPr>
              <w:spacing w:after="0"/>
              <w:rPr>
                <w:sz w:val="19"/>
                <w:szCs w:val="19"/>
                <w:color w:val="auto"/>
              </w:rPr>
            </w:pPr>
          </w:p>
        </w:tc>
        <w:tc>
          <w:tcPr>
            <w:tcW w:w="9040" w:type="dxa"/>
            <w:vAlign w:val="bottom"/>
            <w:gridSpan w:val="3"/>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Reclassified to assets held for sale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(384.6)</w:t>
            </w:r>
          </w:p>
        </w:tc>
      </w:tr>
      <w:tr>
        <w:trPr>
          <w:trHeight w:val="213"/>
        </w:trPr>
        <w:tc>
          <w:tcPr>
            <w:tcW w:w="20" w:type="dxa"/>
            <w:vAlign w:val="bottom"/>
            <w:tcBorders>
              <w:bottom w:val="single" w:sz="8" w:color="CCEEFF"/>
            </w:tcBorders>
          </w:tcPr>
          <w:p>
            <w:pPr>
              <w:spacing w:after="0"/>
              <w:rPr>
                <w:sz w:val="18"/>
                <w:szCs w:val="18"/>
                <w:color w:val="auto"/>
              </w:rPr>
            </w:pPr>
          </w:p>
        </w:tc>
        <w:tc>
          <w:tcPr>
            <w:tcW w:w="904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Foreign currency impact</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2"/>
              </w:rPr>
              <w:t>Liabilities</w:t>
            </w:r>
          </w:p>
        </w:tc>
        <w:tc>
          <w:tcPr>
            <w:tcW w:w="8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6"/>
                <w:szCs w:val="16"/>
                <w:color w:val="auto"/>
              </w:rPr>
              <w:t>Balance at beginning of the year</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113.0</w:t>
            </w:r>
          </w:p>
        </w:tc>
      </w:tr>
      <w:tr>
        <w:trPr>
          <w:trHeight w:val="219"/>
        </w:trPr>
        <w:tc>
          <w:tcPr>
            <w:tcW w:w="20" w:type="dxa"/>
            <w:vAlign w:val="bottom"/>
            <w:shd w:val="clear" w:color="auto" w:fill="CCEEFF"/>
          </w:tcPr>
          <w:p>
            <w:pPr>
              <w:spacing w:after="0"/>
              <w:rPr>
                <w:sz w:val="19"/>
                <w:szCs w:val="19"/>
                <w:color w:val="auto"/>
              </w:rPr>
            </w:pPr>
          </w:p>
        </w:tc>
        <w:tc>
          <w:tcPr>
            <w:tcW w:w="90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Recognized in current year</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w:t>
            </w:r>
          </w:p>
        </w:tc>
      </w:tr>
      <w:tr>
        <w:trPr>
          <w:trHeight w:val="213"/>
        </w:trPr>
        <w:tc>
          <w:tcPr>
            <w:tcW w:w="20" w:type="dxa"/>
            <w:vAlign w:val="bottom"/>
          </w:tcPr>
          <w:p>
            <w:pPr>
              <w:spacing w:after="0"/>
              <w:rPr>
                <w:sz w:val="18"/>
                <w:szCs w:val="18"/>
                <w:color w:val="auto"/>
              </w:rPr>
            </w:pPr>
          </w:p>
        </w:tc>
        <w:tc>
          <w:tcPr>
            <w:tcW w:w="9040" w:type="dxa"/>
            <w:vAlign w:val="bottom"/>
            <w:gridSpan w:val="3"/>
          </w:tcPr>
          <w:p>
            <w:pPr>
              <w:ind w:left="120"/>
              <w:spacing w:after="0"/>
              <w:rPr>
                <w:sz w:val="20"/>
                <w:szCs w:val="20"/>
                <w:color w:val="auto"/>
              </w:rPr>
            </w:pPr>
            <w:r>
              <w:rPr>
                <w:rFonts w:ascii="Arial" w:cs="Arial" w:eastAsia="Arial" w:hAnsi="Arial"/>
                <w:sz w:val="16"/>
                <w:szCs w:val="16"/>
                <w:color w:val="auto"/>
              </w:rPr>
              <w:t>Amounts in beginning balance reclassified to revenue</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(68.3)</w:t>
            </w:r>
          </w:p>
        </w:tc>
      </w:tr>
      <w:tr>
        <w:trPr>
          <w:trHeight w:val="219"/>
        </w:trPr>
        <w:tc>
          <w:tcPr>
            <w:tcW w:w="20" w:type="dxa"/>
            <w:vAlign w:val="bottom"/>
            <w:shd w:val="clear" w:color="auto" w:fill="CCEEFF"/>
          </w:tcPr>
          <w:p>
            <w:pPr>
              <w:spacing w:after="0"/>
              <w:rPr>
                <w:sz w:val="19"/>
                <w:szCs w:val="19"/>
                <w:color w:val="auto"/>
              </w:rPr>
            </w:pPr>
          </w:p>
        </w:tc>
        <w:tc>
          <w:tcPr>
            <w:tcW w:w="90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Current year amounts reclassified to revenue</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r>
      <w:tr>
        <w:trPr>
          <w:trHeight w:val="216"/>
        </w:trPr>
        <w:tc>
          <w:tcPr>
            <w:tcW w:w="20" w:type="dxa"/>
            <w:vAlign w:val="bottom"/>
          </w:tcPr>
          <w:p>
            <w:pPr>
              <w:spacing w:after="0"/>
              <w:rPr>
                <w:sz w:val="18"/>
                <w:szCs w:val="18"/>
                <w:color w:val="auto"/>
              </w:rPr>
            </w:pPr>
          </w:p>
        </w:tc>
        <w:tc>
          <w:tcPr>
            <w:tcW w:w="904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 xml:space="preserve">Reclassified to liabilities held for sale </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13"/>
        </w:trPr>
        <w:tc>
          <w:tcPr>
            <w:tcW w:w="20" w:type="dxa"/>
            <w:vAlign w:val="bottom"/>
            <w:shd w:val="clear" w:color="auto" w:fill="CCEEFF"/>
          </w:tcPr>
          <w:p>
            <w:pPr>
              <w:spacing w:after="0"/>
              <w:rPr>
                <w:sz w:val="18"/>
                <w:szCs w:val="18"/>
                <w:color w:val="auto"/>
              </w:rPr>
            </w:pPr>
          </w:p>
        </w:tc>
        <w:tc>
          <w:tcPr>
            <w:tcW w:w="90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Foreign currency impact</w:t>
            </w:r>
          </w:p>
        </w:tc>
        <w:tc>
          <w:tcPr>
            <w:tcW w:w="3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6"/>
                <w:szCs w:val="16"/>
                <w:color w:val="auto"/>
              </w:rPr>
              <w:t>Ending Balance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See note 15 for additional information on assets and liabilities held for sale.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Unsatisfied performance obligations</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6"/>
          <w:szCs w:val="16"/>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October 1, 2023, unrecognized revenue attributable to unsatisfied performance obligations expected to be recognized in the future was $137.3 million of which</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$120.5 million is attributable to the Company's non-core entertainment business, expected to be sold to Lionsgate. Of the performance obligations expected to be retained following the pending sale, we expect to recognize $6.4 million in the remainder of 2023, $5.5 million in 2024 and $5.0 million in 2025. These amounts include only fixed consideration.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and Allowance for Credit Losses</w:t>
      </w:r>
    </w:p>
    <w:p>
      <w:pPr>
        <w:spacing w:after="0" w:line="11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Company’s balance for accounts receivable on the consolidated balance sheets as of October 1, 2023 and September 25, 2022 are primarily from contracts with customers. The Company had no material expense for credit losses for the quarters ended October 1, 2023 and September 25,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 disaggregates its revenues from contracts with customers by reportable segment: Consumer Products, Wizards of the Coast and Digital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Gaming, and Entertainment. The Company further disaggregates revenues within its Consumer Products segment by major geographic region: North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America, Europe, Latin America, and Asia Pacific; within its Wizards of the Coast and Digital Gaming segment by category: Tabletop Gaming and Digital</w:t>
      </w:r>
    </w:p>
    <w:p>
      <w:pPr>
        <w:spacing w:after="0" w:line="3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and Licensed Gaming; and within its Entertainment segment by category: Film &amp; TV, Family Brands, and Other. Finally, the Company disaggregates its revenues by brand portfolio into four brand categories: Franchise Brands, Partner Brands, Portfolio Brands, and Non-Hasbro Branded Film &amp; TV. We believe these collectively depict how the nature, amount, timing and uncertainty of revenue and cash flows are affected by economic factors. See note 13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(Loss)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Net earnings (loss) per share data for the quarters and nine months ended October 1, 2023 and September 25, 2022 were computed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9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Quarter</w:t>
            </w:r>
          </w:p>
        </w:tc>
        <w:tc>
          <w:tcPr>
            <w:tcW w:w="260" w:type="dxa"/>
            <w:vAlign w:val="bottom"/>
          </w:tcPr>
          <w:p>
            <w:pPr>
              <w:spacing w:after="0"/>
              <w:rPr>
                <w:sz w:val="15"/>
                <w:szCs w:val="15"/>
                <w:color w:val="auto"/>
              </w:rPr>
            </w:pPr>
          </w:p>
        </w:tc>
        <w:tc>
          <w:tcPr>
            <w:tcW w:w="1300" w:type="dxa"/>
            <w:vAlign w:val="bottom"/>
            <w:gridSpan w:val="3"/>
          </w:tcPr>
          <w:p>
            <w:pPr>
              <w:jc w:val="right"/>
              <w:ind w:right="740"/>
              <w:spacing w:after="0" w:line="182" w:lineRule="exact"/>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Diluted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jc w:val="right"/>
              <w:ind w:right="760"/>
              <w:spacing w:after="0" w:line="182" w:lineRule="exact"/>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Diluted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earnings attributable to Hasbro,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Options and other share-based awards</w:t>
            </w: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Equivalent Shares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Net (loss) earnings attributable to Hasbro, Inc. per common share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9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Nine Months</w:t>
            </w:r>
          </w:p>
        </w:tc>
        <w:tc>
          <w:tcPr>
            <w:tcW w:w="260" w:type="dxa"/>
            <w:vAlign w:val="bottom"/>
          </w:tcPr>
          <w:p>
            <w:pPr>
              <w:spacing w:after="0"/>
              <w:rPr>
                <w:sz w:val="15"/>
                <w:szCs w:val="15"/>
                <w:color w:val="auto"/>
              </w:rPr>
            </w:pPr>
          </w:p>
        </w:tc>
        <w:tc>
          <w:tcPr>
            <w:tcW w:w="1300" w:type="dxa"/>
            <w:vAlign w:val="bottom"/>
            <w:gridSpan w:val="3"/>
          </w:tcPr>
          <w:p>
            <w:pPr>
              <w:jc w:val="right"/>
              <w:ind w:right="740"/>
              <w:spacing w:after="0" w:line="182" w:lineRule="exact"/>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Diluted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jc w:val="right"/>
              <w:ind w:right="760"/>
              <w:spacing w:after="0" w:line="182" w:lineRule="exact"/>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Diluted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earnings attributable to Hasbro,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Options and other share-based awards</w:t>
            </w: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Equivalent Shares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Net (loss) earnings attributable to Hasbro, Inc. per common share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For the quarter and nine months ended October 1, 2023, options and restricted stock units totaling 2.1 million and 2.5 million, respectively, were excluded from the calculation of diluted earnings per share because to include them would have been anti-dilutive. For the quarter and nine months ended September 25, 2022, options and restricted stock units totaling 2.9 million and 2.8 million, respectively, were excluded from the calculation of diluted earnings per share because to include them would have been anti-dilutive. Of the fiscal 2023 amount, 1.9 million and 1.7 million shares, respectively, would have been included in the calculation of diluted shares had the Company not had a net loss for the quarter and nine months ended October 1, 2023. Assuming that these awards and options were included, under the treasury stock method, they would have resulted in an additional 0.4 million and 0.2 million shares, respectively, being included in the diluted earnings per share calculation for the quarter and nine months ended October 1, 2023.</w:t>
      </w:r>
    </w:p>
    <w:p>
      <w:pPr>
        <w:spacing w:after="0" w:line="108"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carrying amount of goodwill, by operating segment, for the nine months ended October 1, 2023 and September 25, 2022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Wizards of the Coast</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84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Consumer Products</w:t>
            </w: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and Digital Gaming</w:t>
            </w:r>
          </w:p>
        </w:tc>
        <w:tc>
          <w:tcPr>
            <w:tcW w:w="1840" w:type="dxa"/>
            <w:vAlign w:val="bottom"/>
            <w:gridSpan w:val="2"/>
          </w:tcPr>
          <w:p>
            <w:pPr>
              <w:ind w:left="300"/>
              <w:spacing w:after="0"/>
              <w:rPr>
                <w:sz w:val="20"/>
                <w:szCs w:val="20"/>
                <w:color w:val="auto"/>
              </w:rPr>
            </w:pPr>
            <w:r>
              <w:rPr>
                <w:rFonts w:ascii="Arial" w:cs="Arial" w:eastAsia="Arial" w:hAnsi="Arial"/>
                <w:sz w:val="18"/>
                <w:szCs w:val="18"/>
                <w:b w:val="1"/>
                <w:bCs w:val="1"/>
                <w:color w:val="auto"/>
              </w:rPr>
              <w:t>Entertainment</w:t>
            </w:r>
          </w:p>
        </w:tc>
        <w:tc>
          <w:tcPr>
            <w:tcW w:w="400" w:type="dxa"/>
            <w:vAlign w:val="bottom"/>
          </w:tcPr>
          <w:p>
            <w:pPr>
              <w:spacing w:after="0"/>
              <w:rPr>
                <w:sz w:val="21"/>
                <w:szCs w:val="21"/>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9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Balance as of December 25, 2022</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1,584.7</w:t>
            </w:r>
          </w:p>
        </w:tc>
        <w:tc>
          <w:tcPr>
            <w:tcW w:w="10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1,513.9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3,470.1</w:t>
            </w:r>
          </w:p>
        </w:tc>
      </w:tr>
      <w:tr>
        <w:trPr>
          <w:trHeight w:val="230"/>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tcPr>
          <w:p>
            <w:pPr>
              <w:spacing w:after="0"/>
              <w:rPr>
                <w:sz w:val="19"/>
                <w:szCs w:val="19"/>
                <w:color w:val="auto"/>
              </w:rPr>
            </w:pPr>
          </w:p>
        </w:tc>
        <w:tc>
          <w:tcPr>
            <w:tcW w:w="394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Impairment during the period </w:t>
            </w:r>
            <w:r>
              <w:rPr>
                <w:rFonts w:ascii="Arial" w:cs="Arial" w:eastAsia="Arial" w:hAnsi="Arial"/>
                <w:sz w:val="23"/>
                <w:szCs w:val="23"/>
                <w:color w:val="auto"/>
                <w:vertAlign w:val="superscript"/>
              </w:rPr>
              <w:t>(1)</w:t>
            </w:r>
          </w:p>
        </w:tc>
        <w:tc>
          <w:tcPr>
            <w:tcW w:w="5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(231.2)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(231.2)</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October 1, 2023</w:t>
            </w: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1,282.7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3,238.8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note 1 for discussion of goodwill impairment recorded during the second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663575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2022</w:t>
      </w:r>
    </w:p>
    <w:p>
      <w:pPr>
        <w:spacing w:after="0" w:line="27" w:lineRule="exact"/>
        <w:rPr>
          <w:sz w:val="20"/>
          <w:szCs w:val="20"/>
          <w:color w:val="auto"/>
        </w:rPr>
      </w:pPr>
    </w:p>
    <w:p>
      <w:pPr>
        <w:ind w:left="20" w:right="320"/>
        <w:spacing w:after="0" w:line="293" w:lineRule="auto"/>
        <w:rPr>
          <w:sz w:val="20"/>
          <w:szCs w:val="20"/>
          <w:color w:val="auto"/>
        </w:rPr>
      </w:pPr>
      <w:r>
        <w:rPr>
          <w:rFonts w:ascii="Arial" w:cs="Arial" w:eastAsia="Arial" w:hAnsi="Arial"/>
          <w:sz w:val="17"/>
          <w:szCs w:val="17"/>
          <w:color w:val="auto"/>
        </w:rPr>
        <w:t>Balance as of December 26, 2021 Acquired during the period Foreign exchange translation Impairment during the period</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as of September 25,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Wizards of the Coast</w:t>
            </w: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43"/>
        </w:trPr>
        <w:tc>
          <w:tcPr>
            <w:tcW w:w="184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Consumer Products</w:t>
            </w: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and Digital Gaming</w:t>
            </w:r>
          </w:p>
        </w:tc>
        <w:tc>
          <w:tcPr>
            <w:tcW w:w="1840" w:type="dxa"/>
            <w:vAlign w:val="bottom"/>
            <w:gridSpan w:val="2"/>
          </w:tcPr>
          <w:p>
            <w:pPr>
              <w:ind w:left="300"/>
              <w:spacing w:after="0"/>
              <w:rPr>
                <w:sz w:val="20"/>
                <w:szCs w:val="20"/>
                <w:color w:val="auto"/>
              </w:rPr>
            </w:pPr>
            <w:r>
              <w:rPr>
                <w:rFonts w:ascii="Arial" w:cs="Arial" w:eastAsia="Arial" w:hAnsi="Arial"/>
                <w:sz w:val="18"/>
                <w:szCs w:val="18"/>
                <w:b w:val="1"/>
                <w:bCs w:val="1"/>
                <w:color w:val="auto"/>
              </w:rPr>
              <w:t>Entertainment</w:t>
            </w:r>
          </w:p>
        </w:tc>
        <w:tc>
          <w:tcPr>
            <w:tcW w:w="400" w:type="dxa"/>
            <w:vAlign w:val="bottom"/>
          </w:tcPr>
          <w:p>
            <w:pPr>
              <w:spacing w:after="0"/>
              <w:rPr>
                <w:sz w:val="21"/>
                <w:szCs w:val="21"/>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438"/>
        </w:trPr>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1,584.9</w:t>
            </w:r>
          </w:p>
        </w:tc>
        <w:tc>
          <w:tcPr>
            <w:tcW w:w="100" w:type="dxa"/>
            <w:vAlign w:val="bottom"/>
          </w:tcPr>
          <w:p>
            <w:pPr>
              <w:spacing w:after="0"/>
              <w:rPr>
                <w:sz w:val="24"/>
                <w:szCs w:val="24"/>
                <w:color w:val="auto"/>
              </w:rPr>
            </w:pPr>
          </w:p>
        </w:tc>
        <w:tc>
          <w:tcPr>
            <w:tcW w:w="1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4"/>
                <w:szCs w:val="24"/>
                <w:color w:val="auto"/>
              </w:rPr>
            </w:pPr>
          </w:p>
        </w:tc>
        <w:tc>
          <w:tcPr>
            <w:tcW w:w="1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1,527.4</w:t>
            </w:r>
          </w:p>
        </w:tc>
        <w:tc>
          <w:tcPr>
            <w:tcW w:w="80" w:type="dxa"/>
            <w:vAlign w:val="bottom"/>
          </w:tcPr>
          <w:p>
            <w:pPr>
              <w:spacing w:after="0"/>
              <w:rPr>
                <w:sz w:val="24"/>
                <w:szCs w:val="24"/>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3,419.6</w:t>
            </w:r>
          </w:p>
        </w:tc>
      </w:tr>
      <w:tr>
        <w:trPr>
          <w:trHeight w:val="229"/>
        </w:trPr>
        <w:tc>
          <w:tcPr>
            <w:tcW w:w="5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64.7</w:t>
            </w:r>
          </w:p>
        </w:tc>
      </w:tr>
      <w:tr>
        <w:trPr>
          <w:trHeight w:val="230"/>
        </w:trPr>
        <w:tc>
          <w:tcPr>
            <w:tcW w:w="56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(2.7)</w:t>
            </w:r>
          </w:p>
        </w:tc>
      </w:tr>
      <w:tr>
        <w:trPr>
          <w:trHeight w:val="230"/>
        </w:trPr>
        <w:tc>
          <w:tcPr>
            <w:tcW w:w="5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(11.8)</w:t>
            </w:r>
          </w:p>
        </w:tc>
      </w:tr>
      <w:tr>
        <w:trPr>
          <w:trHeight w:val="223"/>
        </w:trPr>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1,584.5</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1,513.8</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3,469.8</w:t>
            </w: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-916305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-624840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-334010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08" w:right="339" w:bottom="1440" w:gutter="0" w:footer="0" w:header="0"/>
        </w:sectPr>
      </w:pPr>
    </w:p>
    <w:p>
      <w:pPr>
        <w:spacing w:after="0" w:line="1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third quarter of 2022, the Company determined to exit certain non-core businesses within the Entertainment segment resulting in the classification of certain assets as Assets held for sale. A revaluation of the effected businesses resulted in a pre-tax non-cash goodwill impairment charge of $11.8 million, recorded within Loss on assets held for sale in the Consolidated Statement of Operations, and within the Entertainment segment for the quarter ended September 25, 2022.</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May 19, 2022, the Company completed its acquisition of D&amp;D Beyond for $146.3 million, which was funded with cash on hand. Based on the valuation of these assets, $64.7 million was allocated to goodwill within the Wizards of the Coast and Digital Gaming segment during the second quarter of 2022.</w:t>
      </w:r>
    </w:p>
    <w:p>
      <w:pPr>
        <w:spacing w:after="0" w:line="139"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Earnings (Loss)</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Components of other comprehensive earnings (loss) are presented within the consolidated statements of comprehensive earnings (loss). The following table presents the related tax effects on changes in other comprehensive earnings (loss) for the quarters and nine months ended October 1, 2023 and September 25,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340" w:type="dxa"/>
            <w:vAlign w:val="bottom"/>
            <w:gridSpan w:val="6"/>
          </w:tcPr>
          <w:p>
            <w:pPr>
              <w:ind w:left="104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840" w:type="dxa"/>
            <w:vAlign w:val="bottom"/>
            <w:gridSpan w:val="3"/>
          </w:tcPr>
          <w:p>
            <w:pPr>
              <w:ind w:left="540"/>
              <w:spacing w:after="0"/>
              <w:rPr>
                <w:sz w:val="20"/>
                <w:szCs w:val="20"/>
                <w:color w:val="auto"/>
              </w:rPr>
            </w:pPr>
            <w:r>
              <w:rPr>
                <w:rFonts w:ascii="Arial" w:cs="Arial" w:eastAsia="Arial" w:hAnsi="Arial"/>
                <w:sz w:val="18"/>
                <w:szCs w:val="18"/>
                <w:b w:val="1"/>
                <w:bCs w:val="1"/>
                <w:color w:val="auto"/>
              </w:rPr>
              <w:t>Nine Months Ended</w:t>
            </w:r>
          </w:p>
        </w:tc>
      </w:tr>
      <w:tr>
        <w:trPr>
          <w:trHeight w:val="178"/>
        </w:trPr>
        <w:tc>
          <w:tcPr>
            <w:tcW w:w="4840" w:type="dxa"/>
            <w:vAlign w:val="bottom"/>
          </w:tcPr>
          <w:p>
            <w:pPr>
              <w:spacing w:after="0"/>
              <w:rPr>
                <w:sz w:val="15"/>
                <w:szCs w:val="15"/>
                <w:color w:val="auto"/>
              </w:rPr>
            </w:pPr>
          </w:p>
        </w:tc>
        <w:tc>
          <w:tcPr>
            <w:tcW w:w="12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October 1,</w:t>
            </w:r>
          </w:p>
        </w:tc>
        <w:tc>
          <w:tcPr>
            <w:tcW w:w="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150"/>
              <w:spacing w:after="0" w:line="177" w:lineRule="exact"/>
              <w:rPr>
                <w:sz w:val="20"/>
                <w:szCs w:val="20"/>
                <w:color w:val="auto"/>
              </w:rPr>
            </w:pPr>
            <w:r>
              <w:rPr>
                <w:rFonts w:ascii="Arial" w:cs="Arial" w:eastAsia="Arial" w:hAnsi="Arial"/>
                <w:sz w:val="18"/>
                <w:szCs w:val="18"/>
                <w:b w:val="1"/>
                <w:bCs w:val="1"/>
                <w:color w:val="auto"/>
                <w:w w:val="92"/>
              </w:rPr>
              <w:t>September 25,</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120"/>
              <w:spacing w:after="0" w:line="177" w:lineRule="exact"/>
              <w:rPr>
                <w:sz w:val="20"/>
                <w:szCs w:val="20"/>
                <w:color w:val="auto"/>
              </w:rPr>
            </w:pPr>
            <w:r>
              <w:rPr>
                <w:rFonts w:ascii="Arial" w:cs="Arial" w:eastAsia="Arial" w:hAnsi="Arial"/>
                <w:sz w:val="18"/>
                <w:szCs w:val="18"/>
                <w:b w:val="1"/>
                <w:bCs w:val="1"/>
                <w:color w:val="auto"/>
              </w:rPr>
              <w:t>October 1,</w:t>
            </w:r>
          </w:p>
        </w:tc>
        <w:tc>
          <w:tcPr>
            <w:tcW w:w="14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9"/>
              </w:rPr>
              <w:t>September 25,</w:t>
            </w:r>
          </w:p>
        </w:tc>
      </w:tr>
      <w:tr>
        <w:trPr>
          <w:trHeight w:val="234"/>
        </w:trPr>
        <w:tc>
          <w:tcPr>
            <w:tcW w:w="484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50"/>
        </w:trPr>
        <w:tc>
          <w:tcPr>
            <w:tcW w:w="48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Other comprehensive earnings (loss), tax effect:</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on unrealized holding losses</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7"/>
              </w:rPr>
              <w:t>0.1</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Tax (expense) benefit on cash flow hedging activities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80" w:type="dxa"/>
            <w:vAlign w:val="bottom"/>
          </w:tcPr>
          <w:p>
            <w:pPr>
              <w:jc w:val="center"/>
              <w:ind w:left="990"/>
              <w:spacing w:after="0"/>
              <w:rPr>
                <w:sz w:val="20"/>
                <w:szCs w:val="20"/>
                <w:color w:val="auto"/>
              </w:rPr>
            </w:pPr>
            <w:r>
              <w:rPr>
                <w:rFonts w:ascii="Arial" w:cs="Arial" w:eastAsia="Arial" w:hAnsi="Arial"/>
                <w:sz w:val="18"/>
                <w:szCs w:val="18"/>
                <w:color w:val="auto"/>
                <w:w w:val="97"/>
              </w:rPr>
              <w:t>(2.1)</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to earnings, tax effect:</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4840" w:type="dxa"/>
            <w:vAlign w:val="bottom"/>
          </w:tcPr>
          <w:p>
            <w:pPr>
              <w:ind w:left="340"/>
              <w:spacing w:after="0"/>
              <w:rPr>
                <w:sz w:val="20"/>
                <w:szCs w:val="20"/>
                <w:color w:val="auto"/>
              </w:rPr>
            </w:pPr>
            <w:r>
              <w:rPr>
                <w:rFonts w:ascii="Arial" w:cs="Arial" w:eastAsia="Arial" w:hAnsi="Arial"/>
                <w:sz w:val="18"/>
                <w:szCs w:val="18"/>
                <w:color w:val="auto"/>
              </w:rPr>
              <w:t>Tax (benefit) expense on cash flow hedging activities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80" w:type="dxa"/>
            <w:vAlign w:val="bottom"/>
          </w:tcPr>
          <w:p>
            <w:pPr>
              <w:jc w:val="center"/>
              <w:ind w:left="1010"/>
              <w:spacing w:after="0"/>
              <w:rPr>
                <w:sz w:val="20"/>
                <w:szCs w:val="20"/>
                <w:color w:val="auto"/>
              </w:rPr>
            </w:pPr>
            <w:r>
              <w:rPr>
                <w:rFonts w:ascii="Arial" w:cs="Arial" w:eastAsia="Arial" w:hAnsi="Arial"/>
                <w:sz w:val="18"/>
                <w:szCs w:val="18"/>
                <w:color w:val="auto"/>
                <w:w w:val="87"/>
              </w:rPr>
              <w:t>0.5</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unrecognized pension and postretirement</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w:t>
            </w:r>
          </w:p>
        </w:tc>
        <w:tc>
          <w:tcPr>
            <w:tcW w:w="1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97"/>
              </w:rPr>
              <w:t>(0.1)</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Total tax effect on other comprehensive earnings (loss)</w:t>
            </w: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center"/>
              <w:ind w:left="990"/>
              <w:spacing w:after="0"/>
              <w:rPr>
                <w:sz w:val="20"/>
                <w:szCs w:val="20"/>
                <w:color w:val="auto"/>
              </w:rPr>
            </w:pPr>
            <w:r>
              <w:rPr>
                <w:rFonts w:ascii="Arial" w:cs="Arial" w:eastAsia="Arial" w:hAnsi="Arial"/>
                <w:sz w:val="18"/>
                <w:szCs w:val="18"/>
                <w:color w:val="auto"/>
                <w:w w:val="97"/>
              </w:rPr>
              <w:t>(1.6)</w:t>
            </w:r>
          </w:p>
        </w:tc>
      </w:tr>
      <w:tr>
        <w:trPr>
          <w:trHeight w:val="20"/>
        </w:trPr>
        <w:tc>
          <w:tcPr>
            <w:tcW w:w="4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973"/>
        </w:trPr>
        <w:tc>
          <w:tcPr>
            <w:tcW w:w="48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 w:name="page15"/>
    <w:bookmarkEnd w:id="1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Changes in the components of accumulated other comprehensive earnings (loss), net of tax for the nine months ended October 1, 2023 and September 25, 2022 are as follows: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5"/>
              </w:rPr>
              <w:t>Holding</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Gains</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Gains</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Pension and</w:t>
            </w: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(Losses) on</w:t>
            </w: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Available-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1"/>
                <w:szCs w:val="11"/>
                <w:color w:val="auto"/>
              </w:rPr>
            </w:pPr>
          </w:p>
        </w:tc>
        <w:tc>
          <w:tcPr>
            <w:tcW w:w="118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for-Sale</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11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Amounts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Instruments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Securities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7"/>
                <w:szCs w:val="17"/>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4160" w:type="dxa"/>
            <w:vAlign w:val="bottom"/>
            <w:tcBorders>
              <w:top w:val="single" w:sz="8" w:color="CCEEFF"/>
            </w:tcBorders>
            <w:gridSpan w:val="2"/>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Balance at December 25,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period other comprehensive earnings (loss)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Balance at October 1, 2023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18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26,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period other comprehensive earnings (loss)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25,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Gains (Losses) on Derivative Instruments</w:t>
      </w:r>
    </w:p>
    <w:p>
      <w:pPr>
        <w:spacing w:after="0" w:line="19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At October 1, 2023, the Company had remaining net deferred gains on foreign currency forward contracts, net of tax, of $2.7 million in accumulated other comprehensive earnings (loss) ("AOCE"). These instruments hedge payments related to inventory purchased in the third quarter of 2023 or forecasted to be purchased during the remainder of 2023 and throughout 2024, intercompany expenses expected to be paid or received during 2023, television and movie production costs paid in 2023 or expected to be paid in 2024, and cash receipts for sales made at the end of the third quarter of 2023 or forecasted to be made in the remainder of 2023 and throughout 2024. These amounts will be reclassified into the consolidated statements of operations upon the sale of the related inventory, the recognition of the related production costs or the recognition of the related sales or intercompany expenses to be paid or received.</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to foreign currency forward contracts, the Company entered into hedging contracts on future interest payments related to the 3.15% Notes that were repaid in full in the aggregate principal amount of $300.0 million in 2021 (See note 7), and the 5.10% Notes due 2044. At the date of debt issuance, these contracts were terminated and the fair value on the date of settlement was deferred in AOCE and is being amortized to interest expense over the life of the related notes using the effective interest rate method. At October 1, 2023, deferred losses, net of tax of $14.4 million related to these instruments remained in AOCE. For the quarters ended October 1, 2023 and September 25, 2022, previously deferred losses of $0.2 million related to these instruments were reclassified from AOCE to net earnings. For the nine months ended October 1, 2023 and September 25, 2022, previously deferred losses of $0.5 million were reclassified from AOCE to net earnings, respectively.</w:t>
      </w:r>
    </w:p>
    <w:p>
      <w:pPr>
        <w:spacing w:after="0" w:line="13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Of the net deferred losses included in AOCE at October 1, 2023, the Company expects net losses of approximately $0.4 million to be reclassified to the consolidated statements of operations within the next 12 months. However, the amount ultimately realized in earnings is dependent on the fair value of the hedging instruments on the settlement dates.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See note 11 for additional discussion on reclassifications from AOCE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5" w:name="page16"/>
    <w:bookmarkEnd w:id="1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accrued liabilities for the periods ended October 1, 2023, September 25, 2022 and December 25, 2022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1, 2023</w:t>
            </w:r>
          </w:p>
        </w:tc>
        <w:tc>
          <w:tcPr>
            <w:tcW w:w="174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September 25, 2022</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December 25, 2022</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111.3</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Cancellation charges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89.2</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Payroll and management incentives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vendor accruals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Severance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Participations and residuals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300.2</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 current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Accrued income taxes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contributions plans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Accrued expenses - IIP &amp; IIC</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payables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r>
      <w:tr>
        <w:trPr>
          <w:trHeight w:val="248"/>
        </w:trPr>
        <w:tc>
          <w:tcPr>
            <w:tcW w:w="58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accrued liabilities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1,506.8</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8"/>
        <w:spacing w:after="0" w:line="278" w:lineRule="auto"/>
        <w:tabs>
          <w:tab w:leader="none" w:pos="132" w:val="left"/>
        </w:tabs>
        <w:numPr>
          <w:ilvl w:val="0"/>
          <w:numId w:val="13"/>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For the nine-month period ended October 1, 2023, liabilities of $607.4 million attributable to the Film &amp; TV business, which were previously classified within Accrued liabilities, have been transferred to Liabilities held for sale. For the nine-month period ended September 25, 2022, liabilities of $15.0 million attributable to non-core entertainment businesses, which were previously classified within Accrued liabilities, were transferred to Liabilities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16" w:name="page17"/>
    <w:bookmarkEnd w:id="1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w:t>
      </w:r>
    </w:p>
    <w:p>
      <w:pPr>
        <w:spacing w:after="0" w:line="20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Company's financial instruments include cash and cash equivalents, accounts receivable, short-term borrowings, accounts payable and certain accrued liabilities. At October 1, 2023, September 25, 2022 and December 25, 2022, the carrying cost of these instruments approximated their fair value. The Company's financial instruments at October 1, 2023, September 25, 2022 and December 25, 2022 also include certain assets and liabilities measured at fair value (see notes 10 and 11) as well as long-term borrowings. The carrying costs, which are equal to the outstanding principal amounts, and fair values of the Company's long-term borrowings as of October 1, 2023, September 25, 2022 and December 25, 2022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ind w:left="540"/>
              <w:spacing w:after="0"/>
              <w:rPr>
                <w:sz w:val="20"/>
                <w:szCs w:val="20"/>
                <w:color w:val="auto"/>
              </w:rPr>
            </w:pPr>
            <w:r>
              <w:rPr>
                <w:rFonts w:ascii="Arial" w:cs="Arial" w:eastAsia="Arial" w:hAnsi="Arial"/>
                <w:sz w:val="18"/>
                <w:szCs w:val="18"/>
                <w:b w:val="1"/>
                <w:bCs w:val="1"/>
                <w:color w:val="auto"/>
              </w:rPr>
              <w:t>October 1, 2023</w:t>
            </w:r>
          </w:p>
        </w:tc>
        <w:tc>
          <w:tcPr>
            <w:tcW w:w="200" w:type="dxa"/>
            <w:vAlign w:val="bottom"/>
          </w:tcPr>
          <w:p>
            <w:pPr>
              <w:spacing w:after="0"/>
              <w:rPr>
                <w:sz w:val="20"/>
                <w:szCs w:val="20"/>
                <w:color w:val="auto"/>
              </w:rPr>
            </w:pPr>
          </w:p>
        </w:tc>
        <w:tc>
          <w:tcPr>
            <w:tcW w:w="2640" w:type="dxa"/>
            <w:vAlign w:val="bottom"/>
            <w:gridSpan w:val="4"/>
          </w:tcPr>
          <w:p>
            <w:pPr>
              <w:ind w:left="420"/>
              <w:spacing w:after="0"/>
              <w:rPr>
                <w:sz w:val="20"/>
                <w:szCs w:val="20"/>
                <w:color w:val="auto"/>
              </w:rPr>
            </w:pPr>
            <w:r>
              <w:rPr>
                <w:rFonts w:ascii="Arial" w:cs="Arial" w:eastAsia="Arial" w:hAnsi="Arial"/>
                <w:sz w:val="18"/>
                <w:szCs w:val="18"/>
                <w:b w:val="1"/>
                <w:bCs w:val="1"/>
                <w:color w:val="auto"/>
              </w:rPr>
              <w:t>September 25, 2022</w:t>
            </w:r>
          </w:p>
        </w:tc>
        <w:tc>
          <w:tcPr>
            <w:tcW w:w="200" w:type="dxa"/>
            <w:vAlign w:val="bottom"/>
          </w:tcPr>
          <w:p>
            <w:pPr>
              <w:spacing w:after="0"/>
              <w:rPr>
                <w:sz w:val="20"/>
                <w:szCs w:val="20"/>
                <w:color w:val="auto"/>
              </w:rPr>
            </w:pPr>
          </w:p>
        </w:tc>
        <w:tc>
          <w:tcPr>
            <w:tcW w:w="25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December 25, 2022</w:t>
            </w:r>
          </w:p>
        </w:tc>
      </w:tr>
      <w:tr>
        <w:trPr>
          <w:trHeight w:val="169"/>
        </w:trPr>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7"/>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7"/>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4"/>
              </w:rPr>
              <w:t>Carrying</w:t>
            </w:r>
          </w:p>
        </w:tc>
        <w:tc>
          <w:tcPr>
            <w:tcW w:w="1300" w:type="dxa"/>
            <w:vAlign w:val="bottom"/>
            <w:tcBorders>
              <w:top w:val="single" w:sz="8" w:color="auto"/>
            </w:tcBorders>
          </w:tcPr>
          <w:p>
            <w:pPr>
              <w:jc w:val="right"/>
              <w:ind w:right="390"/>
              <w:spacing w:after="0" w:line="169" w:lineRule="exact"/>
              <w:rPr>
                <w:sz w:val="20"/>
                <w:szCs w:val="20"/>
                <w:color w:val="auto"/>
              </w:rPr>
            </w:pPr>
            <w:r>
              <w:rPr>
                <w:rFonts w:ascii="Arial" w:cs="Arial" w:eastAsia="Arial" w:hAnsi="Arial"/>
                <w:sz w:val="18"/>
                <w:szCs w:val="18"/>
                <w:b w:val="1"/>
                <w:bCs w:val="1"/>
                <w:color w:val="auto"/>
              </w:rPr>
              <w:t>Fair</w:t>
            </w:r>
          </w:p>
        </w:tc>
      </w:tr>
      <w:tr>
        <w:trPr>
          <w:trHeight w:val="237"/>
        </w:trPr>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Cost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3.90%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2029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808.2</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3.55%</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w:t>
            </w: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3.00%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482.2</w:t>
            </w: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6.35%</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2040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3.50%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465.8</w:t>
            </w: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5.10%</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2044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6.60%</w:t>
            </w:r>
          </w:p>
        </w:tc>
        <w:tc>
          <w:tcPr>
            <w:tcW w:w="2260" w:type="dxa"/>
            <w:vAlign w:val="bottom"/>
          </w:tcPr>
          <w:p>
            <w:pPr>
              <w:ind w:left="20"/>
              <w:spacing w:after="0"/>
              <w:rPr>
                <w:sz w:val="20"/>
                <w:szCs w:val="20"/>
                <w:color w:val="auto"/>
              </w:rPr>
            </w:pPr>
            <w:r>
              <w:rPr>
                <w:rFonts w:ascii="Arial" w:cs="Arial" w:eastAsia="Arial" w:hAnsi="Arial"/>
                <w:sz w:val="18"/>
                <w:szCs w:val="18"/>
                <w:color w:val="auto"/>
              </w:rPr>
              <w:t>Debentures Due 2028</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112.1</w:t>
            </w:r>
          </w:p>
        </w:tc>
      </w:tr>
      <w:tr>
        <w:trPr>
          <w:trHeight w:val="175"/>
        </w:trPr>
        <w:tc>
          <w:tcPr>
            <w:tcW w:w="2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Variable % Notes Due December 30,</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r>
      <w:tr>
        <w:trPr>
          <w:trHeight w:val="229"/>
        </w:trPr>
        <w:tc>
          <w:tcPr>
            <w:tcW w:w="2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Production Financing Facilities</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23"/>
        </w:trPr>
        <w:tc>
          <w:tcPr>
            <w:tcW w:w="2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3,848.1</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3,626.3</w:t>
            </w:r>
          </w:p>
        </w:tc>
      </w:tr>
      <w:tr>
        <w:trPr>
          <w:trHeight w:val="229"/>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Less: Deferred debt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3,654.6</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3,463.1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3,725.1</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3,638.4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3,711.2</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3,626.3</w:t>
            </w:r>
          </w:p>
        </w:tc>
      </w:tr>
      <w:tr>
        <w:trPr>
          <w:trHeight w:val="20"/>
        </w:trPr>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40" w:firstLine="8"/>
        <w:spacing w:after="0" w:line="293" w:lineRule="auto"/>
        <w:tabs>
          <w:tab w:leader="none" w:pos="145" w:val="left"/>
        </w:tabs>
        <w:numPr>
          <w:ilvl w:val="0"/>
          <w:numId w:val="15"/>
        </w:numPr>
        <w:rPr>
          <w:rFonts w:ascii="Arial" w:cs="Arial" w:eastAsia="Arial" w:hAnsi="Arial"/>
          <w:sz w:val="9"/>
          <w:szCs w:val="9"/>
          <w:i w:val="1"/>
          <w:iCs w:val="1"/>
          <w:color w:val="auto"/>
        </w:rPr>
      </w:pPr>
      <w:r>
        <w:rPr>
          <w:rFonts w:ascii="Arial" w:cs="Arial" w:eastAsia="Arial" w:hAnsi="Arial"/>
          <w:sz w:val="14"/>
          <w:szCs w:val="14"/>
          <w:i w:val="1"/>
          <w:iCs w:val="1"/>
          <w:color w:val="auto"/>
        </w:rPr>
        <w:t>During the third quarter of 2023, all production financing facilities attributable to the non-core eOne Film and TV business, which were previously classified within Current portion of long-term debt, have been transferred to Liabilities held for sale.</w:t>
      </w:r>
    </w:p>
    <w:p>
      <w:pPr>
        <w:spacing w:after="0" w:line="178"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In November 2019, in conjunction with the Company's acquisition of eOne, the Company issued an aggregate of $2.4 billion of senior unsecured debt securities (the "Notes") consisting of the following tranches: $300.0 million of notes due 2022 (the "2022 Notes") that bear interest at a fixed rate</w:t>
      </w:r>
    </w:p>
    <w:p>
      <w:pPr>
        <w:ind w:right="180"/>
        <w:spacing w:after="0" w:line="273" w:lineRule="auto"/>
        <w:rPr>
          <w:sz w:val="20"/>
          <w:szCs w:val="20"/>
          <w:color w:val="auto"/>
        </w:rPr>
      </w:pPr>
      <w:r>
        <w:rPr>
          <w:rFonts w:ascii="Arial" w:cs="Arial" w:eastAsia="Arial" w:hAnsi="Arial"/>
          <w:sz w:val="17"/>
          <w:szCs w:val="17"/>
          <w:color w:val="auto"/>
        </w:rPr>
        <w:t>of 2.60%, $500.0 million of notes due 2024 (the "2024 Notes") that bear interest at a fixed rate of 3.00%, $675.0 million of notes due 2026 (the "2026 Notes") that bear interest at a fixed rate of 3.55% and $900.0 million of notes due 2029 (the "2029 Notes") that bear interest at a fixed rate of 3.90%. Net proceeds from the issuance of the Notes, after deduction of $20.0 million of underwriting discount and fees, totaled $2.4 billion. These costs are being amortized over the life of the Notes outstanding, which range from five years to ten years from the date of issuance.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Notes bear interest at the stated rates but may be subject to upward adjustment if the credit rating of the Company is reduced by Moody's or Standard</w:t>
      </w:r>
    </w:p>
    <w:p>
      <w:pPr>
        <w:spacing w:after="0" w:line="46" w:lineRule="exact"/>
        <w:rPr>
          <w:sz w:val="20"/>
          <w:szCs w:val="20"/>
          <w:color w:val="auto"/>
        </w:rPr>
      </w:pPr>
    </w:p>
    <w:p>
      <w:pPr>
        <w:ind w:right="60" w:firstLine="8"/>
        <w:spacing w:after="0" w:line="290" w:lineRule="auto"/>
        <w:tabs>
          <w:tab w:leader="none" w:pos="1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25 basis points (in the case of the 2024 Notes); (2) 30 basis points (in the case of the 2026 Notes); and (3)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675005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7" w:name="page18"/>
    <w:bookmarkEnd w:id="17"/>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58"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In September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The full amount of the Term Loan Facilities was drawn down on December 30, 2019, the closing date of the eOne Acquisition. As of September 25, 2022, the Company has fully repaid the Three-Year Tranche $400.0 million principal term loan, and of the Five-Year Tranche $600.0 million principal balance, the Company has repaid a total of</w:t>
      </w:r>
    </w:p>
    <w:p>
      <w:pPr>
        <w:spacing w:after="0" w:line="2" w:lineRule="exact"/>
        <w:rPr>
          <w:sz w:val="20"/>
          <w:szCs w:val="20"/>
          <w:color w:val="auto"/>
        </w:rPr>
      </w:pPr>
    </w:p>
    <w:p>
      <w:pPr>
        <w:ind w:right="780"/>
        <w:spacing w:after="0" w:line="260" w:lineRule="auto"/>
        <w:rPr>
          <w:sz w:val="20"/>
          <w:szCs w:val="20"/>
          <w:color w:val="auto"/>
        </w:rPr>
      </w:pPr>
      <w:r>
        <w:rPr>
          <w:rFonts w:ascii="Arial" w:cs="Arial" w:eastAsia="Arial" w:hAnsi="Arial"/>
          <w:sz w:val="18"/>
          <w:szCs w:val="18"/>
          <w:color w:val="auto"/>
        </w:rPr>
        <w:t>$350.0 million in the following increments: $22.5 million in 2020; $180.0 million in 2021; $87.5 million in 2022; and $60.0 million of principal amortization payments in the first nine months of 2023.</w:t>
      </w:r>
    </w:p>
    <w:p>
      <w:pPr>
        <w:spacing w:after="0" w:line="199"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Loans under the remaining Five-Year Tranche bear interest at the Company’s option, at either the adjusted Term Secured Overnight Financing Rate ("SOFR"), plus an applicable margin, or the Base Rate, plus a per annum applicable rate that fluctuates between 100.0 basis points and 187.5 basis points, in the case of loans priced at the SOFR,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by the relevant rating agencies or a lack of ratings issued by such rating agencies. Loans under the Five-Year Tranche require principal amortization payments that are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acquisition of eOne, 5.65:1.00 or 5.40:1.00 for each of the first, second and third fiscal quarters ended after the funding of the Term Loan Facilities, with periodic step downs to 3.50:1.00 for the fiscal quarter ending December 31, 2023 and thereafter. As of October 1, 2023, the Company was in compliance with the financial covenants contained in the Term Loan Agreement.</w:t>
      </w:r>
    </w:p>
    <w:p>
      <w:pPr>
        <w:spacing w:after="0" w:line="15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may redeem its 5.10% notes due in 2044 (the "2044 Notes") at its option, at the greater of the principal amount of the notes or the present value of the remaining scheduled payments, discounted using the effective interest rate on applicable U.S. Treasury bills at the time of repurchase.</w:t>
      </w:r>
    </w:p>
    <w:p>
      <w:pPr>
        <w:spacing w:after="0" w:line="9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Current portion of long-term debt at October 1, 2023 of $60.0 million, as shown on the consolidated balance sheet, represents the current portion of required quarterly principal amortization payments for the Five-Year Tranche of the Term Loan Facilities. All of the Company’s other long-term borrowings have contractual maturities that occur subsequent to 2023 with the exception of annual principal payments related to the Term Loan Facilities.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values of the Company's long-term debt are considered Level 3 fair values (see note 10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Financing Arrangements</w:t>
      </w:r>
    </w:p>
    <w:p>
      <w:pPr>
        <w:spacing w:after="0" w:line="18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September 2023, the Company entered into a third amended and restated revolving credit agreement with Bank of America, as administrative agent, swing line lender, a letter of credit issuer and a lender and certain other financial institutions, as lenders thereto (the "Amended Revolving Credit Agreement"), which provides the Company with commitments having a maximum aggregate principal amount of $1.25 billion. The Amended Revolving Credit Agreement contains certain financial covenants setting forth leverage and coverage requirements, and certain other limitations typical of an investment grade facility, including with respect to liens, mergers and incurrence of indebtedness. It also provides for a potential additional incremental commitment increase of up to $500.0 million subject to agreement of the lenders.</w:t>
      </w:r>
    </w:p>
    <w:p>
      <w:pPr>
        <w:spacing w:after="0" w:line="15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Loans under the revolving credit facility bear interest, at the Company’s option, at either the Adjusted Term Benchmark Rate (determined in accordance with the Amended Revolving Credit Agreement), the Base Rate (determined in accordance with the Amended Revolving Credit Agreement) or the Daily Benchmark Rate (determined in accordance with the Amended Revolving Credit Agreement). In each case there is also a spread added to the rate, which fluctuates based upon the more favorable of the Company’s long-term debt ratings and the Company’s leverage. The Company is also required to pay a commitment fee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8" w:name="page19"/>
    <w:bookmarkEnd w:id="18"/>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respect to the unused commitments under the facility, the rate for which is also determined based upon the more favorable of the Company's long-term debt ratings and leverage.</w:t>
      </w:r>
    </w:p>
    <w:p>
      <w:pPr>
        <w:spacing w:after="0" w:line="6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Amended Revolving Credit Agreement contains affirmative and negative covenants typical of this type of facility, including: (a) restrictions on the Company’s and its domestic subsidiaries’ ability to allow liens on their assets, (b) restrictions on the incurrence of indebtedness, (c) restrictions on the Company’s and certain of its subsidiaries’ ability to engage in certain mergers, (d) the requirement that the Company maintain a Consolidated Interest Coverage Ratio of no less than 3.00:1.00 as of the end of any fiscal quarter and (e) the requirement that the Company maintain: prior to the date on which the disposition of the Company’s eOne film and television business pursuant to the Equity Purchase Agreement, dated as of August 3, 2023, by and among the Company, Lions Gate Entertainment Corp., Lions Gate Entertainment Inc. and Lions Gate International Motion Pictures S.À.R.L. is consummated (the “EOne Disposition Date”), a Consolidated Total Leverage Ratio of no more than (1) 4.10:1.00 for the quarter ended September 30, 2023 and (2) 3.50:1.00 for the quarter ended December 31, 2023 and thereafter and on and after the EOne Disposition Date, a Consolidated Net Total Leverage Ratio of no more than (1) 4.00:1.00 for each of the quarters ended September 30, 2023 and December 31, 2023, (2) 3.75:1.00 for each of the first, second and fourth fiscal quarters of each year (other than 2023) and (3) 4.00:1:00 for the third fiscal quarter of each year (other than 2023).</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Production Financing</w:t>
      </w:r>
    </w:p>
    <w:p>
      <w:pPr>
        <w:spacing w:after="0" w:line="11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212529"/>
        </w:rPr>
        <w:t>In addition to the Company's financial instruments, t</w:t>
      </w:r>
      <w:r>
        <w:rPr>
          <w:rFonts w:ascii="Arial" w:cs="Arial" w:eastAsia="Arial" w:hAnsi="Arial"/>
          <w:sz w:val="17"/>
          <w:szCs w:val="17"/>
          <w:color w:val="000000"/>
        </w:rPr>
        <w:t>he Company uses production financing facilities to fund its film and television productions which are</w:t>
      </w:r>
      <w:r>
        <w:rPr>
          <w:rFonts w:ascii="Arial" w:cs="Arial" w:eastAsia="Arial" w:hAnsi="Arial"/>
          <w:sz w:val="17"/>
          <w:szCs w:val="17"/>
          <w:color w:val="212529"/>
        </w:rPr>
        <w:t xml:space="preserve"> </w:t>
      </w:r>
      <w:r>
        <w:rPr>
          <w:rFonts w:ascii="Arial" w:cs="Arial" w:eastAsia="Arial" w:hAnsi="Arial"/>
          <w:sz w:val="17"/>
          <w:szCs w:val="17"/>
          <w:color w:val="000000"/>
        </w:rPr>
        <w:t>arranged on an individual production basis by either special purpose production subsidiaries, each secured by future revenues of such production subsidiaries, which are non-recourse to the Company's assets, or through a senior revolving credit facility dedicated to production financing obtained in November 2021. The Company's senior revolving film and television production credit facility (the “RPCF”) with MUFG Union Bank, N.A., as administrative agent and lender and certain other financial institutions, as lenders thereto (the “Revolving Production Financing Agreement”) provides the Company with commitments having a maximum aggregate principal amount of $250.0 million. The Revolving Production Financing Agreement also provides the Company with the option to request a commitment increase up to an aggregate additional amount of $150.0 million subject to agreement of the lenders. The Revolving Production Financing Agreement extends through November 22, 2024. The Company uses the RPCF to fund certain of the Company’s original film and TV production costs. Borrowings under the RPCF are non-recourse to the Company's assets. Going forward, the Company expects to utilize the RPCF for the majority of its production financing needs.</w:t>
      </w:r>
    </w:p>
    <w:p>
      <w:pPr>
        <w:spacing w:after="0" w:line="7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Production financing facilities typically have maturities of less than two years, while the titles are in production, and are repaid once delivered and all credits, broadcaster pre-sales and international sales have been received. The production financing facilities as of October 1, 2023, September 25, 2022 and December 25, 2022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October 1, 2023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September 25, 2022</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25, 2022</w:t>
            </w:r>
          </w:p>
        </w:tc>
      </w:tr>
      <w:tr>
        <w:trPr>
          <w:trHeight w:val="210"/>
        </w:trPr>
        <w:tc>
          <w:tcPr>
            <w:tcW w:w="5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Production financing facilities included in the consolidated balance sheet as:</w:t>
            </w:r>
          </w:p>
        </w:tc>
        <w:tc>
          <w:tcPr>
            <w:tcW w:w="1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312"/>
        </w:trPr>
        <w:tc>
          <w:tcPr>
            <w:tcW w:w="5660" w:type="dxa"/>
            <w:vAlign w:val="bottom"/>
          </w:tcPr>
          <w:p>
            <w:pPr>
              <w:ind w:left="14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(1)</w:t>
            </w:r>
          </w:p>
        </w:tc>
        <w:tc>
          <w:tcPr>
            <w:tcW w:w="1480" w:type="dxa"/>
            <w:vAlign w:val="bottom"/>
          </w:tcPr>
          <w:p>
            <w:pPr>
              <w:jc w:val="right"/>
              <w:ind w:right="1290"/>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195.6</w:t>
            </w:r>
          </w:p>
        </w:tc>
      </w:tr>
    </w:tbl>
    <w:p>
      <w:pPr>
        <w:spacing w:after="0" w:line="88" w:lineRule="exact"/>
        <w:rPr>
          <w:sz w:val="20"/>
          <w:szCs w:val="20"/>
          <w:color w:val="auto"/>
        </w:rPr>
      </w:pPr>
    </w:p>
    <w:p>
      <w:pPr>
        <w:ind w:right="320" w:firstLine="8"/>
        <w:spacing w:after="0" w:line="278" w:lineRule="auto"/>
        <w:tabs>
          <w:tab w:leader="none" w:pos="145" w:val="left"/>
        </w:tabs>
        <w:numPr>
          <w:ilvl w:val="0"/>
          <w:numId w:val="17"/>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During the third quarter of 2023, production financing facilities of $150.9 million attributable to the non-core eOne Film and TV business, which were previously classified within Current portion of long-term debt, have been transferred to Liabilities held for sale.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The following table represents the movements in production financing loans during the first nine months of 2023:</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92"/>
        </w:trPr>
        <w:tc>
          <w:tcPr>
            <w:tcW w:w="9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Production</w:t>
            </w:r>
          </w:p>
        </w:tc>
      </w:tr>
      <w:tr>
        <w:trPr>
          <w:trHeight w:val="234"/>
        </w:trPr>
        <w:tc>
          <w:tcPr>
            <w:tcW w:w="9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Financing</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25,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Drawdowns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r>
      <w:tr>
        <w:trPr>
          <w:trHeight w:val="230"/>
        </w:trPr>
        <w:tc>
          <w:tcPr>
            <w:tcW w:w="9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Reclass to Liabilities held for sale </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(150.9)</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differences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Balance at October 1, 2023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9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See note 15 for additional information on assets and liabilities held for sale.</w:t>
      </w:r>
    </w:p>
    <w:p>
      <w:pPr>
        <w:spacing w:after="0" w:line="169"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Productions and Investments in Acquired Content Rights</w:t>
      </w:r>
    </w:p>
    <w:p>
      <w:pPr>
        <w:spacing w:after="0" w:line="18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consumption of the asset as it is released through various channels including broadcast licenses, theatrical release and home entertainment. Amounts capitalized are reviewed periodically on an individual title basis and any portion of the unamortized amount that appears not to be recoverable from future net revenues is expensed as part of program cost amortization during the period the loss becomes evident.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Company's unamortized investments in productions and investments in acquired content rights consisted of the following at October 1, 2023,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2022, and December 25, 2022:</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gridSpan w:val="2"/>
          </w:tcPr>
          <w:p>
            <w:pPr>
              <w:ind w:left="140"/>
              <w:spacing w:after="0"/>
              <w:rPr>
                <w:sz w:val="20"/>
                <w:szCs w:val="20"/>
                <w:color w:val="auto"/>
              </w:rPr>
            </w:pPr>
            <w:r>
              <w:rPr>
                <w:rFonts w:ascii="Arial" w:cs="Arial" w:eastAsia="Arial" w:hAnsi="Arial"/>
                <w:sz w:val="18"/>
                <w:szCs w:val="18"/>
                <w:b w:val="1"/>
                <w:bCs w:val="1"/>
                <w:color w:val="auto"/>
              </w:rPr>
              <w:t xml:space="preserve">October 1, 2023 </w:t>
            </w:r>
            <w:r>
              <w:rPr>
                <w:rFonts w:ascii="Arial" w:cs="Arial" w:eastAsia="Arial" w:hAnsi="Arial"/>
                <w:sz w:val="23"/>
                <w:szCs w:val="23"/>
                <w:b w:val="1"/>
                <w:bCs w:val="1"/>
                <w:color w:val="auto"/>
                <w:vertAlign w:val="superscript"/>
              </w:rPr>
              <w:t>(1)</w:t>
            </w:r>
          </w:p>
        </w:tc>
        <w:tc>
          <w:tcPr>
            <w:tcW w:w="220" w:type="dxa"/>
            <w:vAlign w:val="bottom"/>
          </w:tcPr>
          <w:p>
            <w:pPr>
              <w:spacing w:after="0"/>
              <w:rPr>
                <w:sz w:val="22"/>
                <w:szCs w:val="22"/>
                <w:color w:val="auto"/>
              </w:rPr>
            </w:pPr>
          </w:p>
        </w:tc>
        <w:tc>
          <w:tcPr>
            <w:tcW w:w="20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25, 2022</w:t>
            </w:r>
          </w:p>
        </w:tc>
        <w:tc>
          <w:tcPr>
            <w:tcW w:w="220" w:type="dxa"/>
            <w:vAlign w:val="bottom"/>
          </w:tcPr>
          <w:p>
            <w:pPr>
              <w:spacing w:after="0"/>
              <w:rPr>
                <w:sz w:val="22"/>
                <w:szCs w:val="22"/>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25, 2022</w:t>
            </w:r>
          </w:p>
        </w:tc>
      </w:tr>
      <w:tr>
        <w:trPr>
          <w:trHeight w:val="189"/>
        </w:trPr>
        <w:tc>
          <w:tcPr>
            <w:tcW w:w="4440" w:type="dxa"/>
            <w:vAlign w:val="bottom"/>
            <w:tcBorders>
              <w:top w:val="single" w:sz="8" w:color="CCEEFF"/>
            </w:tcBorders>
            <w:gridSpan w:val="7"/>
            <w:shd w:val="clear" w:color="auto" w:fill="CCEEFF"/>
          </w:tcPr>
          <w:p>
            <w:pPr>
              <w:ind w:left="20"/>
              <w:spacing w:after="0" w:line="169" w:lineRule="exact"/>
              <w:rPr>
                <w:sz w:val="20"/>
                <w:szCs w:val="20"/>
                <w:color w:val="auto"/>
              </w:rPr>
            </w:pPr>
            <w:r>
              <w:rPr>
                <w:rFonts w:ascii="Arial" w:cs="Arial" w:eastAsia="Arial" w:hAnsi="Arial"/>
                <w:sz w:val="18"/>
                <w:szCs w:val="18"/>
                <w:color w:val="auto"/>
              </w:rPr>
              <w:t>Investment in Films and Television Programs:</w:t>
            </w:r>
          </w:p>
        </w:tc>
        <w:tc>
          <w:tcPr>
            <w:tcW w:w="240" w:type="dxa"/>
            <w:vAlign w:val="bottom"/>
            <w:tcBorders>
              <w:top w:val="single" w:sz="8" w:color="auto"/>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320" w:type="dxa"/>
            <w:vAlign w:val="bottom"/>
            <w:tcBorders>
              <w:top w:val="single" w:sz="8" w:color="auto"/>
            </w:tcBorders>
            <w:gridSpan w:val="5"/>
          </w:tcPr>
          <w:p>
            <w:pPr>
              <w:ind w:left="100"/>
              <w:spacing w:after="0" w:line="189" w:lineRule="exact"/>
              <w:rPr>
                <w:sz w:val="20"/>
                <w:szCs w:val="20"/>
                <w:color w:val="auto"/>
              </w:rPr>
            </w:pPr>
            <w:r>
              <w:rPr>
                <w:rFonts w:ascii="Arial" w:cs="Arial" w:eastAsia="Arial" w:hAnsi="Arial"/>
                <w:sz w:val="18"/>
                <w:szCs w:val="18"/>
                <w:color w:val="auto"/>
              </w:rPr>
              <w:t>Individual Monetization</w:t>
            </w:r>
          </w:p>
        </w:tc>
        <w:tc>
          <w:tcPr>
            <w:tcW w:w="1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9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96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gridSpan w:val="5"/>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Released, net of amortization </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20" w:type="dxa"/>
            <w:vAlign w:val="bottom"/>
            <w:gridSpan w:val="5"/>
          </w:tcPr>
          <w:p>
            <w:pPr>
              <w:ind w:left="20"/>
              <w:spacing w:after="0"/>
              <w:rPr>
                <w:sz w:val="20"/>
                <w:szCs w:val="20"/>
                <w:color w:val="auto"/>
              </w:rPr>
            </w:pPr>
            <w:r>
              <w:rPr>
                <w:rFonts w:ascii="Arial" w:cs="Arial" w:eastAsia="Arial" w:hAnsi="Arial"/>
                <w:sz w:val="18"/>
                <w:szCs w:val="18"/>
                <w:color w:val="auto"/>
              </w:rPr>
              <w:t>Completed and not released</w:t>
            </w:r>
          </w:p>
        </w:tc>
        <w:tc>
          <w:tcPr>
            <w:tcW w:w="240" w:type="dxa"/>
            <w:vAlign w:val="bottom"/>
          </w:tcPr>
          <w:p>
            <w:pPr>
              <w:spacing w:after="0"/>
              <w:rPr>
                <w:sz w:val="19"/>
                <w:szCs w:val="19"/>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 production</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r>
      <w:tr>
        <w:trPr>
          <w:trHeight w:val="229"/>
        </w:trPr>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Pre-production</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r>
      <w:tr>
        <w:trPr>
          <w:trHeight w:val="223"/>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848.5</w:t>
            </w:r>
          </w:p>
        </w:tc>
      </w:tr>
      <w:tr>
        <w:trPr>
          <w:trHeight w:val="169"/>
        </w:trPr>
        <w:tc>
          <w:tcPr>
            <w:tcW w:w="20" w:type="dxa"/>
            <w:vAlign w:val="bottom"/>
          </w:tcPr>
          <w:p>
            <w:pPr>
              <w:spacing w:after="0"/>
              <w:rPr>
                <w:sz w:val="14"/>
                <w:szCs w:val="14"/>
                <w:color w:val="auto"/>
              </w:rPr>
            </w:pPr>
          </w:p>
        </w:tc>
        <w:tc>
          <w:tcPr>
            <w:tcW w:w="4420" w:type="dxa"/>
            <w:vAlign w:val="bottom"/>
            <w:gridSpan w:val="6"/>
          </w:tcPr>
          <w:p>
            <w:pPr>
              <w:ind w:left="100"/>
              <w:spacing w:after="0" w:line="169" w:lineRule="exact"/>
              <w:rPr>
                <w:sz w:val="20"/>
                <w:szCs w:val="20"/>
                <w:color w:val="auto"/>
              </w:rPr>
            </w:pPr>
            <w:r>
              <w:rPr>
                <w:rFonts w:ascii="Arial" w:cs="Arial" w:eastAsia="Arial" w:hAnsi="Arial"/>
                <w:sz w:val="18"/>
                <w:szCs w:val="18"/>
                <w:color w:val="auto"/>
              </w:rPr>
              <w:t>Film/TV Group Monetization</w:t>
            </w: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Released, net of amortization</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In production</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23"/>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169"/>
        </w:trPr>
        <w:tc>
          <w:tcPr>
            <w:tcW w:w="4440" w:type="dxa"/>
            <w:vAlign w:val="bottom"/>
            <w:gridSpan w:val="7"/>
          </w:tcPr>
          <w:p>
            <w:pPr>
              <w:ind w:left="20"/>
              <w:spacing w:after="0" w:line="169" w:lineRule="exact"/>
              <w:rPr>
                <w:sz w:val="20"/>
                <w:szCs w:val="20"/>
                <w:color w:val="auto"/>
              </w:rPr>
            </w:pPr>
            <w:r>
              <w:rPr>
                <w:rFonts w:ascii="Arial" w:cs="Arial" w:eastAsia="Arial" w:hAnsi="Arial"/>
                <w:sz w:val="18"/>
                <w:szCs w:val="18"/>
                <w:color w:val="auto"/>
              </w:rPr>
              <w:t>Investment in Other Programming</w:t>
            </w: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Released, net of amortization</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20" w:type="dxa"/>
            <w:vAlign w:val="bottom"/>
            <w:gridSpan w:val="5"/>
          </w:tcPr>
          <w:p>
            <w:pPr>
              <w:ind w:left="20"/>
              <w:spacing w:after="0"/>
              <w:rPr>
                <w:sz w:val="20"/>
                <w:szCs w:val="20"/>
                <w:color w:val="auto"/>
              </w:rPr>
            </w:pPr>
            <w:r>
              <w:rPr>
                <w:rFonts w:ascii="Arial" w:cs="Arial" w:eastAsia="Arial" w:hAnsi="Arial"/>
                <w:sz w:val="18"/>
                <w:szCs w:val="18"/>
                <w:color w:val="auto"/>
              </w:rPr>
              <w:t>Completed and not released</w:t>
            </w:r>
          </w:p>
        </w:tc>
        <w:tc>
          <w:tcPr>
            <w:tcW w:w="240" w:type="dxa"/>
            <w:vAlign w:val="bottom"/>
          </w:tcPr>
          <w:p>
            <w:pPr>
              <w:spacing w:after="0"/>
              <w:rPr>
                <w:sz w:val="19"/>
                <w:szCs w:val="19"/>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 production</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Pre-production</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55"/>
        </w:trPr>
        <w:tc>
          <w:tcPr>
            <w:tcW w:w="44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Total Program Investments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00" w:firstLine="8"/>
        <w:spacing w:after="0" w:line="219" w:lineRule="auto"/>
        <w:tabs>
          <w:tab w:leader="none" w:pos="181" w:val="left"/>
        </w:tabs>
        <w:numPr>
          <w:ilvl w:val="0"/>
          <w:numId w:val="20"/>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During the third quarter of 2023, investments in productions and investments in acquired content rights of $734.5 million, net of accumulated amortization, attributable to the non-core eOne Film and TV business, which were previously classified within Other assets, were transferred to Assets held for sale.</w:t>
      </w:r>
    </w:p>
    <w:p>
      <w:pPr>
        <w:spacing w:after="0" w:line="115" w:lineRule="exact"/>
        <w:rPr>
          <w:rFonts w:ascii="Arial" w:cs="Arial" w:eastAsia="Arial" w:hAnsi="Arial"/>
          <w:sz w:val="21"/>
          <w:szCs w:val="21"/>
          <w:i w:val="1"/>
          <w:iCs w:val="1"/>
          <w:color w:val="auto"/>
          <w:vertAlign w:val="superscript"/>
        </w:rPr>
      </w:pPr>
    </w:p>
    <w:p>
      <w:pPr>
        <w:ind w:right="280" w:firstLine="8"/>
        <w:spacing w:after="0" w:line="236" w:lineRule="auto"/>
        <w:tabs>
          <w:tab w:leader="none" w:pos="181" w:val="left"/>
        </w:tabs>
        <w:numPr>
          <w:ilvl w:val="0"/>
          <w:numId w:val="20"/>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During the second quarter of 2023, the Company recorded film production cost impairment charges of $25.0 million associated with Dungeons &amp; Dragons: Honor Among Thieves, within Program cost amortization in the Consolidated Statement of Operations, within the Entertainment Segment. The film impairment charges reflected the excess of the unamortized costs of the impaired film over its estimated fair value using estimated discounted future cash flows.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recorded $325.3 million of program cost amortization related to released programming in the nine months ended October 1, 2023, consisting of the following:</w:t>
      </w:r>
    </w:p>
    <w:p>
      <w:pPr>
        <w:spacing w:after="0" w:line="59"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Investment in</w:t>
            </w:r>
          </w:p>
        </w:tc>
        <w:tc>
          <w:tcPr>
            <w:tcW w:w="2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Investment in</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5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Production</w:t>
            </w:r>
          </w:p>
        </w:tc>
        <w:tc>
          <w:tcPr>
            <w:tcW w:w="26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Content</w:t>
            </w:r>
          </w:p>
        </w:tc>
        <w:tc>
          <w:tcPr>
            <w:tcW w:w="340" w:type="dxa"/>
            <w:vAlign w:val="bottom"/>
          </w:tcPr>
          <w:p>
            <w:pPr>
              <w:spacing w:after="0"/>
              <w:rPr>
                <w:sz w:val="21"/>
                <w:szCs w:val="21"/>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Program cost amortization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r>
    </w:tbl>
    <w:p>
      <w:pPr>
        <w:spacing w:after="0" w:line="252"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8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effective tax rate ("ETR") from continuing operations was 8.0% for the nine months ended October 1, 2023 and 22.1% for the nine months ended September 25,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caused the year-to-date ETR to be significantly different from the prior year ETR:</w:t>
      </w:r>
    </w:p>
    <w:p>
      <w:pPr>
        <w:spacing w:after="0" w:line="117" w:lineRule="exact"/>
        <w:rPr>
          <w:sz w:val="20"/>
          <w:szCs w:val="20"/>
          <w:color w:val="auto"/>
        </w:rPr>
      </w:pPr>
    </w:p>
    <w:p>
      <w:pPr>
        <w:ind w:left="660" w:right="3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nine months ended October 1, 2023, the Company recorded an impairment of goodwill related to the Film and TV reporting unit of $231.2 million with no tax benefit. The Company also recorded a net discrete tax benefit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0" w:name="page21"/>
    <w:bookmarkEnd w:id="2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9" w:lineRule="exact"/>
        <w:rPr>
          <w:sz w:val="20"/>
          <w:szCs w:val="20"/>
          <w:color w:val="auto"/>
        </w:rPr>
      </w:pPr>
    </w:p>
    <w:p>
      <w:pPr>
        <w:ind w:left="660" w:right="1020"/>
        <w:spacing w:after="0" w:line="342" w:lineRule="auto"/>
        <w:rPr>
          <w:sz w:val="20"/>
          <w:szCs w:val="20"/>
          <w:color w:val="auto"/>
        </w:rPr>
      </w:pPr>
      <w:r>
        <w:rPr>
          <w:rFonts w:ascii="Arial" w:cs="Arial" w:eastAsia="Arial" w:hAnsi="Arial"/>
          <w:sz w:val="16"/>
          <w:szCs w:val="16"/>
          <w:color w:val="auto"/>
        </w:rPr>
        <w:t>$113.3 million, exclusive of the goodwill impairment, primarily associated with tax benefits on the impairment of trade names in the Entertainment segment during the second quarter and the $473.0 million loss on assets held for sale in the third quarter, and;</w:t>
      </w:r>
    </w:p>
    <w:p>
      <w:pPr>
        <w:spacing w:after="0" w:line="16" w:lineRule="exact"/>
        <w:rPr>
          <w:sz w:val="20"/>
          <w:szCs w:val="20"/>
          <w:color w:val="auto"/>
        </w:rPr>
      </w:pPr>
    </w:p>
    <w:p>
      <w:pPr>
        <w:ind w:left="660" w:right="160" w:hanging="328"/>
        <w:spacing w:after="0" w:line="286"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during the nine months ended September 25, 2022, the Company recorded a net discrete tax benefit of $6.7 million, primarily associated with (i) the release of certain valuation allowances during the first quarter; (ii) the decrease to our liability for uncertain tax positions that resulted from statutes of limitations expiring in certain jurisdictions; and (iii) a benefit on the loss of assets held for sale in the third quarter.</w:t>
      </w:r>
    </w:p>
    <w:p>
      <w:pPr>
        <w:spacing w:after="0" w:line="1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is no longer subject to U.S. federal income tax examinations for years before 2012. With few exceptions, the Company is no longer subject to U.S. state or local and non-U.S. income tax examinations by tax authorities in its major jurisdictions for years before 2016. The Company is currently under income tax examination by the Internal Revenue Service and in several U.S. state and local and non-U.S. jurisdictions.</w:t>
      </w:r>
    </w:p>
    <w:p>
      <w:pPr>
        <w:spacing w:after="0" w:line="121"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 There have been transfers between levels within the fair value hierarchy.</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Accounting standards permit entities to measure many financial instruments and certain other items at fair value and establish presentation and disclosure requirements designed to facilitate comparisons between entities that choose different measurement attributes for similar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1" w:name="page22"/>
    <w:bookmarkEnd w:id="2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At October 1, 2023, September 25, 2022 and December 25, 2022, the Company had the following assets and liabilities measured at fair value in its consolidated balance sheets (excluding assets for which the fair value is measured using net asset value per share):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7"/>
              </w:rPr>
              <w:t>Fair Value Measurements Using:</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2"/>
              </w:rPr>
              <w:t>Quoted</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Prices in</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Active</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Significant</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Markets</w:t>
            </w:r>
          </w:p>
        </w:tc>
        <w:tc>
          <w:tcPr>
            <w:tcW w:w="1440" w:type="dxa"/>
            <w:vAlign w:val="bottom"/>
            <w:gridSpan w:val="2"/>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for</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8"/>
              </w:rPr>
              <w:t>Other</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Fair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Identical</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Observable</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3"/>
              </w:rPr>
              <w:t>Assets</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5"/>
              </w:rPr>
              <w:t>Inputs</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(Level 1)</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2)</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5580" w:type="dxa"/>
            <w:vAlign w:val="bottom"/>
            <w:tcBorders>
              <w:top w:val="single" w:sz="8" w:color="CCEEFF"/>
            </w:tcBorders>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October 1, 2023</w:t>
            </w:r>
          </w:p>
        </w:tc>
        <w:tc>
          <w:tcPr>
            <w:tcW w:w="8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4360" w:type="dxa"/>
            <w:vAlign w:val="bottom"/>
            <w:tcBorders>
              <w:top w:val="single" w:sz="8" w:color="CCEEFF"/>
            </w:tcBorders>
            <w:gridSpan w:val="3"/>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Derivatives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Derivatives </w:t>
            </w:r>
            <w:r>
              <w:rPr>
                <w:rFonts w:ascii="Arial" w:cs="Arial" w:eastAsia="Arial" w:hAnsi="Arial"/>
                <w:sz w:val="23"/>
                <w:szCs w:val="23"/>
                <w:color w:val="auto"/>
                <w:vertAlign w:val="superscript"/>
              </w:rPr>
              <w:t>(2)</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September 25, 2022</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Derivatives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38.8</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38.8</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Derivatives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Option agreement</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25, 2022</w:t>
            </w:r>
          </w:p>
        </w:tc>
        <w:tc>
          <w:tcPr>
            <w:tcW w:w="4120" w:type="dxa"/>
            <w:vAlign w:val="bottom"/>
            <w:tcBorders>
              <w:bottom w:val="single" w:sz="8" w:color="CCEEFF"/>
            </w:tcBorders>
            <w:gridSpan w:val="2"/>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Available-for-sale securities include equity securities of one company quoted on an active public market.</w:t>
      </w:r>
    </w:p>
    <w:p>
      <w:pPr>
        <w:spacing w:after="0" w:line="128" w:lineRule="exact"/>
        <w:rPr>
          <w:rFonts w:ascii="Arial" w:cs="Arial" w:eastAsia="Arial" w:hAnsi="Arial"/>
          <w:sz w:val="21"/>
          <w:szCs w:val="21"/>
          <w:i w:val="1"/>
          <w:iCs w:val="1"/>
          <w:color w:val="auto"/>
          <w:vertAlign w:val="superscript"/>
        </w:rPr>
      </w:pPr>
    </w:p>
    <w:p>
      <w:pPr>
        <w:ind w:right="100" w:firstLine="8"/>
        <w:spacing w:after="0" w:line="219" w:lineRule="auto"/>
        <w:tabs>
          <w:tab w:leader="none" w:pos="181" w:val="left"/>
        </w:tabs>
        <w:numPr>
          <w:ilvl w:val="0"/>
          <w:numId w:val="25"/>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These balances include certain amounts attributable to the non-core eOne Film and TV business that were reclassified to Assets held for sale and Liabilities held for sale at October 1, 2023. See note 15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2" w:name="page23"/>
    <w:bookmarkEnd w:id="2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derivatives consist of foreign currency forward and option contracts. The Company uses current forward rates of the respective foreign currencies to measure the fair value of these contracts. The Company’s option agreement relates to an equity method investment in Discovery Family Channel ("Discovery"). The option agreement is included in other liabilities at October 1, 2023, September 25, 2022 and December 25, 2022, and is valued using an option pricing model based on the fair value of the related investment. Inputs used in the option pricing model include the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There were no changes in these valuation techniques during the quarter ended October 1, 2023.</w:t>
      </w:r>
    </w:p>
    <w:p>
      <w:pPr>
        <w:spacing w:after="0" w:line="13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is a reconciliation of the beginning and ending balances of the fair value measurements of the Company's financial instruments which use significant unobservable inputs (Level 3):</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Balance at end of third quarter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Hasbro uses foreign currency forward contracts and foreign exchange option contracts to mitigate the impact of currency rate fluctuations on firmly committed and projected future foreign currency transactions. These over-the-counter contracts, which hedge future currency requirements related to purchases of inventory, product sales and television and film production costs (see note 7),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 Hedges</w:t>
      </w:r>
    </w:p>
    <w:p>
      <w:pPr>
        <w:spacing w:after="0" w:line="185"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All of the Company's designated foreign currency forward contracts are considered to be cash flow hedges. These instruments hedge a portion of the Company's currency requirements associated with anticipated inventory purchases, product sales, certain production expenses and other cross-border transactions, primarily for the remainder of 2023, and into 2024.</w:t>
      </w:r>
    </w:p>
    <w:p>
      <w:pPr>
        <w:spacing w:after="0" w:line="21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At October 1, 2023, September 25, 2022 and December 25, 2022, the notional amounts and fair values of the Company's foreign currency forward contracts designated as cash flow hedging instruments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 xml:space="preserve">October 1, 2023 </w:t>
            </w:r>
            <w:r>
              <w:rPr>
                <w:rFonts w:ascii="Arial" w:cs="Arial" w:eastAsia="Arial" w:hAnsi="Arial"/>
                <w:sz w:val="23"/>
                <w:szCs w:val="23"/>
                <w:b w:val="1"/>
                <w:bCs w:val="1"/>
                <w:color w:val="auto"/>
                <w:vertAlign w:val="superscript"/>
              </w:rPr>
              <w:t>(1)</w:t>
            </w:r>
          </w:p>
        </w:tc>
        <w:tc>
          <w:tcPr>
            <w:tcW w:w="4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w w:val="99"/>
              </w:rPr>
              <w:t>September 25, 2022</w:t>
            </w:r>
          </w:p>
        </w:tc>
        <w:tc>
          <w:tcPr>
            <w:tcW w:w="4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December 25, 2022</w:t>
            </w:r>
          </w:p>
        </w:tc>
      </w:tr>
      <w:tr>
        <w:trPr>
          <w:trHeight w:val="169"/>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900" w:type="dxa"/>
            <w:vAlign w:val="bottom"/>
          </w:tcPr>
          <w:p>
            <w:pPr>
              <w:jc w:val="center"/>
              <w:ind w:left="310"/>
              <w:spacing w:after="0" w:line="169" w:lineRule="exact"/>
              <w:rPr>
                <w:sz w:val="20"/>
                <w:szCs w:val="20"/>
                <w:color w:val="auto"/>
              </w:rPr>
            </w:pPr>
            <w:r>
              <w:rPr>
                <w:rFonts w:ascii="Arial" w:cs="Arial" w:eastAsia="Arial" w:hAnsi="Arial"/>
                <w:sz w:val="18"/>
                <w:szCs w:val="18"/>
                <w:b w:val="1"/>
                <w:bCs w:val="1"/>
                <w:color w:val="auto"/>
              </w:rPr>
              <w:t>Fair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900" w:type="dxa"/>
            <w:vAlign w:val="bottom"/>
          </w:tcPr>
          <w:p>
            <w:pPr>
              <w:jc w:val="center"/>
              <w:ind w:left="330"/>
              <w:spacing w:after="0" w:line="169" w:lineRule="exact"/>
              <w:rPr>
                <w:sz w:val="20"/>
                <w:szCs w:val="20"/>
                <w:color w:val="auto"/>
              </w:rPr>
            </w:pPr>
            <w:r>
              <w:rPr>
                <w:rFonts w:ascii="Arial" w:cs="Arial" w:eastAsia="Arial" w:hAnsi="Arial"/>
                <w:sz w:val="18"/>
                <w:szCs w:val="18"/>
                <w:b w:val="1"/>
                <w:bCs w:val="1"/>
                <w:color w:val="auto"/>
                <w:w w:val="96"/>
              </w:rPr>
              <w:t>Fair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1300" w:type="dxa"/>
            <w:vAlign w:val="bottom"/>
          </w:tcPr>
          <w:p>
            <w:pPr>
              <w:jc w:val="right"/>
              <w:ind w:right="390"/>
              <w:spacing w:after="0" w:line="169" w:lineRule="exact"/>
              <w:rPr>
                <w:sz w:val="20"/>
                <w:szCs w:val="20"/>
                <w:color w:val="auto"/>
              </w:rPr>
            </w:pPr>
            <w:r>
              <w:rPr>
                <w:rFonts w:ascii="Arial" w:cs="Arial" w:eastAsia="Arial" w:hAnsi="Arial"/>
                <w:sz w:val="18"/>
                <w:szCs w:val="18"/>
                <w:b w:val="1"/>
                <w:bCs w:val="1"/>
                <w:color w:val="auto"/>
              </w:rPr>
              <w:t>Fair</w:t>
            </w:r>
          </w:p>
        </w:tc>
      </w:tr>
      <w:tr>
        <w:trPr>
          <w:trHeight w:val="203"/>
        </w:trPr>
        <w:tc>
          <w:tcPr>
            <w:tcW w:w="20" w:type="dxa"/>
            <w:vAlign w:val="bottom"/>
          </w:tcPr>
          <w:p>
            <w:pPr>
              <w:spacing w:after="0"/>
              <w:rPr>
                <w:sz w:val="17"/>
                <w:szCs w:val="17"/>
                <w:color w:val="auto"/>
              </w:rPr>
            </w:pPr>
          </w:p>
        </w:tc>
        <w:tc>
          <w:tcPr>
            <w:tcW w:w="27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Hedged transaction</w:t>
            </w: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Amount</w:t>
            </w:r>
          </w:p>
        </w:tc>
        <w:tc>
          <w:tcPr>
            <w:tcW w:w="900" w:type="dxa"/>
            <w:vAlign w:val="bottom"/>
          </w:tcPr>
          <w:p>
            <w:pPr>
              <w:jc w:val="center"/>
              <w:ind w:left="310"/>
              <w:spacing w:after="0" w:line="202" w:lineRule="exact"/>
              <w:rPr>
                <w:sz w:val="20"/>
                <w:szCs w:val="20"/>
                <w:color w:val="auto"/>
              </w:rPr>
            </w:pPr>
            <w:r>
              <w:rPr>
                <w:rFonts w:ascii="Arial" w:cs="Arial" w:eastAsia="Arial" w:hAnsi="Arial"/>
                <w:sz w:val="18"/>
                <w:szCs w:val="18"/>
                <w:b w:val="1"/>
                <w:bCs w:val="1"/>
                <w:color w:val="auto"/>
                <w:w w:val="87"/>
              </w:rPr>
              <w:t>Value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Amount</w:t>
            </w:r>
          </w:p>
        </w:tc>
        <w:tc>
          <w:tcPr>
            <w:tcW w:w="900" w:type="dxa"/>
            <w:vAlign w:val="bottom"/>
          </w:tcPr>
          <w:p>
            <w:pPr>
              <w:jc w:val="center"/>
              <w:ind w:left="330"/>
              <w:spacing w:after="0" w:line="202" w:lineRule="exact"/>
              <w:rPr>
                <w:sz w:val="20"/>
                <w:szCs w:val="20"/>
                <w:color w:val="auto"/>
              </w:rPr>
            </w:pPr>
            <w:r>
              <w:rPr>
                <w:rFonts w:ascii="Arial" w:cs="Arial" w:eastAsia="Arial" w:hAnsi="Arial"/>
                <w:sz w:val="18"/>
                <w:szCs w:val="18"/>
                <w:b w:val="1"/>
                <w:bCs w:val="1"/>
                <w:color w:val="auto"/>
                <w:w w:val="91"/>
              </w:rPr>
              <w:t>Value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Amount</w:t>
            </w:r>
          </w:p>
        </w:tc>
        <w:tc>
          <w:tcPr>
            <w:tcW w:w="13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purchases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financing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20" w:firstLine="8"/>
        <w:spacing w:after="0" w:line="219" w:lineRule="auto"/>
        <w:tabs>
          <w:tab w:leader="none" w:pos="181" w:val="left"/>
        </w:tabs>
        <w:numPr>
          <w:ilvl w:val="0"/>
          <w:numId w:val="27"/>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certain cash flow hedges attributable to the non-core eOne Film and TV business, which were reclassified to Assets held for sale and Liabilities held for sale at October 1, 2023. See note 15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706755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7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October 1, 2023, September 25, 2022 and December 25, 2022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w w:val="97"/>
              </w:rPr>
              <w:t xml:space="preserve">October 1, 2023 </w:t>
            </w:r>
            <w:r>
              <w:rPr>
                <w:rFonts w:ascii="Arial" w:cs="Arial" w:eastAsia="Arial" w:hAnsi="Arial"/>
                <w:sz w:val="23"/>
                <w:szCs w:val="23"/>
                <w:b w:val="1"/>
                <w:bCs w:val="1"/>
                <w:color w:val="auto"/>
                <w:w w:val="97"/>
                <w:vertAlign w:val="superscript"/>
              </w:rPr>
              <w:t>(1)</w:t>
            </w: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25,</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62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6380" w:type="dxa"/>
            <w:vAlign w:val="bottom"/>
            <w:tcBorders>
              <w:top w:val="single" w:sz="8" w:color="CCEEFF"/>
            </w:tcBorders>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Prepaid expenses and other current assets</w:t>
            </w:r>
          </w:p>
        </w:tc>
        <w:tc>
          <w:tcPr>
            <w:tcW w:w="6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tcPr>
          <w:p>
            <w:pPr>
              <w:jc w:val="center"/>
              <w:ind w:left="430"/>
              <w:spacing w:after="0"/>
              <w:rPr>
                <w:sz w:val="20"/>
                <w:szCs w:val="20"/>
                <w:color w:val="auto"/>
              </w:rPr>
            </w:pPr>
            <w:r>
              <w:rPr>
                <w:rFonts w:ascii="Arial" w:cs="Arial" w:eastAsia="Arial" w:hAnsi="Arial"/>
                <w:sz w:val="18"/>
                <w:szCs w:val="18"/>
                <w:color w:val="auto"/>
                <w:w w:val="87"/>
              </w:rPr>
              <w:t>5.9</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7"/>
              </w:rPr>
              <w:t>(2.0)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unrealized gains</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7"/>
              </w:rPr>
              <w:t>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Other assets</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7"/>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Unrealized losses</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38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Accrued liabilities</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Unrealized gains</w:t>
            </w:r>
          </w:p>
        </w:tc>
        <w:tc>
          <w:tcPr>
            <w:tcW w:w="4980" w:type="dxa"/>
            <w:vAlign w:val="bottom"/>
            <w:tcBorders>
              <w:top w:val="single" w:sz="8" w:color="CCEEFF"/>
            </w:tcBorders>
            <w:gridSpan w:val="2"/>
          </w:tcPr>
          <w:p>
            <w:pPr>
              <w:spacing w:after="0"/>
              <w:rPr>
                <w:sz w:val="19"/>
                <w:szCs w:val="19"/>
                <w:color w:val="auto"/>
              </w:rPr>
            </w:pPr>
          </w:p>
        </w:tc>
        <w:tc>
          <w:tcPr>
            <w:tcW w:w="620" w:type="dxa"/>
            <w:vAlign w:val="bottom"/>
            <w:tcBorders>
              <w:top w:val="single" w:sz="8" w:color="CCEEFF"/>
            </w:tcBorders>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tcPr>
          <w:p>
            <w:pPr>
              <w:jc w:val="center"/>
              <w:ind w:left="430"/>
              <w:spacing w:after="0"/>
              <w:rPr>
                <w:sz w:val="20"/>
                <w:szCs w:val="20"/>
                <w:color w:val="auto"/>
              </w:rPr>
            </w:pPr>
            <w:r>
              <w:rPr>
                <w:rFonts w:ascii="Arial" w:cs="Arial" w:eastAsia="Arial" w:hAnsi="Arial"/>
                <w:sz w:val="18"/>
                <w:szCs w:val="18"/>
                <w:color w:val="auto"/>
                <w:w w:val="87"/>
              </w:rPr>
              <w:t>0.4</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7"/>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unrealized losses</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7"/>
              </w:rPr>
              <w:t>(2.0)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60" w:firstLine="8"/>
        <w:spacing w:after="0" w:line="219" w:lineRule="auto"/>
        <w:tabs>
          <w:tab w:leader="none" w:pos="181" w:val="left"/>
        </w:tabs>
        <w:numPr>
          <w:ilvl w:val="0"/>
          <w:numId w:val="28"/>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certain balances attributable to the non-core eOne Film and TV business which were reclassified to Assets held for sale and Liabilities held for sale at October 1, 2023. See note 15 for additional information.</w:t>
      </w:r>
    </w:p>
    <w:p>
      <w:pPr>
        <w:spacing w:after="0" w:line="24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gains (losses) on cash flow hedging activities have been reclassified from other comprehensive earnings (loss) to net earnings for the quarters and nine months ended October 1, 2023 and September 25, 2022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4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940" w:type="dxa"/>
            <w:vAlign w:val="bottom"/>
            <w:gridSpan w:val="3"/>
          </w:tcPr>
          <w:p>
            <w:pPr>
              <w:ind w:left="580"/>
              <w:spacing w:after="0"/>
              <w:rPr>
                <w:sz w:val="20"/>
                <w:szCs w:val="20"/>
                <w:color w:val="auto"/>
              </w:rPr>
            </w:pPr>
            <w:r>
              <w:rPr>
                <w:rFonts w:ascii="Arial" w:cs="Arial" w:eastAsia="Arial" w:hAnsi="Arial"/>
                <w:sz w:val="18"/>
                <w:szCs w:val="18"/>
                <w:b w:val="1"/>
                <w:bCs w:val="1"/>
                <w:color w:val="auto"/>
              </w:rPr>
              <w:t>Nine Months Ended</w:t>
            </w: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340"/>
              <w:spacing w:after="0" w:line="177" w:lineRule="exact"/>
              <w:rPr>
                <w:sz w:val="20"/>
                <w:szCs w:val="20"/>
                <w:color w:val="auto"/>
              </w:rPr>
            </w:pPr>
            <w:r>
              <w:rPr>
                <w:rFonts w:ascii="Arial" w:cs="Arial" w:eastAsia="Arial" w:hAnsi="Arial"/>
                <w:sz w:val="18"/>
                <w:szCs w:val="18"/>
                <w:b w:val="1"/>
                <w:bCs w:val="1"/>
                <w:color w:val="auto"/>
                <w:w w:val="89"/>
              </w:rPr>
              <w:t>October 1,</w:t>
            </w: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right="70"/>
              <w:spacing w:after="0" w:line="177" w:lineRule="exact"/>
              <w:rPr>
                <w:sz w:val="20"/>
                <w:szCs w:val="20"/>
                <w:color w:val="auto"/>
              </w:rPr>
            </w:pPr>
            <w:r>
              <w:rPr>
                <w:rFonts w:ascii="Arial" w:cs="Arial" w:eastAsia="Arial" w:hAnsi="Arial"/>
                <w:sz w:val="18"/>
                <w:szCs w:val="18"/>
                <w:b w:val="1"/>
                <w:bCs w:val="1"/>
                <w:color w:val="auto"/>
                <w:w w:val="89"/>
              </w:rPr>
              <w:t>September 25,</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center"/>
              <w:ind w:right="340"/>
              <w:spacing w:after="0" w:line="177" w:lineRule="exact"/>
              <w:rPr>
                <w:sz w:val="20"/>
                <w:szCs w:val="20"/>
                <w:color w:val="auto"/>
              </w:rPr>
            </w:pPr>
            <w:r>
              <w:rPr>
                <w:rFonts w:ascii="Arial" w:cs="Arial" w:eastAsia="Arial" w:hAnsi="Arial"/>
                <w:sz w:val="18"/>
                <w:szCs w:val="18"/>
                <w:b w:val="1"/>
                <w:bCs w:val="1"/>
                <w:color w:val="auto"/>
                <w:w w:val="92"/>
              </w:rPr>
              <w:t>October 1,</w:t>
            </w:r>
          </w:p>
        </w:tc>
        <w:tc>
          <w:tcPr>
            <w:tcW w:w="15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9"/>
              </w:rPr>
              <w:t>September 25,</w:t>
            </w:r>
          </w:p>
        </w:tc>
      </w:tr>
      <w:tr>
        <w:trPr>
          <w:trHeight w:val="234"/>
        </w:trPr>
        <w:tc>
          <w:tcPr>
            <w:tcW w:w="20" w:type="dxa"/>
            <w:vAlign w:val="bottom"/>
            <w:tcBorders>
              <w:bottom w:val="single" w:sz="8" w:color="CCEEFF"/>
            </w:tcBorders>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Statements of Operations Classification</w:t>
            </w:r>
          </w:p>
        </w:tc>
        <w:tc>
          <w:tcPr>
            <w:tcW w:w="17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ind w:left="790"/>
              <w:spacing w:after="0"/>
              <w:rPr>
                <w:sz w:val="20"/>
                <w:szCs w:val="20"/>
                <w:color w:val="auto"/>
              </w:rPr>
            </w:pPr>
            <w:r>
              <w:rPr>
                <w:rFonts w:ascii="Arial" w:cs="Arial" w:eastAsia="Arial" w:hAnsi="Arial"/>
                <w:sz w:val="18"/>
                <w:szCs w:val="18"/>
                <w:color w:val="auto"/>
                <w:w w:val="97"/>
              </w:rPr>
              <w:t>(1.8)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910"/>
              <w:spacing w:after="0"/>
              <w:rPr>
                <w:sz w:val="20"/>
                <w:szCs w:val="20"/>
                <w:color w:val="auto"/>
              </w:rPr>
            </w:pPr>
            <w:r>
              <w:rPr>
                <w:rFonts w:ascii="Arial" w:cs="Arial" w:eastAsia="Arial" w:hAnsi="Arial"/>
                <w:sz w:val="18"/>
                <w:szCs w:val="18"/>
                <w:color w:val="auto"/>
                <w:w w:val="87"/>
              </w:rPr>
              <w:t>5.9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ind w:left="790"/>
              <w:spacing w:after="0"/>
              <w:rPr>
                <w:sz w:val="20"/>
                <w:szCs w:val="20"/>
                <w:color w:val="auto"/>
              </w:rPr>
            </w:pPr>
            <w:r>
              <w:rPr>
                <w:rFonts w:ascii="Arial" w:cs="Arial" w:eastAsia="Arial" w:hAnsi="Arial"/>
                <w:sz w:val="18"/>
                <w:szCs w:val="18"/>
                <w:color w:val="auto"/>
                <w:w w:val="91"/>
              </w:rPr>
              <w:t>(0.5)</w:t>
            </w:r>
          </w:p>
        </w:tc>
        <w:tc>
          <w:tcPr>
            <w:tcW w:w="100" w:type="dxa"/>
            <w:vAlign w:val="bottom"/>
          </w:tcPr>
          <w:p>
            <w:pPr>
              <w:spacing w:after="0"/>
              <w:rPr>
                <w:sz w:val="19"/>
                <w:szCs w:val="19"/>
                <w:color w:val="auto"/>
              </w:rPr>
            </w:pPr>
          </w:p>
        </w:tc>
        <w:tc>
          <w:tcPr>
            <w:tcW w:w="1540" w:type="dxa"/>
            <w:vAlign w:val="bottom"/>
          </w:tcPr>
          <w:p>
            <w:pPr>
              <w:jc w:val="center"/>
              <w:ind w:left="1070"/>
              <w:spacing w:after="0"/>
              <w:rPr>
                <w:sz w:val="20"/>
                <w:szCs w:val="20"/>
                <w:color w:val="auto"/>
              </w:rPr>
            </w:pPr>
            <w:r>
              <w:rPr>
                <w:rFonts w:ascii="Arial" w:cs="Arial" w:eastAsia="Arial" w:hAnsi="Arial"/>
                <w:sz w:val="18"/>
                <w:szCs w:val="18"/>
                <w:color w:val="auto"/>
                <w:w w:val="87"/>
              </w:rPr>
              <w:t>8.5</w:t>
            </w: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1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7"/>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87"/>
              </w:rPr>
              <w:t>0.8</w:t>
            </w:r>
          </w:p>
        </w:tc>
      </w:tr>
      <w:tr>
        <w:trPr>
          <w:trHeight w:val="23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7"/>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1"/>
              </w:rPr>
              <w:t>(1.7)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color w:val="auto"/>
                <w:w w:val="97"/>
              </w:rPr>
              <w:t>(0.9)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realized (losses) gains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97"/>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87"/>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91"/>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center"/>
              <w:ind w:left="1070"/>
              <w:spacing w:after="0"/>
              <w:rPr>
                <w:sz w:val="20"/>
                <w:szCs w:val="20"/>
                <w:color w:val="auto"/>
              </w:rPr>
            </w:pPr>
            <w:r>
              <w:rPr>
                <w:rFonts w:ascii="Arial" w:cs="Arial" w:eastAsia="Arial" w:hAnsi="Arial"/>
                <w:sz w:val="18"/>
                <w:szCs w:val="18"/>
                <w:color w:val="auto"/>
                <w:w w:val="87"/>
              </w:rPr>
              <w:t>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Undesignated Hedges</w:t>
      </w:r>
    </w:p>
    <w:p>
      <w:pPr>
        <w:spacing w:after="0" w:line="18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Additionally, to manage transactional exposure to fair value movements on certain monetary assets and liabilities denominated in foreign currencies, the Company has implemented a balance sheet hedging program. The Company does not use hedge accounting for these contracts as changes in the fair values of these contracts are offset by changes in the fair value of the balance sheet items. As of October 1, 2023, September 25, 2022 and December 25, 2022 the total notional amounts of the Company's undesignated derivative instruments were $807.5 million, $601.3 million and $765.6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640715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October 1, 2023, September 25, 2022 and December 25, 2022, the fair values of the Company's undesignated derivative financial instruments were recorded in the consolidated balance sheets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25,</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25,</w:t>
            </w:r>
          </w:p>
        </w:tc>
      </w:tr>
      <w:tr>
        <w:trPr>
          <w:trHeight w:val="243"/>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1, 2023</w:t>
            </w:r>
          </w:p>
        </w:tc>
        <w:tc>
          <w:tcPr>
            <w:tcW w:w="160" w:type="dxa"/>
            <w:vAlign w:val="bottom"/>
          </w:tcPr>
          <w:p>
            <w:pPr>
              <w:spacing w:after="0"/>
              <w:rPr>
                <w:sz w:val="21"/>
                <w:szCs w:val="21"/>
                <w:color w:val="auto"/>
              </w:rPr>
            </w:pPr>
          </w:p>
        </w:tc>
        <w:tc>
          <w:tcPr>
            <w:tcW w:w="1380" w:type="dxa"/>
            <w:vAlign w:val="bottom"/>
          </w:tcPr>
          <w:p>
            <w:pPr>
              <w:ind w:left="42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6380" w:type="dxa"/>
            <w:vAlign w:val="bottom"/>
            <w:tcBorders>
              <w:top w:val="single" w:sz="8" w:color="CCEEFF"/>
            </w:tcBorders>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Prepaid expenses and other current assets</w:t>
            </w:r>
          </w:p>
        </w:tc>
        <w:tc>
          <w:tcPr>
            <w:tcW w:w="1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CCEEFF"/>
            </w:tcBorders>
          </w:tcPr>
          <w:p>
            <w:pPr>
              <w:ind w:left="980"/>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7"/>
              </w:rPr>
              <w:t>(6.0)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unrealized gains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638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Accrued liabilities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unrealized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97"/>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380" w:type="dxa"/>
            <w:vAlign w:val="bottom"/>
            <w:gridSpan w:val="4"/>
          </w:tcPr>
          <w:p>
            <w:pPr>
              <w:spacing w:after="0"/>
              <w:rPr>
                <w:sz w:val="20"/>
                <w:szCs w:val="20"/>
                <w:color w:val="auto"/>
              </w:rPr>
            </w:pPr>
            <w:r>
              <w:rPr>
                <w:rFonts w:ascii="Arial" w:cs="Arial" w:eastAsia="Arial" w:hAnsi="Arial"/>
                <w:sz w:val="18"/>
                <w:szCs w:val="18"/>
                <w:b w:val="1"/>
                <w:bCs w:val="1"/>
                <w:color w:val="auto"/>
              </w:rPr>
              <w:t>Total unrealized gains,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98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recorded net gains of $15.1 million and $26.4 million on these instruments to other (income) expense, net for the quarter and nine months ended October 1, 2023, respectively, and net gains of $28.7 million and $49.2 million for the quarter and nine months ended September 25, 2022, respectively, relating to the change in fair value of such derivatives, substantially offsetting gains and losses from the change in fair value of intercompany loans to which the contracts relate.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related to the Company's derivative financial instruments (see notes 5 and 10).</w:t>
      </w:r>
    </w:p>
    <w:p>
      <w:pPr>
        <w:spacing w:after="0" w:line="181"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8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occupies offices and uses certain equipment under various operating lease arrangements. The Company has no material finance leases. The Company's leases have remaining lease terms of 1 to 15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spacing w:after="0" w:line="1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rent expense under such arrangements and similar arrangements that do not qualify as leases under ASU 2016-02, net of sublease income amounted to $21.7 million and $70.0 million for the quarter and nine months ended October 1, 2023, respectively, and $24.2 million and $67.4 million for the quarter and nine months ended September 25, 2022, respectively, and was not material to the Company's financial statements. Due to the held for sale criteria being met as of October 1, 2023, certain lease assets attributable to the non-core eOne Film and TV businesses are no longer being depreciated. Expenses related to short-term leases (expected terms less than 12 months) or variable lease payments were not material in the quarters or nine months ended October 1, 2023 or September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5" w:name="page26"/>
    <w:bookmarkEnd w:id="2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Company’s leases for the quarters and nine months ended October 1, 2023 and September 25, 2022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00" w:type="dxa"/>
            <w:vAlign w:val="bottom"/>
            <w:gridSpan w:val="5"/>
          </w:tcPr>
          <w:p>
            <w:pPr>
              <w:ind w:left="560"/>
              <w:spacing w:after="0"/>
              <w:rPr>
                <w:sz w:val="20"/>
                <w:szCs w:val="20"/>
                <w:color w:val="auto"/>
              </w:rPr>
            </w:pPr>
            <w:r>
              <w:rPr>
                <w:rFonts w:ascii="Arial" w:cs="Arial" w:eastAsia="Arial" w:hAnsi="Arial"/>
                <w:sz w:val="18"/>
                <w:szCs w:val="18"/>
                <w:b w:val="1"/>
                <w:bCs w:val="1"/>
                <w:color w:val="auto"/>
              </w:rPr>
              <w:t>Quarter Ended</w:t>
            </w:r>
          </w:p>
        </w:tc>
        <w:tc>
          <w:tcPr>
            <w:tcW w:w="500" w:type="dxa"/>
            <w:vAlign w:val="bottom"/>
          </w:tcPr>
          <w:p>
            <w:pPr>
              <w:spacing w:after="0"/>
              <w:rPr>
                <w:sz w:val="20"/>
                <w:szCs w:val="20"/>
                <w:color w:val="auto"/>
              </w:rPr>
            </w:pPr>
          </w:p>
        </w:tc>
        <w:tc>
          <w:tcPr>
            <w:tcW w:w="284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172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8"/>
                <w:szCs w:val="18"/>
                <w:b w:val="1"/>
                <w:bCs w:val="1"/>
                <w:color w:val="auto"/>
              </w:rPr>
              <w:t xml:space="preserve">October 1, 2023 </w:t>
            </w:r>
            <w:r>
              <w:rPr>
                <w:rFonts w:ascii="Arial" w:cs="Arial" w:eastAsia="Arial" w:hAnsi="Arial"/>
                <w:sz w:val="23"/>
                <w:szCs w:val="23"/>
                <w:b w:val="1"/>
                <w:bCs w:val="1"/>
                <w:color w:val="auto"/>
                <w:vertAlign w:val="superscript"/>
              </w:rPr>
              <w:t>(1)</w:t>
            </w: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w w:val="94"/>
              </w:rPr>
              <w:t>September 25,</w:t>
            </w:r>
          </w:p>
        </w:tc>
        <w:tc>
          <w:tcPr>
            <w:tcW w:w="80" w:type="dxa"/>
            <w:vAlign w:val="bottom"/>
          </w:tcPr>
          <w:p>
            <w:pPr>
              <w:spacing w:after="0"/>
              <w:rPr>
                <w:sz w:val="14"/>
                <w:szCs w:val="14"/>
                <w:color w:val="auto"/>
              </w:rPr>
            </w:pPr>
          </w:p>
        </w:tc>
        <w:tc>
          <w:tcPr>
            <w:tcW w:w="170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8"/>
                <w:szCs w:val="18"/>
                <w:b w:val="1"/>
                <w:bCs w:val="1"/>
                <w:color w:val="auto"/>
              </w:rPr>
              <w:t xml:space="preserve">October 1, 2023 </w:t>
            </w:r>
            <w:r>
              <w:rPr>
                <w:rFonts w:ascii="Arial" w:cs="Arial" w:eastAsia="Arial" w:hAnsi="Arial"/>
                <w:sz w:val="23"/>
                <w:szCs w:val="23"/>
                <w:b w:val="1"/>
                <w:bCs w:val="1"/>
                <w:color w:val="auto"/>
                <w:vertAlign w:val="superscript"/>
              </w:rPr>
              <w:t>(1)</w:t>
            </w:r>
          </w:p>
        </w:tc>
        <w:tc>
          <w:tcPr>
            <w:tcW w:w="164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rPr>
              <w:t>September 25,</w:t>
            </w: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172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c>
          <w:tcPr>
            <w:tcW w:w="1700" w:type="dxa"/>
            <w:vAlign w:val="bottom"/>
            <w:gridSpan w:val="3"/>
            <w:vMerge w:val="continue"/>
          </w:tcPr>
          <w:p>
            <w:pPr>
              <w:spacing w:after="0"/>
              <w:rPr>
                <w:sz w:val="21"/>
                <w:szCs w:val="21"/>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56"/>
        </w:trPr>
        <w:tc>
          <w:tcPr>
            <w:tcW w:w="44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Cash paid for amounts included in the measurement of lease</w:t>
            </w:r>
          </w:p>
        </w:tc>
        <w:tc>
          <w:tcPr>
            <w:tcW w:w="5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176"/>
        </w:trPr>
        <w:tc>
          <w:tcPr>
            <w:tcW w:w="4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Right-of-use assets obtained in exchange for lease</w:t>
            </w: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Operating leases net of lease modifications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7.4 years</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4.5 years</w:t>
            </w:r>
          </w:p>
        </w:tc>
        <w:tc>
          <w:tcPr>
            <w:tcW w:w="5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7.4 years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years</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certain amounts attributable to the non-core eOne Film and TV businesses, which were transferred to Assets held for sale and Liabilities held for sale as of October 1, 2023. See note</w:t>
      </w:r>
    </w:p>
    <w:p>
      <w:pPr>
        <w:spacing w:after="0" w:line="5" w:lineRule="exact"/>
        <w:rPr>
          <w:rFonts w:ascii="Arial" w:cs="Arial" w:eastAsia="Arial" w:hAnsi="Arial"/>
          <w:sz w:val="21"/>
          <w:szCs w:val="21"/>
          <w:i w:val="1"/>
          <w:iCs w:val="1"/>
          <w:color w:val="auto"/>
          <w:vertAlign w:val="superscript"/>
        </w:rPr>
      </w:pPr>
    </w:p>
    <w:p>
      <w:pPr>
        <w:spacing w:after="0"/>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15 for additional information.</w:t>
      </w:r>
    </w:p>
    <w:p>
      <w:pPr>
        <w:spacing w:after="0" w:line="11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is a reconciliation of future undiscounted cash flows to the operating liabilities, and the related right of use assets, included in our consolidated balance sheets as of October 1,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90"/>
              <w:spacing w:after="0" w:line="243" w:lineRule="exact"/>
              <w:rPr>
                <w:sz w:val="20"/>
                <w:szCs w:val="20"/>
                <w:color w:val="auto"/>
              </w:rPr>
            </w:pPr>
            <w:r>
              <w:rPr>
                <w:rFonts w:ascii="Arial" w:cs="Arial" w:eastAsia="Arial" w:hAnsi="Arial"/>
                <w:sz w:val="18"/>
                <w:szCs w:val="18"/>
                <w:b w:val="1"/>
                <w:bCs w:val="1"/>
                <w:color w:val="auto"/>
                <w:w w:val="89"/>
              </w:rPr>
              <w:t xml:space="preserve">October 1, 2023 </w:t>
            </w:r>
            <w:r>
              <w:rPr>
                <w:rFonts w:ascii="Arial" w:cs="Arial" w:eastAsia="Arial" w:hAnsi="Arial"/>
                <w:sz w:val="23"/>
                <w:szCs w:val="23"/>
                <w:b w:val="1"/>
                <w:bCs w:val="1"/>
                <w:color w:val="auto"/>
                <w:w w:val="89"/>
                <w:vertAlign w:val="superscript"/>
              </w:rPr>
              <w:t>(1)</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(excluding the nine months ended October 1,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thereafter</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future operating lease payments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r>
      <w:tr>
        <w:trPr>
          <w:trHeight w:val="230"/>
        </w:trPr>
        <w:tc>
          <w:tcPr>
            <w:tcW w:w="9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Less current portion of operating lease liabilities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48"/>
        </w:trPr>
        <w:tc>
          <w:tcPr>
            <w:tcW w:w="94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Non-current operating lease liability </w:t>
            </w:r>
            <w:r>
              <w:rPr>
                <w:rFonts w:ascii="Arial" w:cs="Arial" w:eastAsia="Arial" w:hAnsi="Arial"/>
                <w:sz w:val="23"/>
                <w:szCs w:val="23"/>
                <w:color w:val="auto"/>
                <w:vertAlign w:val="superscript"/>
              </w:rPr>
              <w:t>(3)</w:t>
            </w: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4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Operating lease right-of-use assets, net </w:t>
            </w:r>
            <w:r>
              <w:rPr>
                <w:rFonts w:ascii="Arial" w:cs="Arial" w:eastAsia="Arial" w:hAnsi="Arial"/>
                <w:sz w:val="23"/>
                <w:szCs w:val="23"/>
                <w:color w:val="auto"/>
                <w:vertAlign w:val="superscript"/>
              </w:rPr>
              <w:t>(4)</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121.9</w:t>
            </w:r>
          </w:p>
        </w:tc>
      </w:tr>
      <w:tr>
        <w:trPr>
          <w:trHeight w:val="20"/>
        </w:trPr>
        <w:tc>
          <w:tcPr>
            <w:tcW w:w="9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60" w:firstLine="8"/>
        <w:spacing w:after="0" w:line="226" w:lineRule="auto"/>
        <w:tabs>
          <w:tab w:leader="none" w:pos="172" w:val="left"/>
        </w:tabs>
        <w:numPr>
          <w:ilvl w:val="0"/>
          <w:numId w:val="31"/>
        </w:numPr>
        <w:rPr>
          <w:rFonts w:ascii="Arial" w:cs="Arial" w:eastAsia="Arial" w:hAnsi="Arial"/>
          <w:sz w:val="20"/>
          <w:szCs w:val="20"/>
          <w:i w:val="1"/>
          <w:iCs w:val="1"/>
          <w:color w:val="auto"/>
          <w:vertAlign w:val="superscript"/>
        </w:rPr>
      </w:pPr>
      <w:r>
        <w:rPr>
          <w:rFonts w:ascii="Arial" w:cs="Arial" w:eastAsia="Arial" w:hAnsi="Arial"/>
          <w:sz w:val="13"/>
          <w:szCs w:val="13"/>
          <w:i w:val="1"/>
          <w:iCs w:val="1"/>
          <w:color w:val="auto"/>
        </w:rPr>
        <w:t>Includes certain assets and liabilities attributable to the non-core eOne Film and TV businesses, which were transferred to Assets held for sale and Liabilities held for sale as of October 1, 2023. See note 15 for additional information.</w:t>
      </w:r>
    </w:p>
    <w:p>
      <w:pPr>
        <w:ind w:left="180" w:hanging="172"/>
        <w:spacing w:after="0" w:line="214" w:lineRule="auto"/>
        <w:tabs>
          <w:tab w:leader="none" w:pos="180" w:val="left"/>
        </w:tabs>
        <w:numPr>
          <w:ilvl w:val="0"/>
          <w:numId w:val="31"/>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Included in Accrued liabilities on the consolidated balance sheets.</w:t>
      </w:r>
    </w:p>
    <w:p>
      <w:pPr>
        <w:spacing w:after="0" w:line="46" w:lineRule="exact"/>
        <w:rPr>
          <w:rFonts w:ascii="Arial" w:cs="Arial" w:eastAsia="Arial" w:hAnsi="Arial"/>
          <w:sz w:val="21"/>
          <w:szCs w:val="21"/>
          <w:i w:val="1"/>
          <w:iCs w:val="1"/>
          <w:color w:val="auto"/>
          <w:vertAlign w:val="superscript"/>
        </w:rPr>
      </w:pPr>
    </w:p>
    <w:p>
      <w:pPr>
        <w:ind w:left="180" w:hanging="172"/>
        <w:spacing w:after="0" w:line="186" w:lineRule="auto"/>
        <w:tabs>
          <w:tab w:leader="none" w:pos="180" w:val="left"/>
        </w:tabs>
        <w:numPr>
          <w:ilvl w:val="0"/>
          <w:numId w:val="31"/>
        </w:numPr>
        <w:rPr>
          <w:rFonts w:ascii="Arial" w:cs="Arial" w:eastAsia="Arial" w:hAnsi="Arial"/>
          <w:sz w:val="19"/>
          <w:szCs w:val="19"/>
          <w:i w:val="1"/>
          <w:iCs w:val="1"/>
          <w:color w:val="auto"/>
          <w:vertAlign w:val="superscript"/>
        </w:rPr>
      </w:pPr>
      <w:r>
        <w:rPr>
          <w:rFonts w:ascii="Arial" w:cs="Arial" w:eastAsia="Arial" w:hAnsi="Arial"/>
          <w:sz w:val="12"/>
          <w:szCs w:val="12"/>
          <w:i w:val="1"/>
          <w:iCs w:val="1"/>
          <w:color w:val="auto"/>
        </w:rPr>
        <w:t>Included in Other liabilities on the consolidated balance sheets.</w:t>
      </w:r>
    </w:p>
    <w:p>
      <w:pPr>
        <w:spacing w:after="0" w:line="46" w:lineRule="exact"/>
        <w:rPr>
          <w:rFonts w:ascii="Arial" w:cs="Arial" w:eastAsia="Arial" w:hAnsi="Arial"/>
          <w:sz w:val="19"/>
          <w:szCs w:val="19"/>
          <w:i w:val="1"/>
          <w:iCs w:val="1"/>
          <w:color w:val="auto"/>
          <w:vertAlign w:val="superscript"/>
        </w:rPr>
      </w:pPr>
    </w:p>
    <w:p>
      <w:pPr>
        <w:ind w:left="180" w:hanging="172"/>
        <w:spacing w:after="0" w:line="186" w:lineRule="auto"/>
        <w:tabs>
          <w:tab w:leader="none" w:pos="180" w:val="left"/>
        </w:tabs>
        <w:numPr>
          <w:ilvl w:val="0"/>
          <w:numId w:val="31"/>
        </w:numPr>
        <w:rPr>
          <w:rFonts w:ascii="Arial" w:cs="Arial" w:eastAsia="Arial" w:hAnsi="Arial"/>
          <w:sz w:val="19"/>
          <w:szCs w:val="19"/>
          <w:i w:val="1"/>
          <w:iCs w:val="1"/>
          <w:color w:val="auto"/>
          <w:vertAlign w:val="superscript"/>
        </w:rPr>
      </w:pPr>
      <w:r>
        <w:rPr>
          <w:rFonts w:ascii="Arial" w:cs="Arial" w:eastAsia="Arial" w:hAnsi="Arial"/>
          <w:sz w:val="12"/>
          <w:szCs w:val="12"/>
          <w:i w:val="1"/>
          <w:iCs w:val="1"/>
          <w:color w:val="auto"/>
        </w:rPr>
        <w:t>Included in Property, plant, and equipment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02"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Hasbro is a toy and game company with a broad portfolio of brands and entertainment content spanning toys, games, licensed products ranging from traditional to digital, as well as film and television entertainment. The Company's three principal reportable segments are (i) Consumer Products, (ii) Wizards of the Coast and Digital Gaming, and (iii) Entertainment.</w:t>
      </w:r>
    </w:p>
    <w:p>
      <w:pPr>
        <w:spacing w:after="0" w:line="14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The Wizards of the Coast and Digital Gaming business engages in the promotion of the Company's brands through the development of trading card, role-playing and digital game experiences based on Hasbro and Wizards of the Coast games. The Entertainment segment engages in the development, acquisition, production, distribution and sale of world-class entertainment content including film, scripted and unscripted television, family programming, digital content and live entertainment. Corporate and Other provides management and administrative services to the Company's principal reporting segments described above and consists of unallocated corporate expenses and administrative costs and activities not considered when evaluating segment performance as well as certain assets benefiting more than one segment.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of the Company's segments are the same as those referenced in note 1.</w:t>
      </w:r>
    </w:p>
    <w:p>
      <w:pPr>
        <w:spacing w:after="0" w:line="19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Results shown for the quarter ended October 1, 2023 are not necessarily representative of those which may be expected for the full year 2023, nor were those of the comparable 2022 periods representative of those actually experienced for the full year 2022. Similarly, such results are not necessarily those which would be achieved were each segment an unaffiliated business enterprise.</w:t>
      </w:r>
    </w:p>
    <w:p>
      <w:pPr>
        <w:spacing w:after="0" w:line="1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Information by segment and a reconciliation to reported amounts for the quarters and nine months ended October 1, 2023 and September 25,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92"/>
              </w:rPr>
              <w:t>Quarter Ended</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5"/>
          </w:tcPr>
          <w:p>
            <w:pPr>
              <w:ind w:left="540"/>
              <w:spacing w:after="0"/>
              <w:rPr>
                <w:sz w:val="20"/>
                <w:szCs w:val="20"/>
                <w:color w:val="auto"/>
              </w:rPr>
            </w:pPr>
            <w:r>
              <w:rPr>
                <w:rFonts w:ascii="Arial" w:cs="Arial" w:eastAsia="Arial" w:hAnsi="Arial"/>
                <w:sz w:val="18"/>
                <w:szCs w:val="18"/>
                <w:b w:val="1"/>
                <w:bCs w:val="1"/>
                <w:color w:val="auto"/>
              </w:rPr>
              <w:t>October 1, 2023</w:t>
            </w:r>
          </w:p>
        </w:tc>
        <w:tc>
          <w:tcPr>
            <w:tcW w:w="220" w:type="dxa"/>
            <w:vAlign w:val="bottom"/>
          </w:tcPr>
          <w:p>
            <w:pPr>
              <w:spacing w:after="0"/>
              <w:rPr>
                <w:sz w:val="19"/>
                <w:szCs w:val="19"/>
                <w:color w:val="auto"/>
              </w:rPr>
            </w:pPr>
          </w:p>
        </w:tc>
        <w:tc>
          <w:tcPr>
            <w:tcW w:w="25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25, 2022</w:t>
            </w:r>
          </w:p>
        </w:tc>
      </w:tr>
      <w:tr>
        <w:trPr>
          <w:trHeight w:val="183"/>
        </w:trPr>
        <w:tc>
          <w:tcPr>
            <w:tcW w:w="20" w:type="dxa"/>
            <w:vAlign w:val="bottom"/>
          </w:tcPr>
          <w:p>
            <w:pPr>
              <w:spacing w:after="0"/>
              <w:rPr>
                <w:sz w:val="15"/>
                <w:szCs w:val="15"/>
                <w:color w:val="auto"/>
              </w:rPr>
            </w:pPr>
          </w:p>
        </w:tc>
        <w:tc>
          <w:tcPr>
            <w:tcW w:w="56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00"/>
              <w:spacing w:after="0" w:line="182" w:lineRule="exact"/>
              <w:rPr>
                <w:sz w:val="20"/>
                <w:szCs w:val="20"/>
                <w:color w:val="auto"/>
              </w:rPr>
            </w:pPr>
            <w:r>
              <w:rPr>
                <w:rFonts w:ascii="Arial" w:cs="Arial" w:eastAsia="Arial" w:hAnsi="Arial"/>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20"/>
              <w:spacing w:after="0" w:line="182" w:lineRule="exact"/>
              <w:rPr>
                <w:sz w:val="20"/>
                <w:szCs w:val="20"/>
                <w:color w:val="auto"/>
              </w:rPr>
            </w:pPr>
            <w:r>
              <w:rPr>
                <w:rFonts w:ascii="Arial" w:cs="Arial" w:eastAsia="Arial" w:hAnsi="Arial"/>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30"/>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Wizards of the Coast and Digital Gaming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(167.2)</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46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5"/>
          </w:tcPr>
          <w:p>
            <w:pPr>
              <w:ind w:left="540"/>
              <w:spacing w:after="0"/>
              <w:rPr>
                <w:sz w:val="20"/>
                <w:szCs w:val="20"/>
                <w:color w:val="auto"/>
              </w:rPr>
            </w:pPr>
            <w:r>
              <w:rPr>
                <w:rFonts w:ascii="Arial" w:cs="Arial" w:eastAsia="Arial" w:hAnsi="Arial"/>
                <w:sz w:val="18"/>
                <w:szCs w:val="18"/>
                <w:b w:val="1"/>
                <w:bCs w:val="1"/>
                <w:color w:val="auto"/>
              </w:rPr>
              <w:t>October 1, 2023</w:t>
            </w:r>
          </w:p>
        </w:tc>
        <w:tc>
          <w:tcPr>
            <w:tcW w:w="220" w:type="dxa"/>
            <w:vAlign w:val="bottom"/>
          </w:tcPr>
          <w:p>
            <w:pPr>
              <w:spacing w:after="0"/>
              <w:rPr>
                <w:sz w:val="19"/>
                <w:szCs w:val="19"/>
                <w:color w:val="auto"/>
              </w:rPr>
            </w:pPr>
          </w:p>
        </w:tc>
        <w:tc>
          <w:tcPr>
            <w:tcW w:w="25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25, 2022</w:t>
            </w:r>
          </w:p>
        </w:tc>
      </w:tr>
      <w:tr>
        <w:trPr>
          <w:trHeight w:val="183"/>
        </w:trPr>
        <w:tc>
          <w:tcPr>
            <w:tcW w:w="20" w:type="dxa"/>
            <w:vAlign w:val="bottom"/>
          </w:tcPr>
          <w:p>
            <w:pPr>
              <w:spacing w:after="0"/>
              <w:rPr>
                <w:sz w:val="15"/>
                <w:szCs w:val="15"/>
                <w:color w:val="auto"/>
              </w:rPr>
            </w:pPr>
          </w:p>
        </w:tc>
        <w:tc>
          <w:tcPr>
            <w:tcW w:w="56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00"/>
              <w:spacing w:after="0" w:line="182" w:lineRule="exact"/>
              <w:rPr>
                <w:sz w:val="20"/>
                <w:szCs w:val="20"/>
                <w:color w:val="auto"/>
              </w:rPr>
            </w:pPr>
            <w:r>
              <w:rPr>
                <w:rFonts w:ascii="Arial" w:cs="Arial" w:eastAsia="Arial" w:hAnsi="Arial"/>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20"/>
              <w:spacing w:after="0" w:line="182" w:lineRule="exact"/>
              <w:rPr>
                <w:sz w:val="20"/>
                <w:szCs w:val="20"/>
                <w:color w:val="auto"/>
              </w:rPr>
            </w:pPr>
            <w:r>
              <w:rPr>
                <w:rFonts w:ascii="Arial" w:cs="Arial" w:eastAsia="Arial" w:hAnsi="Arial"/>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r>
      <w:tr>
        <w:trPr>
          <w:trHeight w:val="230"/>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Wizards of the Coast and Digital Gaming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29"/>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(513.7)</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46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953"/>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
        <w:spacing w:after="0"/>
        <w:rPr>
          <w:sz w:val="20"/>
          <w:szCs w:val="20"/>
          <w:color w:val="auto"/>
        </w:rPr>
      </w:pPr>
      <w:r>
        <w:rPr>
          <w:rFonts w:ascii="Arial" w:cs="Arial" w:eastAsia="Arial" w:hAnsi="Arial"/>
          <w:sz w:val="18"/>
          <w:szCs w:val="18"/>
          <w:b w:val="1"/>
          <w:bCs w:val="1"/>
          <w:u w:val="single" w:color="auto"/>
          <w:color w:val="auto"/>
        </w:rPr>
        <w:t>Operating profit (loss)</w:t>
      </w:r>
    </w:p>
    <w:p>
      <w:pPr>
        <w:spacing w:after="0" w:line="40" w:lineRule="exact"/>
        <w:rPr>
          <w:sz w:val="20"/>
          <w:szCs w:val="20"/>
          <w:color w:val="auto"/>
        </w:rPr>
      </w:pPr>
    </w:p>
    <w:p>
      <w:pPr>
        <w:ind w:left="12"/>
        <w:spacing w:after="0"/>
        <w:rPr>
          <w:sz w:val="20"/>
          <w:szCs w:val="20"/>
          <w:color w:val="auto"/>
        </w:rPr>
      </w:pPr>
      <w:r>
        <w:rPr>
          <w:rFonts w:ascii="Arial" w:cs="Arial" w:eastAsia="Arial" w:hAnsi="Arial"/>
          <w:sz w:val="18"/>
          <w:szCs w:val="18"/>
          <w:color w:val="auto"/>
        </w:rPr>
        <w:t>Consumer Products</w:t>
      </w:r>
    </w:p>
    <w:p>
      <w:pPr>
        <w:spacing w:after="0" w:line="23" w:lineRule="exact"/>
        <w:rPr>
          <w:sz w:val="20"/>
          <w:szCs w:val="20"/>
          <w:color w:val="auto"/>
        </w:rPr>
      </w:pPr>
    </w:p>
    <w:p>
      <w:pPr>
        <w:ind w:left="12"/>
        <w:spacing w:after="0" w:line="266" w:lineRule="auto"/>
        <w:rPr>
          <w:sz w:val="20"/>
          <w:szCs w:val="20"/>
          <w:color w:val="auto"/>
        </w:rPr>
      </w:pPr>
      <w:r>
        <w:rPr>
          <w:rFonts w:ascii="Arial" w:cs="Arial" w:eastAsia="Arial" w:hAnsi="Arial"/>
          <w:sz w:val="18"/>
          <w:szCs w:val="18"/>
          <w:color w:val="auto"/>
        </w:rPr>
        <w:t xml:space="preserve">Wizards of the Coast and Digital Gaming Entertainment </w:t>
      </w:r>
      <w:r>
        <w:rPr>
          <w:rFonts w:ascii="Arial" w:cs="Arial" w:eastAsia="Arial" w:hAnsi="Arial"/>
          <w:sz w:val="12"/>
          <w:szCs w:val="12"/>
          <w:color w:val="auto"/>
        </w:rPr>
        <w:t>(a)</w:t>
      </w:r>
    </w:p>
    <w:p>
      <w:pPr>
        <w:ind w:left="12" w:right="1180"/>
        <w:spacing w:after="0" w:line="285" w:lineRule="auto"/>
        <w:rPr>
          <w:sz w:val="20"/>
          <w:szCs w:val="20"/>
          <w:color w:val="auto"/>
        </w:rPr>
      </w:pPr>
      <w:r>
        <w:rPr>
          <w:rFonts w:ascii="Arial" w:cs="Arial" w:eastAsia="Arial" w:hAnsi="Arial"/>
          <w:sz w:val="17"/>
          <w:szCs w:val="17"/>
          <w:color w:val="auto"/>
        </w:rPr>
        <w:t xml:space="preserve">Corporate and Other </w:t>
      </w:r>
      <w:r>
        <w:rPr>
          <w:rFonts w:ascii="Arial" w:cs="Arial" w:eastAsia="Arial" w:hAnsi="Arial"/>
          <w:sz w:val="11"/>
          <w:szCs w:val="11"/>
          <w:color w:val="auto"/>
        </w:rPr>
        <w:t>(a)(c)</w:t>
      </w:r>
      <w:r>
        <w:rPr>
          <w:rFonts w:ascii="Arial" w:cs="Arial" w:eastAsia="Arial" w:hAnsi="Arial"/>
          <w:sz w:val="17"/>
          <w:szCs w:val="17"/>
          <w:color w:val="auto"/>
        </w:rPr>
        <w:t xml:space="preserve"> Operating profit (loss) Interest expense Interest income</w:t>
      </w:r>
    </w:p>
    <w:p>
      <w:pPr>
        <w:spacing w:after="0" w:line="3" w:lineRule="exact"/>
        <w:rPr>
          <w:sz w:val="20"/>
          <w:szCs w:val="20"/>
          <w:color w:val="auto"/>
        </w:rPr>
      </w:pPr>
    </w:p>
    <w:p>
      <w:pPr>
        <w:ind w:left="12"/>
        <w:spacing w:after="0"/>
        <w:rPr>
          <w:sz w:val="20"/>
          <w:szCs w:val="20"/>
          <w:color w:val="auto"/>
        </w:rPr>
      </w:pPr>
      <w:r>
        <w:rPr>
          <w:rFonts w:ascii="Arial" w:cs="Arial" w:eastAsia="Arial" w:hAnsi="Arial"/>
          <w:sz w:val="17"/>
          <w:szCs w:val="17"/>
          <w:color w:val="auto"/>
        </w:rPr>
        <w:t>Other non-operating expense (income)</w:t>
      </w:r>
    </w:p>
    <w:p>
      <w:pPr>
        <w:spacing w:after="0" w:line="74" w:lineRule="exact"/>
        <w:rPr>
          <w:sz w:val="20"/>
          <w:szCs w:val="20"/>
          <w:color w:val="auto"/>
        </w:rPr>
      </w:pPr>
    </w:p>
    <w:p>
      <w:pPr>
        <w:ind w:left="12"/>
        <w:spacing w:after="0"/>
        <w:rPr>
          <w:sz w:val="20"/>
          <w:szCs w:val="20"/>
          <w:color w:val="auto"/>
        </w:rPr>
      </w:pPr>
      <w:r>
        <w:rPr>
          <w:rFonts w:ascii="Arial" w:cs="Arial" w:eastAsia="Arial" w:hAnsi="Arial"/>
          <w:sz w:val="18"/>
          <w:szCs w:val="18"/>
          <w:color w:val="auto"/>
        </w:rPr>
        <w:t>Earnings (loss)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
        <w:spacing w:after="0"/>
        <w:rPr>
          <w:sz w:val="20"/>
          <w:szCs w:val="20"/>
          <w:color w:val="auto"/>
        </w:rPr>
      </w:pPr>
      <w:r>
        <w:rPr>
          <w:rFonts w:ascii="Arial" w:cs="Arial" w:eastAsia="Arial" w:hAnsi="Arial"/>
          <w:sz w:val="18"/>
          <w:szCs w:val="18"/>
          <w:b w:val="1"/>
          <w:bCs w:val="1"/>
          <w:u w:val="single" w:color="auto"/>
          <w:color w:val="auto"/>
        </w:rPr>
        <w:t>Total assets</w:t>
      </w:r>
    </w:p>
    <w:p>
      <w:pPr>
        <w:spacing w:after="0" w:line="40" w:lineRule="exact"/>
        <w:rPr>
          <w:sz w:val="20"/>
          <w:szCs w:val="20"/>
          <w:color w:val="auto"/>
        </w:rPr>
      </w:pPr>
    </w:p>
    <w:p>
      <w:pPr>
        <w:ind w:left="12"/>
        <w:spacing w:after="0"/>
        <w:rPr>
          <w:sz w:val="20"/>
          <w:szCs w:val="20"/>
          <w:color w:val="auto"/>
        </w:rPr>
      </w:pPr>
      <w:r>
        <w:rPr>
          <w:rFonts w:ascii="Arial" w:cs="Arial" w:eastAsia="Arial" w:hAnsi="Arial"/>
          <w:sz w:val="18"/>
          <w:szCs w:val="18"/>
          <w:color w:val="auto"/>
        </w:rPr>
        <w:t>Consumer Products</w:t>
      </w:r>
    </w:p>
    <w:p>
      <w:pPr>
        <w:spacing w:after="0" w:line="23" w:lineRule="exact"/>
        <w:rPr>
          <w:sz w:val="20"/>
          <w:szCs w:val="20"/>
          <w:color w:val="auto"/>
        </w:rPr>
      </w:pPr>
    </w:p>
    <w:p>
      <w:pPr>
        <w:ind w:left="12"/>
        <w:spacing w:after="0"/>
        <w:rPr>
          <w:sz w:val="20"/>
          <w:szCs w:val="20"/>
          <w:color w:val="auto"/>
        </w:rPr>
      </w:pPr>
      <w:r>
        <w:rPr>
          <w:rFonts w:ascii="Arial" w:cs="Arial" w:eastAsia="Arial" w:hAnsi="Arial"/>
          <w:sz w:val="16"/>
          <w:szCs w:val="16"/>
          <w:color w:val="auto"/>
        </w:rPr>
        <w:t>Wizards of the Coast and Digital Gaming</w:t>
      </w:r>
    </w:p>
    <w:p>
      <w:pPr>
        <w:spacing w:after="0" w:line="26" w:lineRule="exact"/>
        <w:rPr>
          <w:sz w:val="20"/>
          <w:szCs w:val="20"/>
          <w:color w:val="auto"/>
        </w:rPr>
      </w:pPr>
    </w:p>
    <w:p>
      <w:pPr>
        <w:ind w:left="12"/>
        <w:spacing w:after="0"/>
        <w:rPr>
          <w:sz w:val="20"/>
          <w:szCs w:val="20"/>
          <w:color w:val="auto"/>
        </w:rPr>
      </w:pPr>
      <w:r>
        <w:rPr>
          <w:rFonts w:ascii="Arial" w:cs="Arial" w:eastAsia="Arial" w:hAnsi="Arial"/>
          <w:sz w:val="18"/>
          <w:szCs w:val="18"/>
          <w:color w:val="auto"/>
        </w:rPr>
        <w:t xml:space="preserve">Entertainment </w:t>
      </w:r>
      <w:r>
        <w:rPr>
          <w:rFonts w:ascii="Arial" w:cs="Arial" w:eastAsia="Arial" w:hAnsi="Arial"/>
          <w:sz w:val="23"/>
          <w:szCs w:val="23"/>
          <w:color w:val="auto"/>
          <w:vertAlign w:val="superscript"/>
        </w:rPr>
        <w:t>(a)</w:t>
      </w:r>
    </w:p>
    <w:p>
      <w:pPr>
        <w:ind w:left="12"/>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2"/>
          <w:szCs w:val="12"/>
          <w:color w:val="auto"/>
        </w:rPr>
        <w:t>(a)</w:t>
      </w:r>
    </w:p>
    <w:p>
      <w:pPr>
        <w:spacing w:after="0" w:line="20" w:lineRule="exact"/>
        <w:rPr>
          <w:sz w:val="20"/>
          <w:szCs w:val="20"/>
          <w:color w:val="auto"/>
        </w:rPr>
      </w:pPr>
      <w:r>
        <w:rPr>
          <w:sz w:val="20"/>
          <w:szCs w:val="20"/>
          <w:color w:val="auto"/>
        </w:rPr>
        <w:br w:type="column"/>
      </w:r>
    </w:p>
    <w:p>
      <w:pPr>
        <w:jc w:val="both"/>
        <w:ind w:right="3500" w:firstLine="4"/>
        <w:spacing w:after="0" w:line="349" w:lineRule="auto"/>
        <w:rPr>
          <w:sz w:val="20"/>
          <w:szCs w:val="20"/>
          <w:color w:val="auto"/>
        </w:rPr>
      </w:pPr>
      <w:r>
        <w:rPr>
          <w:rFonts w:ascii="Arial" w:cs="Arial" w:eastAsia="Arial" w:hAnsi="Arial"/>
          <w:sz w:val="15"/>
          <w:szCs w:val="15"/>
          <w:b w:val="1"/>
          <w:bCs w:val="1"/>
          <w:color w:val="auto"/>
        </w:rPr>
        <w:t>Condensed Notes to Consolidated Financial Statements (Millions of Dollars and Shares Except Per Share Data)</w:t>
      </w:r>
    </w:p>
    <w:p>
      <w:pPr>
        <w:spacing w:after="0" w:line="200" w:lineRule="exact"/>
        <w:rPr>
          <w:sz w:val="20"/>
          <w:szCs w:val="20"/>
          <w:color w:val="auto"/>
        </w:rPr>
      </w:pPr>
    </w:p>
    <w:p>
      <w:pPr>
        <w:spacing w:after="0" w:line="298"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02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9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178"/>
        </w:trPr>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120"/>
              <w:spacing w:after="0" w:line="177" w:lineRule="exact"/>
              <w:rPr>
                <w:sz w:val="20"/>
                <w:szCs w:val="20"/>
                <w:color w:val="auto"/>
              </w:rPr>
            </w:pPr>
            <w:r>
              <w:rPr>
                <w:rFonts w:ascii="Arial" w:cs="Arial" w:eastAsia="Arial" w:hAnsi="Arial"/>
                <w:sz w:val="18"/>
                <w:szCs w:val="18"/>
                <w:b w:val="1"/>
                <w:bCs w:val="1"/>
                <w:color w:val="auto"/>
              </w:rPr>
              <w:t>October 1,</w:t>
            </w: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130"/>
              <w:spacing w:after="0" w:line="177" w:lineRule="exact"/>
              <w:rPr>
                <w:sz w:val="20"/>
                <w:szCs w:val="20"/>
                <w:color w:val="auto"/>
              </w:rPr>
            </w:pPr>
            <w:r>
              <w:rPr>
                <w:rFonts w:ascii="Arial" w:cs="Arial" w:eastAsia="Arial" w:hAnsi="Arial"/>
                <w:sz w:val="18"/>
                <w:szCs w:val="18"/>
                <w:b w:val="1"/>
                <w:bCs w:val="1"/>
                <w:color w:val="auto"/>
                <w:w w:val="90"/>
              </w:rPr>
              <w:t>September 25,</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120"/>
              <w:spacing w:after="0" w:line="177" w:lineRule="exact"/>
              <w:rPr>
                <w:sz w:val="20"/>
                <w:szCs w:val="20"/>
                <w:color w:val="auto"/>
              </w:rPr>
            </w:pPr>
            <w:r>
              <w:rPr>
                <w:rFonts w:ascii="Arial" w:cs="Arial" w:eastAsia="Arial" w:hAnsi="Arial"/>
                <w:sz w:val="18"/>
                <w:szCs w:val="18"/>
                <w:b w:val="1"/>
                <w:bCs w:val="1"/>
                <w:color w:val="auto"/>
              </w:rPr>
              <w:t>October 1,</w:t>
            </w: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130"/>
              <w:spacing w:after="0" w:line="177" w:lineRule="exact"/>
              <w:rPr>
                <w:sz w:val="20"/>
                <w:szCs w:val="20"/>
                <w:color w:val="auto"/>
              </w:rPr>
            </w:pPr>
            <w:r>
              <w:rPr>
                <w:rFonts w:ascii="Arial" w:cs="Arial" w:eastAsia="Arial" w:hAnsi="Arial"/>
                <w:sz w:val="18"/>
                <w:szCs w:val="18"/>
                <w:b w:val="1"/>
                <w:bCs w:val="1"/>
                <w:color w:val="auto"/>
                <w:w w:val="92"/>
              </w:rPr>
              <w:t>September 25,</w:t>
            </w:r>
          </w:p>
        </w:tc>
      </w:tr>
      <w:tr>
        <w:trPr>
          <w:trHeight w:val="234"/>
        </w:trPr>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2"/>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138.9</w:t>
            </w:r>
          </w:p>
        </w:tc>
      </w:tr>
      <w:tr>
        <w:trPr>
          <w:trHeight w:val="229"/>
        </w:trPr>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434.2</w:t>
            </w:r>
          </w:p>
        </w:tc>
      </w:tr>
      <w:tr>
        <w:trPr>
          <w:trHeight w:val="229"/>
        </w:trPr>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r>
      <w:tr>
        <w:trPr>
          <w:trHeight w:val="222"/>
        </w:trPr>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533.4</w:t>
            </w:r>
          </w:p>
        </w:tc>
      </w:tr>
      <w:tr>
        <w:trPr>
          <w:trHeight w:val="230"/>
        </w:trPr>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29"/>
        </w:trPr>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-1370965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-1071245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-779145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-479425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-187960</wp:posOffset>
            </wp:positionV>
            <wp:extent cx="504888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4888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94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October 1,</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25,</w:t>
            </w:r>
          </w:p>
        </w:tc>
        <w:tc>
          <w:tcPr>
            <w:tcW w:w="18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25,</w:t>
            </w:r>
          </w:p>
        </w:tc>
      </w:tr>
      <w:tr>
        <w:trPr>
          <w:trHeight w:val="239"/>
        </w:trPr>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6"/>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center"/>
              <w:ind w:left="510"/>
              <w:spacing w:after="0"/>
              <w:rPr>
                <w:sz w:val="20"/>
                <w:szCs w:val="20"/>
                <w:color w:val="auto"/>
              </w:rPr>
            </w:pPr>
            <w:r>
              <w:rPr>
                <w:rFonts w:ascii="Arial" w:cs="Arial" w:eastAsia="Arial" w:hAnsi="Arial"/>
                <w:sz w:val="18"/>
                <w:szCs w:val="18"/>
                <w:color w:val="auto"/>
                <w:w w:val="89"/>
              </w:rPr>
              <w:t>6,474.4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590"/>
              <w:spacing w:after="0"/>
              <w:rPr>
                <w:sz w:val="20"/>
                <w:szCs w:val="20"/>
                <w:color w:val="auto"/>
              </w:rPr>
            </w:pPr>
            <w:r>
              <w:rPr>
                <w:rFonts w:ascii="Arial" w:cs="Arial" w:eastAsia="Arial" w:hAnsi="Arial"/>
                <w:sz w:val="18"/>
                <w:szCs w:val="18"/>
                <w:color w:val="auto"/>
                <w:w w:val="89"/>
              </w:rPr>
              <w:t>5,817.9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left="570"/>
              <w:spacing w:after="0"/>
              <w:rPr>
                <w:sz w:val="20"/>
                <w:szCs w:val="20"/>
                <w:color w:val="auto"/>
              </w:rPr>
            </w:pPr>
            <w:r>
              <w:rPr>
                <w:rFonts w:ascii="Arial" w:cs="Arial" w:eastAsia="Arial" w:hAnsi="Arial"/>
                <w:sz w:val="18"/>
                <w:szCs w:val="18"/>
                <w:color w:val="auto"/>
                <w:w w:val="89"/>
              </w:rPr>
              <w:t>5,757.7</w:t>
            </w:r>
          </w:p>
        </w:tc>
      </w:tr>
      <w:tr>
        <w:trPr>
          <w:trHeight w:val="230"/>
        </w:trPr>
        <w:tc>
          <w:tcPr>
            <w:tcW w:w="220" w:type="dxa"/>
            <w:vAlign w:val="bottom"/>
          </w:tcPr>
          <w:p>
            <w:pPr>
              <w:spacing w:after="0"/>
              <w:rPr>
                <w:sz w:val="19"/>
                <w:szCs w:val="19"/>
                <w:color w:val="auto"/>
              </w:rPr>
            </w:pPr>
          </w:p>
        </w:tc>
        <w:tc>
          <w:tcPr>
            <w:tcW w:w="1300" w:type="dxa"/>
            <w:vAlign w:val="bottom"/>
          </w:tcPr>
          <w:p>
            <w:pPr>
              <w:jc w:val="center"/>
              <w:ind w:left="510"/>
              <w:spacing w:after="0"/>
              <w:rPr>
                <w:sz w:val="20"/>
                <w:szCs w:val="20"/>
                <w:color w:val="auto"/>
              </w:rPr>
            </w:pPr>
            <w:r>
              <w:rPr>
                <w:rFonts w:ascii="Arial" w:cs="Arial" w:eastAsia="Arial" w:hAnsi="Arial"/>
                <w:sz w:val="18"/>
                <w:szCs w:val="18"/>
                <w:color w:val="auto"/>
                <w:w w:val="89"/>
              </w:rPr>
              <w:t>4,029.1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center"/>
              <w:ind w:left="590"/>
              <w:spacing w:after="0"/>
              <w:rPr>
                <w:sz w:val="20"/>
                <w:szCs w:val="20"/>
                <w:color w:val="auto"/>
              </w:rPr>
            </w:pPr>
            <w:r>
              <w:rPr>
                <w:rFonts w:ascii="Arial" w:cs="Arial" w:eastAsia="Arial" w:hAnsi="Arial"/>
                <w:sz w:val="18"/>
                <w:szCs w:val="18"/>
                <w:color w:val="auto"/>
                <w:w w:val="89"/>
              </w:rPr>
              <w:t>2,646.6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left="570"/>
              <w:spacing w:after="0"/>
              <w:rPr>
                <w:sz w:val="20"/>
                <w:szCs w:val="20"/>
                <w:color w:val="auto"/>
              </w:rPr>
            </w:pPr>
            <w:r>
              <w:rPr>
                <w:rFonts w:ascii="Arial" w:cs="Arial" w:eastAsia="Arial" w:hAnsi="Arial"/>
                <w:sz w:val="18"/>
                <w:szCs w:val="18"/>
                <w:color w:val="auto"/>
                <w:w w:val="89"/>
              </w:rPr>
              <w:t>2,968.7</w:t>
            </w:r>
          </w:p>
        </w:tc>
      </w:tr>
      <w:tr>
        <w:trPr>
          <w:trHeight w:val="229"/>
        </w:trPr>
        <w:tc>
          <w:tcPr>
            <w:tcW w:w="220" w:type="dxa"/>
            <w:vAlign w:val="bottom"/>
          </w:tcPr>
          <w:p>
            <w:pPr>
              <w:spacing w:after="0"/>
              <w:rPr>
                <w:sz w:val="19"/>
                <w:szCs w:val="19"/>
                <w:color w:val="auto"/>
              </w:rPr>
            </w:pPr>
          </w:p>
        </w:tc>
        <w:tc>
          <w:tcPr>
            <w:tcW w:w="1300" w:type="dxa"/>
            <w:vAlign w:val="bottom"/>
          </w:tcPr>
          <w:p>
            <w:pPr>
              <w:jc w:val="center"/>
              <w:ind w:left="510"/>
              <w:spacing w:after="0"/>
              <w:rPr>
                <w:sz w:val="20"/>
                <w:szCs w:val="20"/>
                <w:color w:val="auto"/>
              </w:rPr>
            </w:pPr>
            <w:r>
              <w:rPr>
                <w:rFonts w:ascii="Arial" w:cs="Arial" w:eastAsia="Arial" w:hAnsi="Arial"/>
                <w:sz w:val="18"/>
                <w:szCs w:val="18"/>
                <w:color w:val="auto"/>
                <w:w w:val="89"/>
              </w:rPr>
              <w:t>5,346.7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center"/>
              <w:ind w:left="590"/>
              <w:spacing w:after="0"/>
              <w:rPr>
                <w:sz w:val="20"/>
                <w:szCs w:val="20"/>
                <w:color w:val="auto"/>
              </w:rPr>
            </w:pPr>
            <w:r>
              <w:rPr>
                <w:rFonts w:ascii="Arial" w:cs="Arial" w:eastAsia="Arial" w:hAnsi="Arial"/>
                <w:sz w:val="18"/>
                <w:szCs w:val="18"/>
                <w:color w:val="auto"/>
                <w:w w:val="89"/>
              </w:rPr>
              <w:t>6,158.5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left="570"/>
              <w:spacing w:after="0"/>
              <w:rPr>
                <w:sz w:val="20"/>
                <w:szCs w:val="20"/>
                <w:color w:val="auto"/>
              </w:rPr>
            </w:pPr>
            <w:r>
              <w:rPr>
                <w:rFonts w:ascii="Arial" w:cs="Arial" w:eastAsia="Arial" w:hAnsi="Arial"/>
                <w:sz w:val="18"/>
                <w:szCs w:val="18"/>
                <w:color w:val="auto"/>
                <w:w w:val="89"/>
              </w:rPr>
              <w:t>6,273.3</w:t>
            </w:r>
          </w:p>
        </w:tc>
      </w:tr>
      <w:tr>
        <w:trPr>
          <w:trHeight w:val="230"/>
        </w:trPr>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1"/>
              </w:rPr>
              <w:t>(7,510.0)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1"/>
              </w:rPr>
              <w:t>(4,996.9)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1"/>
              </w:rPr>
              <w:t>(5,703.8)</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9"/>
              </w:rPr>
              <w:t>8,340.2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89"/>
              </w:rPr>
              <w:t>9,626.1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9"/>
              </w:rPr>
              <w:t>9,295.9</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-779145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-479425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-187960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92" w:space="500"/>
            <w:col w:w="7740"/>
          </w:cols>
          <w:pgMar w:left="328" w:top="108" w:right="339" w:bottom="1440" w:gutter="0" w:footer="0" w:header="0"/>
        </w:sectPr>
      </w:pPr>
    </w:p>
    <w:p>
      <w:pPr>
        <w:spacing w:after="0" w:line="105" w:lineRule="exact"/>
        <w:rPr>
          <w:sz w:val="20"/>
          <w:szCs w:val="20"/>
          <w:color w:val="auto"/>
        </w:rPr>
      </w:pPr>
    </w:p>
    <w:p>
      <w:pPr>
        <w:ind w:left="-8" w:right="100" w:firstLine="8"/>
        <w:spacing w:after="0" w:line="272" w:lineRule="auto"/>
        <w:tabs>
          <w:tab w:leader="none" w:pos="196"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Certain long-term assets, including property, plant and equipment, goodwill and other intangibles, which benefit multiple operating segments, are included in both Entertainment and Corporate and Other. Allocations of certain Corporate and Other expenses, related to these assets are made to the individual operating segments at the beginning of the year based on budgeted amounts. Any differences between actual and budgeted amounts are reflected in Corporate and Other because allocations are translated from the U.S. Dollar to local currency at budgeted rates when recorded. Corporate and Other also includes the elimination of inter-company balance sheet amounts.</w:t>
      </w:r>
    </w:p>
    <w:p>
      <w:pPr>
        <w:spacing w:after="0" w:line="66" w:lineRule="exact"/>
        <w:rPr>
          <w:rFonts w:ascii="Arial" w:cs="Arial" w:eastAsia="Arial" w:hAnsi="Arial"/>
          <w:sz w:val="14"/>
          <w:szCs w:val="14"/>
          <w:i w:val="1"/>
          <w:iCs w:val="1"/>
          <w:color w:val="auto"/>
        </w:rPr>
      </w:pPr>
    </w:p>
    <w:p>
      <w:pPr>
        <w:ind w:left="212" w:hanging="212"/>
        <w:spacing w:after="0"/>
        <w:tabs>
          <w:tab w:leader="none" w:pos="212"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revenues from transactions with other operating segments that are included in the operating profit (loss) of the segment.</w:t>
      </w:r>
    </w:p>
    <w:p>
      <w:pPr>
        <w:spacing w:after="0" w:line="122" w:lineRule="exact"/>
        <w:rPr>
          <w:rFonts w:ascii="Arial" w:cs="Arial" w:eastAsia="Arial" w:hAnsi="Arial"/>
          <w:sz w:val="14"/>
          <w:szCs w:val="14"/>
          <w:i w:val="1"/>
          <w:iCs w:val="1"/>
          <w:color w:val="auto"/>
        </w:rPr>
      </w:pPr>
    </w:p>
    <w:p>
      <w:pPr>
        <w:ind w:left="-8" w:right="100" w:firstLine="8"/>
        <w:spacing w:after="0" w:line="286" w:lineRule="auto"/>
        <w:tabs>
          <w:tab w:leader="none" w:pos="188" w:val="left"/>
        </w:tabs>
        <w:numPr>
          <w:ilvl w:val="0"/>
          <w:numId w:val="33"/>
        </w:numPr>
        <w:rPr>
          <w:rFonts w:ascii="Arial" w:cs="Arial" w:eastAsia="Arial" w:hAnsi="Arial"/>
          <w:sz w:val="13"/>
          <w:szCs w:val="13"/>
          <w:i w:val="1"/>
          <w:iCs w:val="1"/>
          <w:color w:val="auto"/>
        </w:rPr>
      </w:pPr>
      <w:r>
        <w:rPr>
          <w:rFonts w:ascii="Arial" w:cs="Arial" w:eastAsia="Arial" w:hAnsi="Arial"/>
          <w:sz w:val="13"/>
          <w:szCs w:val="13"/>
          <w:i w:val="1"/>
          <w:iCs w:val="1"/>
          <w:color w:val="auto"/>
        </w:rPr>
        <w:t>Corporate and Other Operating profit (loss) includes Operational Excellence related transformation office and consulting fees of $8.4 million and $29.4 million, for the quarter and nine-month periods ended October 1, 2023, respectively, which are recorded within Selling, distribution and administration costs within the Consolidated Statements of Operations. Third party consultants were engaged to assist the Company in performing a comprehensive review of operations and developing a transformation plan designed to support the organization in identifying, realizing, and capturing savings through the identification of organizational initiatives intended to create efficiencies and improve business processes and operations. The consultants assisted in providing benchmark data and are currently assisting with the design of an improved operating model and supply chain function. The Company expects this consulting assistance to conclude in 2023 in line with the planning stages of the final components of the transformation plan. Corporate and Other Operating Profit (loss) includes other consulting expense of $2.8 million and $24.3 million for the quarter and nine month periods ended September 25, 2022, respectively, as well as incentive compensation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535940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8" w:right="339" w:bottom="1440" w:gutter="0" w:footer="0" w:header="0"/>
          <w:type w:val="continuous"/>
        </w:sectPr>
      </w:pPr>
    </w:p>
    <w:bookmarkStart w:id="28" w:name="page29"/>
    <w:bookmarkEnd w:id="28"/>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consolidated Consumer Products segment net revenues by major geographic region for the quarters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1, 2023 and September 25,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0" w:type="dxa"/>
            <w:vAlign w:val="bottom"/>
            <w:gridSpan w:val="5"/>
          </w:tcPr>
          <w:p>
            <w:pPr>
              <w:ind w:left="74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9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6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20"/>
              <w:spacing w:after="0" w:line="169" w:lineRule="exact"/>
              <w:rPr>
                <w:sz w:val="20"/>
                <w:szCs w:val="20"/>
                <w:color w:val="auto"/>
              </w:rPr>
            </w:pPr>
            <w:r>
              <w:rPr>
                <w:rFonts w:ascii="Arial" w:cs="Arial" w:eastAsia="Arial" w:hAnsi="Arial"/>
                <w:sz w:val="18"/>
                <w:szCs w:val="18"/>
                <w:b w:val="1"/>
                <w:bCs w:val="1"/>
                <w:color w:val="auto"/>
              </w:rPr>
              <w:t>October 1,</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25,</w:t>
            </w:r>
          </w:p>
        </w:tc>
        <w:tc>
          <w:tcPr>
            <w:tcW w:w="3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120"/>
              <w:spacing w:after="0" w:line="169" w:lineRule="exact"/>
              <w:rPr>
                <w:sz w:val="20"/>
                <w:szCs w:val="20"/>
                <w:color w:val="auto"/>
              </w:rPr>
            </w:pPr>
            <w:r>
              <w:rPr>
                <w:rFonts w:ascii="Arial" w:cs="Arial" w:eastAsia="Arial" w:hAnsi="Arial"/>
                <w:sz w:val="18"/>
                <w:szCs w:val="18"/>
                <w:b w:val="1"/>
                <w:bCs w:val="1"/>
                <w:color w:val="auto"/>
              </w:rPr>
              <w:t>October 1,</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September 25,</w:t>
            </w:r>
          </w:p>
        </w:tc>
      </w:tr>
      <w:tr>
        <w:trPr>
          <w:trHeight w:val="239"/>
        </w:trPr>
        <w:tc>
          <w:tcPr>
            <w:tcW w:w="4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1,531.8</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610.4</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represents consolidated Wizards of the Coast and Digital Gaming segment net revenues by category for the quarters and nine months ended October 1, 2023 and September 25,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9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5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120"/>
              <w:spacing w:after="0" w:line="169" w:lineRule="exact"/>
              <w:rPr>
                <w:sz w:val="20"/>
                <w:szCs w:val="20"/>
                <w:color w:val="auto"/>
              </w:rPr>
            </w:pPr>
            <w:r>
              <w:rPr>
                <w:rFonts w:ascii="Arial" w:cs="Arial" w:eastAsia="Arial" w:hAnsi="Arial"/>
                <w:sz w:val="18"/>
                <w:szCs w:val="18"/>
                <w:b w:val="1"/>
                <w:bCs w:val="1"/>
                <w:color w:val="auto"/>
              </w:rPr>
              <w:t>October 1,</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25,</w:t>
            </w:r>
          </w:p>
        </w:tc>
        <w:tc>
          <w:tcPr>
            <w:tcW w:w="3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120"/>
              <w:spacing w:after="0" w:line="169" w:lineRule="exact"/>
              <w:rPr>
                <w:sz w:val="20"/>
                <w:szCs w:val="20"/>
                <w:color w:val="auto"/>
              </w:rPr>
            </w:pPr>
            <w:r>
              <w:rPr>
                <w:rFonts w:ascii="Arial" w:cs="Arial" w:eastAsia="Arial" w:hAnsi="Arial"/>
                <w:sz w:val="18"/>
                <w:szCs w:val="18"/>
                <w:b w:val="1"/>
                <w:bCs w:val="1"/>
                <w:color w:val="auto"/>
              </w:rPr>
              <w:t>October 1,</w:t>
            </w: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b w:val="1"/>
                <w:bCs w:val="1"/>
                <w:color w:val="auto"/>
                <w:w w:val="92"/>
              </w:rPr>
              <w:t>September 25,</w:t>
            </w:r>
          </w:p>
        </w:tc>
      </w:tr>
      <w:tr>
        <w:trPr>
          <w:trHeight w:val="239"/>
        </w:trPr>
        <w:tc>
          <w:tcPr>
            <w:tcW w:w="45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Tabletop Gaming</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w:t>
            </w:r>
          </w:p>
        </w:tc>
      </w:tr>
      <w:tr>
        <w:trPr>
          <w:trHeight w:val="22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Digital and Licensed Gaming</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consolidated Entertainment segment net revenues by category for the quarters and nine months ended October 1,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9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178"/>
        </w:trPr>
        <w:tc>
          <w:tcPr>
            <w:tcW w:w="45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120"/>
              <w:spacing w:after="0" w:line="177" w:lineRule="exact"/>
              <w:rPr>
                <w:sz w:val="20"/>
                <w:szCs w:val="20"/>
                <w:color w:val="auto"/>
              </w:rPr>
            </w:pPr>
            <w:r>
              <w:rPr>
                <w:rFonts w:ascii="Arial" w:cs="Arial" w:eastAsia="Arial" w:hAnsi="Arial"/>
                <w:sz w:val="18"/>
                <w:szCs w:val="18"/>
                <w:b w:val="1"/>
                <w:bCs w:val="1"/>
                <w:color w:val="auto"/>
              </w:rPr>
              <w:t>October 1,</w:t>
            </w: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w w:val="92"/>
              </w:rPr>
              <w:t>September 25,</w:t>
            </w:r>
          </w:p>
        </w:tc>
        <w:tc>
          <w:tcPr>
            <w:tcW w:w="3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120"/>
              <w:spacing w:after="0" w:line="177" w:lineRule="exact"/>
              <w:rPr>
                <w:sz w:val="20"/>
                <w:szCs w:val="20"/>
                <w:color w:val="auto"/>
              </w:rPr>
            </w:pPr>
            <w:r>
              <w:rPr>
                <w:rFonts w:ascii="Arial" w:cs="Arial" w:eastAsia="Arial" w:hAnsi="Arial"/>
                <w:sz w:val="18"/>
                <w:szCs w:val="18"/>
                <w:b w:val="1"/>
                <w:bCs w:val="1"/>
                <w:color w:val="auto"/>
              </w:rPr>
              <w:t>October 1,</w:t>
            </w: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130"/>
              <w:spacing w:after="0" w:line="177" w:lineRule="exact"/>
              <w:rPr>
                <w:sz w:val="20"/>
                <w:szCs w:val="20"/>
                <w:color w:val="auto"/>
              </w:rPr>
            </w:pPr>
            <w:r>
              <w:rPr>
                <w:rFonts w:ascii="Arial" w:cs="Arial" w:eastAsia="Arial" w:hAnsi="Arial"/>
                <w:sz w:val="18"/>
                <w:szCs w:val="18"/>
                <w:b w:val="1"/>
                <w:bCs w:val="1"/>
                <w:color w:val="auto"/>
                <w:w w:val="92"/>
              </w:rPr>
              <w:t>September 25,</w:t>
            </w:r>
          </w:p>
        </w:tc>
      </w:tr>
      <w:tr>
        <w:trPr>
          <w:trHeight w:val="234"/>
        </w:trPr>
        <w:tc>
          <w:tcPr>
            <w:tcW w:w="45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and Other</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624.3</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Effective for the first quarter of 2023, the Company realigned its brand portfolios to correspond with the Blueprint 2.0 strategy. Net Revenues by Brand Portfolio below have been restated to present net revenues and operating profit under the realigned structure. See note 1 for more information on the Company's brand portfolio realignment.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consolidated net revenues by brand portfolio for the quarters and nine months ended October 1, 2023 and September 25, 2022: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9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20"/>
              <w:spacing w:after="0" w:line="169" w:lineRule="exact"/>
              <w:rPr>
                <w:sz w:val="20"/>
                <w:szCs w:val="20"/>
                <w:color w:val="auto"/>
              </w:rPr>
            </w:pPr>
            <w:r>
              <w:rPr>
                <w:rFonts w:ascii="Arial" w:cs="Arial" w:eastAsia="Arial" w:hAnsi="Arial"/>
                <w:sz w:val="18"/>
                <w:szCs w:val="18"/>
                <w:b w:val="1"/>
                <w:bCs w:val="1"/>
                <w:color w:val="auto"/>
              </w:rPr>
              <w:t>October 1,</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2"/>
              </w:rPr>
              <w:t>September 25,</w:t>
            </w:r>
          </w:p>
        </w:tc>
        <w:tc>
          <w:tcPr>
            <w:tcW w:w="3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120"/>
              <w:spacing w:after="0" w:line="169" w:lineRule="exact"/>
              <w:rPr>
                <w:sz w:val="20"/>
                <w:szCs w:val="20"/>
                <w:color w:val="auto"/>
              </w:rPr>
            </w:pPr>
            <w:r>
              <w:rPr>
                <w:rFonts w:ascii="Arial" w:cs="Arial" w:eastAsia="Arial" w:hAnsi="Arial"/>
                <w:sz w:val="18"/>
                <w:szCs w:val="18"/>
                <w:b w:val="1"/>
                <w:bCs w:val="1"/>
                <w:color w:val="auto"/>
              </w:rPr>
              <w:t>October 1,</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September 25,</w:t>
            </w:r>
          </w:p>
        </w:tc>
      </w:tr>
      <w:tr>
        <w:trPr>
          <w:trHeight w:val="203"/>
        </w:trPr>
        <w:tc>
          <w:tcPr>
            <w:tcW w:w="20" w:type="dxa"/>
            <w:vAlign w:val="bottom"/>
          </w:tcPr>
          <w:p>
            <w:pPr>
              <w:spacing w:after="0"/>
              <w:rPr>
                <w:sz w:val="17"/>
                <w:szCs w:val="17"/>
                <w:color w:val="auto"/>
              </w:rPr>
            </w:pPr>
          </w:p>
        </w:tc>
        <w:tc>
          <w:tcPr>
            <w:tcW w:w="45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240" w:type="dxa"/>
            <w:vAlign w:val="bottom"/>
          </w:tcPr>
          <w:p>
            <w:pPr>
              <w:spacing w:after="0"/>
              <w:rPr>
                <w:sz w:val="17"/>
                <w:szCs w:val="17"/>
                <w:color w:val="auto"/>
              </w:rPr>
            </w:pPr>
          </w:p>
        </w:tc>
        <w:tc>
          <w:tcPr>
            <w:tcW w:w="128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Brands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2,416.2</w:t>
            </w:r>
          </w:p>
        </w:tc>
      </w:tr>
      <w:tr>
        <w:trPr>
          <w:trHeight w:val="229"/>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Partner Brands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775.8</w:t>
            </w: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Portfolio Brands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r>
      <w:tr>
        <w:trPr>
          <w:trHeight w:val="230"/>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Non-Hasbro Branded Film &amp; TV</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1,675.9</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revenues from Hasbro's Total Gaming category, including all gaming revenue, most notably DUNGEONS &amp; DRAGONS, MAGIC: THE GATHERING and Hasbro Gaming, totaled $628.0 million and $508.6 million for the quarters ended October 1, 2023 and September 25, 2022, respectively, of which MAGIC: THE GATHERING contributed $287.4 million and $239.3 million, respectively. Net revenues from Hasbro's Total Gaming category totaled $1,505.7 million and $1,415.7 million for the nine months ended October 1, 2023 and September 25, 2022, respectively, of which MAGIC: THE GATHERING contributed $827.5 million and $802.0 million, respectively.</w:t>
      </w:r>
    </w:p>
    <w:p>
      <w:pPr>
        <w:spacing w:after="0" w:line="143"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Actions</w:t>
      </w:r>
    </w:p>
    <w:p>
      <w:pPr>
        <w:spacing w:after="0" w:line="18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During 2018 and 2020, the Company took certain restructuring actions including headcount reduction aimed at right-sizing the Company’s cost-structure and integration actions related to the acquisition of eOne. As of October 1, 2023, the Company had a remaining balance of $6.7 million in severance and other employee expenses related to these programs included within other accrued liabilities in the Consolidated Balance Sheets, after making payments of $2.3 million in fiscal 2023. Substantially all of the remaining cash payments related to these programs are expected to be made by the end of 2024.</w:t>
      </w:r>
    </w:p>
    <w:p>
      <w:pPr>
        <w:spacing w:after="0" w:line="4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During 2022, in support of Blueprint 2.0, Hasbro announced an Operational Excellence program ("the Program"), an ongoing enterprise-wide initiative intended to improve our business through specialized organizational programs that include targeted cost-savings, supply chain transformation and certain other restructuring actions designed to drive growth and enhance shareholder value. In January 2023, in connection the Program we announced the elimination of approximately 1,000 positions from our global workforce, or approximately 15% of global full-time employees. Charges related to the Program were recorded in Selling, Distribution and Administration within Corporate and Other. These actions are expected to be substantially complete by the end of 2024. Going forward, the Company may implement further cost-saving initiatives under the Program that could result in additional restructuring charges including severance and other employee charges.</w:t>
      </w:r>
    </w:p>
    <w:p>
      <w:pPr>
        <w:spacing w:after="0" w:line="56"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As of October 1, 2023, the liability balance included within other accrued liabilities in the Consolidated Balance Sheets for the restructuring actions associated with the Program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Operational Excellence</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Severance</w:t>
            </w:r>
          </w:p>
        </w:tc>
        <w:tc>
          <w:tcPr>
            <w:tcW w:w="30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25, 2022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30"/>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2023 charges</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payments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Balance at October 1, 2023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the restructuring charges incurred to date under the Program, along with the estimated charges expected to be incurred on approved initiatives under the plan as of October 1,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Operational Excellence</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Severance</w:t>
            </w:r>
          </w:p>
        </w:tc>
        <w:tc>
          <w:tcPr>
            <w:tcW w:w="30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incurred to date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30"/>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Estimated charges to be incurred on approved initiatives</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expected charges on approved initiatives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953"/>
        </w:trPr>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Assets Held for Sale</w:t>
      </w:r>
    </w:p>
    <w:p>
      <w:pPr>
        <w:spacing w:after="0" w:line="20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connection with Blueprint 2.0, and after evaluating its portfolio of businesses, the Company determined that its non-core eOne Film and TV business, which is included within the Entertainment segment, is no longer aligned with its current long-term strategy and during the third quarter of 2023, the Company entered into a definitive agreement to sell its non-core eOne Film and TV business to Lions Gate Entertainment. The pending transaction is subject to the satisfaction of customary closing conditions and is expected to close before the end of fiscal 2023.</w:t>
      </w:r>
    </w:p>
    <w:p>
      <w:pPr>
        <w:spacing w:after="0" w:line="6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determined that the carrying value of the non-core eOne Film and TV business was greater than its fair value and, accordingly, recorded a pre-tax non-cash loss on assets held for sale of $473.0 million for the quarter and nine months ended October 1, 2023, in the Company’s consolidated statements of operations, within the Entertainment segment.</w:t>
      </w:r>
    </w:p>
    <w:p>
      <w:pPr>
        <w:spacing w:after="0" w:line="76"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determined that the non-core eOne Film and TV business met the criteria to be classified as held for sale at October 1, 2023, but did not meet the criteria to be classified as discontinued operations. As a result, the related assets and liabilities were included in the separate held-for-sale line items of the asset and liability sections of the consolidated balance sheets.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The following table summarizes the assets and liabilities held for sale at October 1, 2023:</w:t>
            </w: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1"/>
        </w:trPr>
        <w:tc>
          <w:tcPr>
            <w:tcW w:w="40" w:type="dxa"/>
            <w:vAlign w:val="bottom"/>
          </w:tcPr>
          <w:p>
            <w:pPr>
              <w:spacing w:after="0"/>
              <w:rPr>
                <w:sz w:val="24"/>
                <w:szCs w:val="24"/>
                <w:color w:val="auto"/>
              </w:rPr>
            </w:pPr>
          </w:p>
        </w:tc>
        <w:tc>
          <w:tcPr>
            <w:tcW w:w="90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October 1, 2023</w:t>
            </w:r>
          </w:p>
        </w:tc>
      </w:tr>
      <w:tr>
        <w:trPr>
          <w:trHeight w:val="216"/>
        </w:trPr>
        <w:tc>
          <w:tcPr>
            <w:tcW w:w="40" w:type="dxa"/>
            <w:vAlign w:val="bottom"/>
          </w:tcPr>
          <w:p>
            <w:pPr>
              <w:spacing w:after="0"/>
              <w:rPr>
                <w:sz w:val="18"/>
                <w:szCs w:val="18"/>
                <w:color w:val="auto"/>
              </w:rPr>
            </w:pPr>
          </w:p>
        </w:tc>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906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Cash and cash equivalents including restricted cash of $4.1 million </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29"/>
        </w:trPr>
        <w:tc>
          <w:tcPr>
            <w:tcW w:w="40" w:type="dxa"/>
            <w:vAlign w:val="bottom"/>
          </w:tcPr>
          <w:p>
            <w:pPr>
              <w:spacing w:after="0"/>
              <w:rPr>
                <w:sz w:val="19"/>
                <w:szCs w:val="19"/>
                <w:color w:val="auto"/>
              </w:rPr>
            </w:pPr>
          </w:p>
        </w:tc>
        <w:tc>
          <w:tcPr>
            <w:tcW w:w="9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less allowance for doubtful accounts of $1.4 million</w:t>
            </w: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30"/>
        </w:trPr>
        <w:tc>
          <w:tcPr>
            <w:tcW w:w="4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40" w:type="dxa"/>
            <w:vAlign w:val="bottom"/>
          </w:tcPr>
          <w:p>
            <w:pPr>
              <w:spacing w:after="0"/>
              <w:rPr>
                <w:sz w:val="19"/>
                <w:szCs w:val="19"/>
                <w:color w:val="auto"/>
              </w:rPr>
            </w:pPr>
          </w:p>
        </w:tc>
        <w:tc>
          <w:tcPr>
            <w:tcW w:w="9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r>
      <w:tr>
        <w:trPr>
          <w:trHeight w:val="230"/>
        </w:trPr>
        <w:tc>
          <w:tcPr>
            <w:tcW w:w="40" w:type="dxa"/>
            <w:vAlign w:val="bottom"/>
          </w:tcPr>
          <w:p>
            <w:pPr>
              <w:spacing w:after="0"/>
              <w:rPr>
                <w:sz w:val="19"/>
                <w:szCs w:val="19"/>
                <w:color w:val="auto"/>
              </w:rPr>
            </w:pPr>
          </w:p>
        </w:tc>
        <w:tc>
          <w:tcPr>
            <w:tcW w:w="9060" w:type="dxa"/>
            <w:vAlign w:val="bottom"/>
          </w:tcPr>
          <w:p>
            <w:pPr>
              <w:ind w:left="20"/>
              <w:spacing w:after="0"/>
              <w:rPr>
                <w:sz w:val="20"/>
                <w:szCs w:val="20"/>
                <w:color w:val="auto"/>
              </w:rPr>
            </w:pPr>
            <w:r>
              <w:rPr>
                <w:rFonts w:ascii="Arial" w:cs="Arial" w:eastAsia="Arial" w:hAnsi="Arial"/>
                <w:sz w:val="18"/>
                <w:szCs w:val="18"/>
                <w:color w:val="auto"/>
              </w:rPr>
              <w:t>Property, plant and equipment, less accumulated depreciation of $21.3 million</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29"/>
        </w:trPr>
        <w:tc>
          <w:tcPr>
            <w:tcW w:w="40" w:type="dxa"/>
            <w:vAlign w:val="bottom"/>
          </w:tcPr>
          <w:p>
            <w:pPr>
              <w:spacing w:after="0"/>
              <w:rPr>
                <w:sz w:val="19"/>
                <w:szCs w:val="19"/>
                <w:color w:val="auto"/>
              </w:rPr>
            </w:pPr>
          </w:p>
        </w:tc>
        <w:tc>
          <w:tcPr>
            <w:tcW w:w="9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w:t>
            </w:r>
          </w:p>
        </w:tc>
      </w:tr>
      <w:tr>
        <w:trPr>
          <w:trHeight w:val="229"/>
        </w:trPr>
        <w:tc>
          <w:tcPr>
            <w:tcW w:w="40" w:type="dxa"/>
            <w:vAlign w:val="bottom"/>
          </w:tcPr>
          <w:p>
            <w:pPr>
              <w:spacing w:after="0"/>
              <w:rPr>
                <w:sz w:val="19"/>
                <w:szCs w:val="19"/>
                <w:color w:val="auto"/>
              </w:rPr>
            </w:pPr>
          </w:p>
        </w:tc>
        <w:tc>
          <w:tcPr>
            <w:tcW w:w="9060" w:type="dxa"/>
            <w:vAlign w:val="bottom"/>
            <w:tcBorders>
              <w:bottom w:val="single" w:sz="8" w:color="CCEEFF"/>
            </w:tcBorders>
          </w:tcPr>
          <w:p>
            <w:pPr>
              <w:ind w:left="120"/>
              <w:spacing w:after="0" w:line="230" w:lineRule="exact"/>
              <w:rPr>
                <w:sz w:val="20"/>
                <w:szCs w:val="20"/>
                <w:color w:val="auto"/>
              </w:rPr>
            </w:pPr>
            <w:r>
              <w:rPr>
                <w:rFonts w:ascii="Arial" w:cs="Arial" w:eastAsia="Arial" w:hAnsi="Arial"/>
                <w:sz w:val="18"/>
                <w:szCs w:val="18"/>
                <w:color w:val="auto"/>
              </w:rPr>
              <w:t xml:space="preserve">Write-down loss allowance </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w:t>
            </w:r>
          </w:p>
        </w:tc>
      </w:tr>
      <w:tr>
        <w:trPr>
          <w:trHeight w:val="248"/>
        </w:trPr>
        <w:tc>
          <w:tcPr>
            <w:tcW w:w="40" w:type="dxa"/>
            <w:vAlign w:val="bottom"/>
          </w:tcPr>
          <w:p>
            <w:pPr>
              <w:spacing w:after="0"/>
              <w:rPr>
                <w:sz w:val="21"/>
                <w:szCs w:val="21"/>
                <w:color w:val="auto"/>
              </w:rPr>
            </w:pPr>
          </w:p>
        </w:tc>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held for sale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1,048.7</w:t>
            </w:r>
          </w:p>
        </w:tc>
      </w:tr>
      <w:tr>
        <w:trPr>
          <w:trHeight w:val="20"/>
        </w:trPr>
        <w:tc>
          <w:tcPr>
            <w:tcW w:w="40" w:type="dxa"/>
            <w:vAlign w:val="bottom"/>
          </w:tcPr>
          <w:p>
            <w:pPr>
              <w:spacing w:after="0" w:line="20" w:lineRule="exact"/>
              <w:rPr>
                <w:sz w:val="1"/>
                <w:szCs w:val="1"/>
                <w:color w:val="auto"/>
              </w:rPr>
            </w:pPr>
          </w:p>
        </w:tc>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141.9</w:t>
            </w:r>
          </w:p>
        </w:tc>
      </w:tr>
      <w:tr>
        <w:trPr>
          <w:trHeight w:val="230"/>
        </w:trPr>
        <w:tc>
          <w:tcPr>
            <w:tcW w:w="40" w:type="dxa"/>
            <w:vAlign w:val="bottom"/>
          </w:tcPr>
          <w:p>
            <w:pPr>
              <w:spacing w:after="0"/>
              <w:rPr>
                <w:sz w:val="19"/>
                <w:szCs w:val="19"/>
                <w:color w:val="auto"/>
              </w:rPr>
            </w:pPr>
          </w:p>
        </w:tc>
        <w:tc>
          <w:tcPr>
            <w:tcW w:w="9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4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404.4</w:t>
            </w:r>
          </w:p>
        </w:tc>
      </w:tr>
      <w:tr>
        <w:trPr>
          <w:trHeight w:val="230"/>
        </w:trPr>
        <w:tc>
          <w:tcPr>
            <w:tcW w:w="40" w:type="dxa"/>
            <w:vAlign w:val="bottom"/>
          </w:tcPr>
          <w:p>
            <w:pPr>
              <w:spacing w:after="0"/>
              <w:rPr>
                <w:sz w:val="19"/>
                <w:szCs w:val="19"/>
                <w:color w:val="auto"/>
              </w:rPr>
            </w:pPr>
          </w:p>
        </w:tc>
        <w:tc>
          <w:tcPr>
            <w:tcW w:w="9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40" w:type="dxa"/>
            <w:vAlign w:val="bottom"/>
          </w:tcPr>
          <w:p>
            <w:pPr>
              <w:spacing w:after="0"/>
              <w:rPr>
                <w:sz w:val="19"/>
                <w:szCs w:val="19"/>
                <w:color w:val="auto"/>
              </w:rPr>
            </w:pPr>
          </w:p>
        </w:tc>
        <w:tc>
          <w:tcPr>
            <w:tcW w:w="9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48"/>
        </w:trPr>
        <w:tc>
          <w:tcPr>
            <w:tcW w:w="40" w:type="dxa"/>
            <w:vAlign w:val="bottom"/>
          </w:tcPr>
          <w:p>
            <w:pPr>
              <w:spacing w:after="0"/>
              <w:rPr>
                <w:sz w:val="21"/>
                <w:szCs w:val="21"/>
                <w:color w:val="auto"/>
              </w:rPr>
            </w:pPr>
          </w:p>
        </w:tc>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held for sale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w:t>
            </w:r>
          </w:p>
        </w:tc>
      </w:tr>
      <w:tr>
        <w:trPr>
          <w:trHeight w:val="20"/>
        </w:trPr>
        <w:tc>
          <w:tcPr>
            <w:tcW w:w="40" w:type="dxa"/>
            <w:vAlign w:val="bottom"/>
          </w:tcPr>
          <w:p>
            <w:pPr>
              <w:spacing w:after="0" w:line="20" w:lineRule="exact"/>
              <w:rPr>
                <w:sz w:val="1"/>
                <w:szCs w:val="1"/>
                <w:color w:val="auto"/>
              </w:rPr>
            </w:pPr>
          </w:p>
        </w:tc>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80" w:firstLine="8"/>
        <w:spacing w:after="0" w:line="226" w:lineRule="auto"/>
        <w:tabs>
          <w:tab w:leader="none" w:pos="172" w:val="left"/>
        </w:tabs>
        <w:numPr>
          <w:ilvl w:val="0"/>
          <w:numId w:val="36"/>
        </w:numPr>
        <w:rPr>
          <w:rFonts w:ascii="Arial" w:cs="Arial" w:eastAsia="Arial" w:hAnsi="Arial"/>
          <w:sz w:val="20"/>
          <w:szCs w:val="20"/>
          <w:i w:val="1"/>
          <w:iCs w:val="1"/>
          <w:color w:val="auto"/>
          <w:vertAlign w:val="superscript"/>
        </w:rPr>
      </w:pPr>
      <w:r>
        <w:rPr>
          <w:rFonts w:ascii="Arial" w:cs="Arial" w:eastAsia="Arial" w:hAnsi="Arial"/>
          <w:sz w:val="13"/>
          <w:szCs w:val="13"/>
          <w:i w:val="1"/>
          <w:iCs w:val="1"/>
          <w:color w:val="auto"/>
        </w:rPr>
        <w:t>The net cash and cash equivalents attributable to the non-core entertainment business will be paid for by Lionsgate under the agreement between the Company and Lionsgate dated August 3, 2023 as part of the purchase price adjustment for net debt.</w:t>
      </w:r>
    </w:p>
    <w:p>
      <w:pPr>
        <w:spacing w:after="0" w:line="128" w:lineRule="exact"/>
        <w:rPr>
          <w:rFonts w:ascii="Arial" w:cs="Arial" w:eastAsia="Arial" w:hAnsi="Arial"/>
          <w:sz w:val="20"/>
          <w:szCs w:val="20"/>
          <w:i w:val="1"/>
          <w:iCs w:val="1"/>
          <w:color w:val="auto"/>
          <w:vertAlign w:val="superscript"/>
        </w:rPr>
      </w:pPr>
    </w:p>
    <w:p>
      <w:pPr>
        <w:ind w:firstLine="8"/>
        <w:spacing w:after="0" w:line="219" w:lineRule="auto"/>
        <w:tabs>
          <w:tab w:leader="none" w:pos="181" w:val="left"/>
        </w:tabs>
        <w:numPr>
          <w:ilvl w:val="0"/>
          <w:numId w:val="36"/>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 addition to the write-down loss allowance of $457.3 million, the Company also recognized $15.7 million of currency translation losses on the classification of held for sale. The pre-tax non-cash loss on assets held for sale of $473.0 million includes both the write-down allowance and the currency translation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1" w:name="page32"/>
    <w:bookmarkEnd w:id="31"/>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OBJECTIVE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objective within the following discussion is to provide an analysis of the Company’s Results of Operations, Financial Condition, and Cash Flows from management's perspective, which should be read in conjunction with the Company’s consolidated financial statements and notes thereto, included in Part I, Item 1 of this Form 10-Q.</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Unless otherwise specifically indicated, all dollar or share amounts within tables herein are expressed in millions of dollars or shares, except for per share amounts.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0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Hasbro, Inc. (“Hasbro”) is a toy and game company whose mission is to entertain and connect generations of fans through the wonder of storytelling and exhilaration of play. Hasbro delivers engaging brand experiences for global audiences across gaming, consumer products and entertainment, with a portfolio of iconic brands including MAGIC: THE GATHERING, DUNGEONS &amp; DRAGONS, Hasbro Gaming, NERF, TRANSFORMERS, PLAY-DOH and PEPPA PIG, as well as premier partner brands.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Hasbro is guided by our purpose to create joy and community for all people around the world, one game, one toy, one story at a time.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more than a decade, we have been consistently recognized for our corporate citizenship, including being named one of the 100 Best Corporate Citizens by 3BL Media, one of the World’s Most Ethical Companies by Ethisphere Institute and one of the 50 Most Community-Minded Companies in the U.S. by the Civic 50.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Executive Leadership</w:t>
      </w:r>
    </w:p>
    <w:p>
      <w:pPr>
        <w:spacing w:after="0" w:line="117" w:lineRule="exact"/>
        <w:rPr>
          <w:sz w:val="20"/>
          <w:szCs w:val="20"/>
          <w:color w:val="auto"/>
        </w:rPr>
      </w:pPr>
    </w:p>
    <w:p>
      <w:pPr>
        <w:ind w:left="340" w:right="340"/>
        <w:spacing w:after="0" w:line="311" w:lineRule="auto"/>
        <w:rPr>
          <w:sz w:val="20"/>
          <w:szCs w:val="20"/>
          <w:color w:val="auto"/>
        </w:rPr>
      </w:pPr>
      <w:r>
        <w:rPr>
          <w:rFonts w:ascii="Arial" w:cs="Arial" w:eastAsia="Arial" w:hAnsi="Arial"/>
          <w:sz w:val="16"/>
          <w:szCs w:val="16"/>
          <w:color w:val="auto"/>
        </w:rPr>
        <w:t>On April 12, 2023, the Company announced the appointment of Gina Goetter as Chief Financial Officer, effective May 18, 2023, following the Company’s Annual Meeting of Shareholders. Ms. Goetter joined Hasbro from Harley Davidson, Inc., where she served as Chief Financial Officer. Prior to her time at Harley Davidson, Inc., Ms. Goetter served in senior leadership roles at Tyson Foods, Inc. and General Mills, Inc.</w:t>
      </w:r>
    </w:p>
    <w:p>
      <w:pPr>
        <w:spacing w:after="0" w:line="41"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On April 12, 2023, the Company announced the appointment of Tim Kilpin as President, Toys, Licensing &amp; Entertainment, effective April 24, 2023. Mr. Kilpin joined Hasbro from PlayMonster Group, LLC, where he served as Executive Chairman and Chief Executive Officer. Previously, Mr. Kilpin held senior leadership positions within the toy and entertainment industry at companies that include Activision Blizzard, Inc., Mattel, Inc. and The Walt Disney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Review</w:t>
      </w:r>
    </w:p>
    <w:p>
      <w:pPr>
        <w:spacing w:after="0" w:line="117"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On October 4, 2022, following a several months long strategic review of our business led by our CEO, we announced a revised strategic plan guided by our new Blueprint 2.0, a consumer-centric framework for bringing compelling and expansive brand experiences to audiences around the world. Our Blueprint 2.0 strategy focuses on what has driven our business for the past one hundred years and will serve as our foundation going forward: Play. During our review, with the assistance of a third party consultant, we identified opportunities to focus and scale our business, enhance operational excellence, including through specialized organizational programs and supply chain transformation, to drive growth and profit and enhance shareholder value. We are increasing strategic investment in our most valuable and profitable franchises across toys, games, licensing and entertainment, and exiting certain non-core aspects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Sale of Non-core Film and TV Business</w:t>
      </w:r>
    </w:p>
    <w:p>
      <w:pPr>
        <w:spacing w:after="0" w:line="117"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 xml:space="preserve">On August 3, 2023, the Company announced it reached a definitive agreement with Lions Gate Entertainment Corp. ("Lionsgate") to sell its non-core eOne Film and TV business for approximately $500.0 million, consisting of $375.0 million in cash, subject to certain purchase price adjustments including a net debt and working capital adjustment, and the assumption by Lionsgate of production financing loans. The sale will include a team of talented employees, a content library of approximately 6,500 titles, active productions for certain non-Hasbro owned intellectual properties such as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Rookie </w:t>
      </w:r>
      <w:r>
        <w:rPr>
          <w:rFonts w:ascii="Arial" w:cs="Arial" w:eastAsia="Arial" w:hAnsi="Arial"/>
          <w:sz w:val="18"/>
          <w:szCs w:val="18"/>
          <w:color w:val="auto"/>
        </w:rPr>
        <w:t>and</w:t>
      </w:r>
      <w:r>
        <w:rPr>
          <w:rFonts w:ascii="Arial" w:cs="Arial" w:eastAsia="Arial" w:hAnsi="Arial"/>
          <w:sz w:val="18"/>
          <w:szCs w:val="18"/>
          <w:i w:val="1"/>
          <w:iCs w:val="1"/>
          <w:color w:val="auto"/>
        </w:rPr>
        <w:t xml:space="preserve"> Yellow Jackets </w:t>
      </w:r>
      <w:r>
        <w:rPr>
          <w:rFonts w:ascii="Arial" w:cs="Arial" w:eastAsia="Arial" w:hAnsi="Arial"/>
          <w:sz w:val="18"/>
          <w:szCs w:val="18"/>
          <w:color w:val="auto"/>
        </w:rPr>
        <w:t>franchises, and the eOne unscripted television business, which will also include rights to produce certain Hasbro-based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shows like </w:t>
      </w:r>
      <w:r>
        <w:rPr>
          <w:rFonts w:ascii="Arial" w:cs="Arial" w:eastAsia="Arial" w:hAnsi="Arial"/>
          <w:sz w:val="18"/>
          <w:szCs w:val="18"/>
          <w:i w:val="1"/>
          <w:iCs w:val="1"/>
          <w:color w:val="auto"/>
        </w:rPr>
        <w:t>Play-Doh Squished</w:t>
      </w:r>
      <w:r>
        <w:rPr>
          <w:rFonts w:ascii="Arial" w:cs="Arial" w:eastAsia="Arial" w:hAnsi="Arial"/>
          <w:sz w:val="18"/>
          <w:szCs w:val="18"/>
          <w:color w:val="auto"/>
        </w:rPr>
        <w:t>.</w:t>
      </w:r>
    </w:p>
    <w:p>
      <w:pPr>
        <w:spacing w:after="0" w:line="84" w:lineRule="exact"/>
        <w:rPr>
          <w:sz w:val="20"/>
          <w:szCs w:val="20"/>
          <w:color w:val="auto"/>
        </w:rPr>
      </w:pPr>
    </w:p>
    <w:p>
      <w:pPr>
        <w:ind w:left="340" w:right="20"/>
        <w:spacing w:after="0" w:line="263" w:lineRule="auto"/>
        <w:rPr>
          <w:sz w:val="20"/>
          <w:szCs w:val="20"/>
          <w:color w:val="auto"/>
        </w:rPr>
      </w:pPr>
      <w:r>
        <w:rPr>
          <w:rFonts w:ascii="Arial" w:cs="Arial" w:eastAsia="Arial" w:hAnsi="Arial"/>
          <w:sz w:val="18"/>
          <w:szCs w:val="18"/>
          <w:color w:val="auto"/>
        </w:rPr>
        <w:t>The pending transaction has received required regulatory approvals and remains subject to satisfaction of customary closing conditions. The pending transaction is expected to close before the end of fiscal 2023. The Company intends to use the net proceeds from the sale to retire floating rate debt and for other general corporate purposes.</w:t>
      </w:r>
    </w:p>
    <w:p>
      <w:pPr>
        <w:spacing w:after="0" w:line="76" w:lineRule="exact"/>
        <w:rPr>
          <w:sz w:val="20"/>
          <w:szCs w:val="20"/>
          <w:color w:val="auto"/>
        </w:rPr>
      </w:pPr>
    </w:p>
    <w:p>
      <w:pPr>
        <w:ind w:left="340" w:right="100"/>
        <w:spacing w:after="0" w:line="296" w:lineRule="auto"/>
        <w:rPr>
          <w:sz w:val="20"/>
          <w:szCs w:val="20"/>
          <w:color w:val="auto"/>
        </w:rPr>
      </w:pPr>
      <w:r>
        <w:rPr>
          <w:rFonts w:ascii="Arial" w:cs="Arial" w:eastAsia="Arial" w:hAnsi="Arial"/>
          <w:sz w:val="16"/>
          <w:szCs w:val="16"/>
          <w:color w:val="auto"/>
        </w:rPr>
        <w:t xml:space="preserve">In connection with the expected sale, to reduce the carrying value of the assets and liabilities associated with the non-core eOne Film and TV business to their estimated fair values, the Company recorded a pre-tax non-cash loss on assets held for sale of $473.0 million </w:t>
      </w:r>
      <w:r>
        <w:rPr>
          <w:rFonts w:ascii="Arial" w:cs="Arial" w:eastAsia="Arial" w:hAnsi="Arial"/>
          <w:sz w:val="16"/>
          <w:szCs w:val="16"/>
          <w:color w:val="212529"/>
        </w:rPr>
        <w:t>within the Company’s</w:t>
      </w:r>
      <w:r>
        <w:rPr>
          <w:rFonts w:ascii="Arial" w:cs="Arial" w:eastAsia="Arial" w:hAnsi="Arial"/>
          <w:sz w:val="16"/>
          <w:szCs w:val="16"/>
          <w:color w:val="auto"/>
        </w:rPr>
        <w:t xml:space="preserve"> </w:t>
      </w:r>
      <w:r>
        <w:rPr>
          <w:rFonts w:ascii="Arial" w:cs="Arial" w:eastAsia="Arial" w:hAnsi="Arial"/>
          <w:sz w:val="16"/>
          <w:szCs w:val="16"/>
          <w:color w:val="212529"/>
        </w:rPr>
        <w:t xml:space="preserve">Consolidated Statement of Operations, </w:t>
      </w:r>
      <w:r>
        <w:rPr>
          <w:rFonts w:ascii="Arial" w:cs="Arial" w:eastAsia="Arial" w:hAnsi="Arial"/>
          <w:sz w:val="16"/>
          <w:szCs w:val="16"/>
          <w:color w:val="000000"/>
        </w:rPr>
        <w:t>within the Entertainment segment for the three and nine months ended October 1, 2023. In addition, for the</w:t>
      </w:r>
      <w:r>
        <w:rPr>
          <w:rFonts w:ascii="Arial" w:cs="Arial" w:eastAsia="Arial" w:hAnsi="Arial"/>
          <w:sz w:val="16"/>
          <w:szCs w:val="16"/>
          <w:color w:val="212529"/>
        </w:rPr>
        <w:t xml:space="preserve"> </w:t>
      </w:r>
      <w:r>
        <w:rPr>
          <w:rFonts w:ascii="Arial" w:cs="Arial" w:eastAsia="Arial" w:hAnsi="Arial"/>
          <w:sz w:val="16"/>
          <w:szCs w:val="16"/>
          <w:color w:val="000000"/>
        </w:rPr>
        <w:t>quarter and nine month periods ended October 1, 2023, the Company recorded $16.2 million and $16.9 million, respectively, of charges associated with the sale process. These charges were recorded in Selling Distribution and Administration expense, within the Corporate and Other segment.</w:t>
      </w:r>
    </w:p>
    <w:p>
      <w:pPr>
        <w:spacing w:after="0" w:line="53" w:lineRule="exact"/>
        <w:rPr>
          <w:sz w:val="20"/>
          <w:szCs w:val="20"/>
          <w:color w:val="auto"/>
        </w:rPr>
      </w:pPr>
    </w:p>
    <w:p>
      <w:pPr>
        <w:ind w:left="340" w:right="20"/>
        <w:spacing w:after="0" w:line="263" w:lineRule="auto"/>
        <w:rPr>
          <w:sz w:val="20"/>
          <w:szCs w:val="20"/>
          <w:color w:val="auto"/>
        </w:rPr>
      </w:pPr>
      <w:r>
        <w:rPr>
          <w:rFonts w:ascii="Arial" w:cs="Arial" w:eastAsia="Arial" w:hAnsi="Arial"/>
          <w:sz w:val="18"/>
          <w:szCs w:val="18"/>
          <w:color w:val="auto"/>
        </w:rPr>
        <w:t>Following the transaction, Hasbro will maintain Hasbro brand-based created content and the capability to develop and produce entertainment including animation, digital shorts, scripted TV and theatrical films related to core Hasbro IP. Hasbro brands and the Family Brands business, including the brands PEPPA PIG and PJ MASKS, are not included in the sale transaction.</w:t>
      </w:r>
    </w:p>
    <w:p>
      <w:pPr>
        <w:spacing w:after="0" w:line="76" w:lineRule="exact"/>
        <w:rPr>
          <w:sz w:val="20"/>
          <w:szCs w:val="20"/>
          <w:color w:val="auto"/>
        </w:rPr>
      </w:pPr>
    </w:p>
    <w:p>
      <w:pPr>
        <w:ind w:right="380" w:firstLine="324"/>
        <w:spacing w:after="0" w:line="375" w:lineRule="auto"/>
        <w:rPr>
          <w:sz w:val="20"/>
          <w:szCs w:val="20"/>
          <w:color w:val="auto"/>
        </w:rPr>
      </w:pPr>
      <w:r>
        <w:rPr>
          <w:rFonts w:ascii="Arial" w:cs="Arial" w:eastAsia="Arial" w:hAnsi="Arial"/>
          <w:sz w:val="18"/>
          <w:szCs w:val="18"/>
          <w:color w:val="auto"/>
        </w:rPr>
        <w:t xml:space="preserve">For additional information see note 15 to the consolidated financial statements included in Part I, Item 1. Financial Statements, of this Form 10-Q. </w:t>
      </w:r>
      <w:r>
        <w:rPr>
          <w:rFonts w:ascii="Arial" w:cs="Arial" w:eastAsia="Arial" w:hAnsi="Arial"/>
          <w:sz w:val="18"/>
          <w:szCs w:val="18"/>
          <w:i w:val="1"/>
          <w:iCs w:val="1"/>
          <w:u w:val="single" w:color="auto"/>
          <w:color w:val="auto"/>
        </w:rPr>
        <w:t>Impairment of Film and TV Reporting Unit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second quarter of 2023, the Company determined that a triggering event occurred following a downward revision of the Company's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financial forecast for its Film and TV business, driven by challenging industry conditions that included the strike by the Writers Guild of America. As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result, the Company performed a quantitative impairment test and determined that the Film and TV reporting unit within the Company's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Entertainment segment, was impaired. During the second quarter of 2023, the Company recorded pre-tax non-cash impairment charges of $296.2</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million as the carrying value of the Film and TV reporting unit exceeded its estimated fair value, as determined using a discounted cash flow model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which is primarily based on management’s future revenue and cost estimates. These impairment charges consisted of a $231.2 million goodwill</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impairment charge associated with goodwill assigned to the Company's Film and TV reporting unit, recorded within Impairment of Goodwill and a</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$65.0 million intangible asset impairment charge related to the Company's definite-lived intangible eOne Trademark, recorded in Selling, Distribution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Administration costs, during the second quarter 2023, within the Consolidated Statements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Hasbro Transformation Office</w:t>
      </w:r>
    </w:p>
    <w:p>
      <w:pPr>
        <w:spacing w:after="0" w:line="117" w:lineRule="exact"/>
        <w:rPr>
          <w:sz w:val="20"/>
          <w:szCs w:val="20"/>
          <w:color w:val="auto"/>
        </w:rPr>
      </w:pPr>
    </w:p>
    <w:p>
      <w:pPr>
        <w:ind w:left="340" w:right="40"/>
        <w:spacing w:after="0" w:line="275" w:lineRule="auto"/>
        <w:rPr>
          <w:sz w:val="20"/>
          <w:szCs w:val="20"/>
          <w:color w:val="auto"/>
        </w:rPr>
      </w:pPr>
      <w:r>
        <w:rPr>
          <w:rFonts w:ascii="Arial" w:cs="Arial" w:eastAsia="Arial" w:hAnsi="Arial"/>
          <w:sz w:val="17"/>
          <w:szCs w:val="17"/>
          <w:color w:val="auto"/>
        </w:rPr>
        <w:t>Under our new strategic plan, we launched the Hasbro Transformation Office ("HTO"), a team of leaders dedicated to running a disciplined, purpose-built company that is simpler, more efficient and redesigned to drive long-term sustainable growth in markets in which we compete. Our HTO aligns and delivers on our Operational Excellence program, an enterprise-wide cost-saving initiative intended to improve our business financially, operationally and culturally from our current state and designed to deliver $250.0 million to $300.0 million in run-rate cost savings by the end of 2025. During the first nine months of 2023, we realized an additional $154.0 million of cumulative gross cost savings.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Workforce Reduction</w:t>
      </w:r>
    </w:p>
    <w:p>
      <w:pPr>
        <w:spacing w:after="0" w:line="117"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In alignment with the objectives of our Operational Excellence program as described in Note 1 of our consolidated financial statements, on January 26, 2023, we announced the undertaking of certain organizational changes which will result in the elimination of approximately 1,000 positions from our global workforce, or approximately 15% of global full-time employees. For additional information see note 14 to the consolidated financial statements included in Part I, Item 1. Financial Statements, of this Form 10-Q.</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Brand Portfolio Realignment</w:t>
      </w:r>
    </w:p>
    <w:p>
      <w:pPr>
        <w:spacing w:after="0" w:line="117"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Effective for the first quarter 2023, we realigned our brand portfolios to correspond with the evolution of our Blueprint 2.0 strategy. We are focusing on fewer, bigger, more profitable brands that showcase our leadership in preschool toys, action figures and accessories, games, arts &amp; crafts, and outdoor action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t>Our new brand portfolio categories are as follows:</w:t>
      </w:r>
    </w:p>
    <w:p>
      <w:pPr>
        <w:spacing w:after="0" w:line="117" w:lineRule="exact"/>
        <w:rPr>
          <w:sz w:val="20"/>
          <w:szCs w:val="20"/>
          <w:color w:val="auto"/>
        </w:rPr>
      </w:pPr>
    </w:p>
    <w:p>
      <w:pPr>
        <w:ind w:left="660" w:right="260" w:hanging="328"/>
        <w:spacing w:after="0" w:line="277" w:lineRule="auto"/>
        <w:tabs>
          <w:tab w:leader="none" w:pos="65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Franchise Brands</w:t>
      </w:r>
      <w:r>
        <w:rPr>
          <w:rFonts w:ascii="Arial" w:cs="Arial" w:eastAsia="Arial" w:hAnsi="Arial"/>
          <w:sz w:val="18"/>
          <w:szCs w:val="18"/>
          <w:color w:val="auto"/>
        </w:rPr>
        <w:t xml:space="preserve"> - A refreshed group of our most profitable brands that includes DUNGEONS &amp; DRAGONS, Hasbro Gaming, MAGIC: THE GATHERING, NERF, PEPPA PIG, PLAY-DOH, and TRANSFORMERS.</w:t>
      </w:r>
    </w:p>
    <w:p>
      <w:pPr>
        <w:spacing w:after="0" w:line="62" w:lineRule="exact"/>
        <w:rPr>
          <w:rFonts w:ascii="Arial" w:cs="Arial" w:eastAsia="Arial" w:hAnsi="Arial"/>
          <w:sz w:val="18"/>
          <w:szCs w:val="18"/>
          <w:color w:val="auto"/>
        </w:rPr>
      </w:pPr>
    </w:p>
    <w:p>
      <w:pPr>
        <w:ind w:left="660" w:right="20" w:hanging="328"/>
        <w:spacing w:after="0" w:line="263" w:lineRule="auto"/>
        <w:tabs>
          <w:tab w:leader="none" w:pos="65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Partner Brands</w:t>
      </w:r>
      <w:r>
        <w:rPr>
          <w:rFonts w:ascii="Arial" w:cs="Arial" w:eastAsia="Arial" w:hAnsi="Arial"/>
          <w:sz w:val="18"/>
          <w:szCs w:val="18"/>
          <w:color w:val="auto"/>
        </w:rPr>
        <w:t xml:space="preserve"> - The Partner Brands category includes those brands we license from other parties such as Disney's STAR WARS and MARVEL as well as other partners, for which we develop toy and game products, with a focus on those key Partner Brands that give us the largest growth potential and where we can lead and innovate in the category.</w:t>
      </w:r>
    </w:p>
    <w:p>
      <w:pPr>
        <w:spacing w:after="0" w:line="75" w:lineRule="exact"/>
        <w:rPr>
          <w:rFonts w:ascii="Arial" w:cs="Arial" w:eastAsia="Arial" w:hAnsi="Arial"/>
          <w:sz w:val="18"/>
          <w:szCs w:val="18"/>
          <w:color w:val="auto"/>
        </w:rPr>
      </w:pPr>
    </w:p>
    <w:p>
      <w:pPr>
        <w:ind w:left="660" w:right="140" w:hanging="328"/>
        <w:spacing w:after="0" w:line="277" w:lineRule="auto"/>
        <w:tabs>
          <w:tab w:leader="none" w:pos="65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Portfolio Brands</w:t>
      </w:r>
      <w:r>
        <w:rPr>
          <w:rFonts w:ascii="Arial" w:cs="Arial" w:eastAsia="Arial" w:hAnsi="Arial"/>
          <w:sz w:val="18"/>
          <w:szCs w:val="18"/>
          <w:color w:val="auto"/>
        </w:rPr>
        <w:t xml:space="preserve"> - Our Portfolio Brands category includes those brands we own or control which we feel have upside in revenue and profitability that have not yet grown to the significance of a franchise brand.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5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Non-Hasbro Branded Film &amp; TV</w:t>
      </w:r>
      <w:r>
        <w:rPr>
          <w:rFonts w:ascii="Arial" w:cs="Arial" w:eastAsia="Arial" w:hAnsi="Arial"/>
          <w:sz w:val="18"/>
          <w:szCs w:val="18"/>
          <w:color w:val="auto"/>
        </w:rPr>
        <w:t xml:space="preserve"> - The Non-Hasbro Branded Film &amp; TV category includes non-Hasbro-branded film, TV and other entertainment related revenues. All Hasbro-branded content is included in the portfolios noted above.</w:t>
      </w:r>
    </w:p>
    <w:p>
      <w:pPr>
        <w:spacing w:after="0" w:line="6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During each of the periods presented in this Form 10-Q there were certain charges incurred which impacted operating segment results in the Company’s Consumer Products and Entertainment segments as well as Corporate and Other. These charges are discussed below in Results of Operations - Consolidated.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Third quarter 2023 highlights</w:t>
      </w:r>
      <w:r>
        <w:rPr>
          <w:rFonts w:ascii="Arial" w:cs="Arial" w:eastAsia="Arial" w:hAnsi="Arial"/>
          <w:sz w:val="18"/>
          <w:szCs w:val="18"/>
          <w:i w:val="1"/>
          <w:iCs w:val="1"/>
          <w:color w:val="auto"/>
        </w:rPr>
        <w:t>:</w:t>
      </w:r>
    </w:p>
    <w:p>
      <w:pPr>
        <w:spacing w:after="0" w:line="117" w:lineRule="exact"/>
        <w:rPr>
          <w:sz w:val="20"/>
          <w:szCs w:val="20"/>
          <w:color w:val="auto"/>
        </w:rPr>
      </w:pPr>
    </w:p>
    <w:p>
      <w:pPr>
        <w:ind w:left="500" w:right="40" w:hanging="492"/>
        <w:spacing w:after="0" w:line="308" w:lineRule="auto"/>
        <w:tabs>
          <w:tab w:leader="none" w:pos="49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Third quarter net revenues of $1.5 billion decreased 10% compared to the third quarter of 2022 and included a favorable foreign currency translation of $22.6 million. Absent the favorable impact of foreign currency exchange, third quarter net revenues decreased 12%.</w:t>
      </w:r>
    </w:p>
    <w:p>
      <w:pPr>
        <w:spacing w:after="0" w:line="38" w:lineRule="exact"/>
        <w:rPr>
          <w:rFonts w:ascii="Arial" w:cs="Arial" w:eastAsia="Arial" w:hAnsi="Arial"/>
          <w:sz w:val="17"/>
          <w:szCs w:val="17"/>
          <w:color w:val="auto"/>
        </w:rPr>
      </w:pPr>
    </w:p>
    <w:p>
      <w:pPr>
        <w:ind w:left="1300" w:right="620" w:hanging="482"/>
        <w:spacing w:after="0" w:line="342" w:lineRule="auto"/>
        <w:tabs>
          <w:tab w:leader="none" w:pos="1295" w:val="left"/>
        </w:tabs>
        <w:numPr>
          <w:ilvl w:val="1"/>
          <w:numId w:val="38"/>
        </w:numPr>
        <w:rPr>
          <w:rFonts w:ascii="Arial" w:cs="Arial" w:eastAsia="Arial" w:hAnsi="Arial"/>
          <w:sz w:val="16"/>
          <w:szCs w:val="16"/>
          <w:color w:val="auto"/>
        </w:rPr>
      </w:pPr>
      <w:r>
        <w:rPr>
          <w:rFonts w:ascii="Arial" w:cs="Arial" w:eastAsia="Arial" w:hAnsi="Arial"/>
          <w:sz w:val="16"/>
          <w:szCs w:val="16"/>
          <w:color w:val="auto"/>
        </w:rPr>
        <w:t>Consumer Products segment net revenues declined 18% to $956.9 million; Wizards of the Coast and Digital Gaming segment net revenues increased 40% to $423.6 million; and Entertainment segment net revenues declined 42% to $122.9 million.</w:t>
      </w:r>
    </w:p>
    <w:p>
      <w:pPr>
        <w:spacing w:after="0" w:line="15" w:lineRule="exact"/>
        <w:rPr>
          <w:rFonts w:ascii="Arial" w:cs="Arial" w:eastAsia="Arial" w:hAnsi="Arial"/>
          <w:sz w:val="16"/>
          <w:szCs w:val="16"/>
          <w:color w:val="auto"/>
        </w:rPr>
      </w:pPr>
    </w:p>
    <w:p>
      <w:pPr>
        <w:ind w:left="1300" w:right="260" w:hanging="482"/>
        <w:spacing w:after="0" w:line="277" w:lineRule="auto"/>
        <w:tabs>
          <w:tab w:leader="none" w:pos="1295" w:val="left"/>
        </w:tabs>
        <w:numPr>
          <w:ilvl w:val="1"/>
          <w:numId w:val="38"/>
        </w:numPr>
        <w:rPr>
          <w:rFonts w:ascii="Arial" w:cs="Arial" w:eastAsia="Arial" w:hAnsi="Arial"/>
          <w:sz w:val="18"/>
          <w:szCs w:val="18"/>
          <w:color w:val="auto"/>
        </w:rPr>
      </w:pPr>
      <w:r>
        <w:rPr>
          <w:rFonts w:ascii="Arial" w:cs="Arial" w:eastAsia="Arial" w:hAnsi="Arial"/>
          <w:sz w:val="18"/>
          <w:szCs w:val="18"/>
          <w:color w:val="auto"/>
        </w:rPr>
        <w:t>Net revenues from Franchise Brands increased 8%; Partner Brands net revenues declined 35%; Portfolio Brands net revenues declined 19%; and Non-Hasbro Branded Film and TV net revenues declined 47%.</w:t>
      </w:r>
    </w:p>
    <w:p>
      <w:pPr>
        <w:spacing w:after="0" w:line="62" w:lineRule="exact"/>
        <w:rPr>
          <w:rFonts w:ascii="Arial" w:cs="Arial" w:eastAsia="Arial" w:hAnsi="Arial"/>
          <w:sz w:val="18"/>
          <w:szCs w:val="18"/>
          <w:color w:val="auto"/>
        </w:rPr>
      </w:pPr>
    </w:p>
    <w:p>
      <w:pPr>
        <w:ind w:left="500" w:right="100" w:hanging="492"/>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losses were $169.5 million, or 11.3% of net revenue in the third quarter of 2023 compared to operating profit of $194.3 million, or 11.6% of net revenue, in the third quarter of 2022.</w:t>
      </w:r>
    </w:p>
    <w:p>
      <w:pPr>
        <w:spacing w:after="0" w:line="62" w:lineRule="exact"/>
        <w:rPr>
          <w:rFonts w:ascii="Arial" w:cs="Arial" w:eastAsia="Arial" w:hAnsi="Arial"/>
          <w:sz w:val="18"/>
          <w:szCs w:val="18"/>
          <w:color w:val="auto"/>
        </w:rPr>
      </w:pPr>
    </w:p>
    <w:p>
      <w:pPr>
        <w:ind w:left="1300" w:right="180" w:hanging="482"/>
        <w:spacing w:after="0" w:line="259" w:lineRule="auto"/>
        <w:tabs>
          <w:tab w:leader="none" w:pos="1295" w:val="left"/>
        </w:tabs>
        <w:numPr>
          <w:ilvl w:val="1"/>
          <w:numId w:val="38"/>
        </w:numPr>
        <w:rPr>
          <w:rFonts w:ascii="Arial" w:cs="Arial" w:eastAsia="Arial" w:hAnsi="Arial"/>
          <w:sz w:val="18"/>
          <w:szCs w:val="18"/>
          <w:color w:val="auto"/>
        </w:rPr>
      </w:pPr>
      <w:r>
        <w:rPr>
          <w:rFonts w:ascii="Arial" w:cs="Arial" w:eastAsia="Arial" w:hAnsi="Arial"/>
          <w:sz w:val="18"/>
          <w:szCs w:val="18"/>
          <w:color w:val="auto"/>
        </w:rPr>
        <w:t>Operating results in the Consumer Products segment decreased 30% to an operating profit of $96.1 million; Wizards of the Coast and Digital Gaming segment operating profit increased 99% to $203.4 million; Entertainment segment operating results decreased greater than 100% to an operating loss of $468.5 million; and Corporate and Other operating results improved 97% to an operating loss of $0.5 million.</w:t>
      </w:r>
    </w:p>
    <w:p>
      <w:pPr>
        <w:spacing w:after="0" w:line="78" w:lineRule="exact"/>
        <w:rPr>
          <w:rFonts w:ascii="Arial" w:cs="Arial" w:eastAsia="Arial" w:hAnsi="Arial"/>
          <w:sz w:val="18"/>
          <w:szCs w:val="18"/>
          <w:color w:val="auto"/>
        </w:rPr>
      </w:pPr>
    </w:p>
    <w:p>
      <w:pPr>
        <w:ind w:left="1300" w:right="60" w:hanging="482"/>
        <w:spacing w:after="0" w:line="286" w:lineRule="auto"/>
        <w:tabs>
          <w:tab w:leader="none" w:pos="1295" w:val="left"/>
        </w:tabs>
        <w:numPr>
          <w:ilvl w:val="1"/>
          <w:numId w:val="38"/>
        </w:numPr>
        <w:rPr>
          <w:rFonts w:ascii="Arial" w:cs="Arial" w:eastAsia="Arial" w:hAnsi="Arial"/>
          <w:sz w:val="17"/>
          <w:szCs w:val="17"/>
          <w:color w:val="auto"/>
        </w:rPr>
      </w:pPr>
      <w:r>
        <w:rPr>
          <w:rFonts w:ascii="Arial" w:cs="Arial" w:eastAsia="Arial" w:hAnsi="Arial"/>
          <w:sz w:val="17"/>
          <w:szCs w:val="17"/>
          <w:color w:val="auto"/>
        </w:rPr>
        <w:t>Operating results in the third quarter of 2023 were negatively impacted by a loss on assets held for sale of $473.0 million ($369.0 million after-tax) related to the sale of the Company's non-core eOne Film and TV business, recorded within the Entertainment segment. The assets and liabilities of these businesses were revalued and disclosed separately on the balance sheet.</w:t>
      </w:r>
    </w:p>
    <w:p>
      <w:pPr>
        <w:spacing w:after="0" w:line="57" w:lineRule="exact"/>
        <w:rPr>
          <w:rFonts w:ascii="Arial" w:cs="Arial" w:eastAsia="Arial" w:hAnsi="Arial"/>
          <w:sz w:val="17"/>
          <w:szCs w:val="17"/>
          <w:color w:val="auto"/>
        </w:rPr>
      </w:pPr>
    </w:p>
    <w:p>
      <w:pPr>
        <w:ind w:left="1300" w:hanging="482"/>
        <w:spacing w:after="0" w:line="259" w:lineRule="auto"/>
        <w:tabs>
          <w:tab w:leader="none" w:pos="1295" w:val="left"/>
        </w:tabs>
        <w:numPr>
          <w:ilvl w:val="1"/>
          <w:numId w:val="38"/>
        </w:numPr>
        <w:rPr>
          <w:rFonts w:ascii="Arial" w:cs="Arial" w:eastAsia="Arial" w:hAnsi="Arial"/>
          <w:sz w:val="18"/>
          <w:szCs w:val="18"/>
          <w:color w:val="auto"/>
        </w:rPr>
      </w:pPr>
      <w:r>
        <w:rPr>
          <w:rFonts w:ascii="Arial" w:cs="Arial" w:eastAsia="Arial" w:hAnsi="Arial"/>
          <w:sz w:val="18"/>
          <w:szCs w:val="18"/>
          <w:color w:val="auto"/>
        </w:rPr>
        <w:t>Operating profit in the third quarter of 2022 was negatively impacted by charges totaling $55.3 million ($49.4 million after-tax) related to the Company's operational excellence program comprised of charges related to the exit of certain non-core businesses and discontinued projects within the Entertainment segment combined with severance and other employee charges and consultant fees within the Corporate and Other segment.</w:t>
      </w:r>
    </w:p>
    <w:p>
      <w:pPr>
        <w:spacing w:after="0" w:line="78" w:lineRule="exact"/>
        <w:rPr>
          <w:rFonts w:ascii="Arial" w:cs="Arial" w:eastAsia="Arial" w:hAnsi="Arial"/>
          <w:sz w:val="18"/>
          <w:szCs w:val="18"/>
          <w:color w:val="auto"/>
        </w:rPr>
      </w:pPr>
    </w:p>
    <w:p>
      <w:pPr>
        <w:ind w:left="1300" w:right="400" w:hanging="482"/>
        <w:spacing w:after="0" w:line="342" w:lineRule="auto"/>
        <w:tabs>
          <w:tab w:leader="none" w:pos="1295" w:val="left"/>
        </w:tabs>
        <w:numPr>
          <w:ilvl w:val="1"/>
          <w:numId w:val="38"/>
        </w:numPr>
        <w:rPr>
          <w:rFonts w:ascii="Arial" w:cs="Arial" w:eastAsia="Arial" w:hAnsi="Arial"/>
          <w:sz w:val="16"/>
          <w:szCs w:val="16"/>
          <w:color w:val="auto"/>
        </w:rPr>
      </w:pPr>
      <w:r>
        <w:rPr>
          <w:rFonts w:ascii="Arial" w:cs="Arial" w:eastAsia="Arial" w:hAnsi="Arial"/>
          <w:sz w:val="16"/>
          <w:szCs w:val="16"/>
          <w:color w:val="auto"/>
        </w:rPr>
        <w:t>Certain other charges impacting operating segment performance for the third quarter of 2023 and 2022, in the Company’s Consumer Products, Entertainment and Corporate and Other segments, are discussed below in Results of Operations - Consolidated.</w:t>
      </w:r>
    </w:p>
    <w:p>
      <w:pPr>
        <w:spacing w:after="0" w:line="15" w:lineRule="exact"/>
        <w:rPr>
          <w:rFonts w:ascii="Arial" w:cs="Arial" w:eastAsia="Arial" w:hAnsi="Arial"/>
          <w:sz w:val="16"/>
          <w:szCs w:val="16"/>
          <w:color w:val="auto"/>
        </w:rPr>
      </w:pPr>
    </w:p>
    <w:p>
      <w:pPr>
        <w:ind w:left="500" w:right="340" w:hanging="492"/>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net loss attributable to Hasbro, Inc. was $171.1 million, or $(1.23) per share, in the third quarter of 2023 compared to net earnings of $129.2 million, or $0.93 per diluted share, in the third quarter of 2022.</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First nine months 2023 highlights</w:t>
      </w:r>
      <w:r>
        <w:rPr>
          <w:rFonts w:ascii="Arial" w:cs="Arial" w:eastAsia="Arial" w:hAnsi="Arial"/>
          <w:sz w:val="18"/>
          <w:szCs w:val="18"/>
          <w:i w:val="1"/>
          <w:iCs w:val="1"/>
          <w:color w:val="auto"/>
        </w:rPr>
        <w:t>:</w:t>
      </w:r>
    </w:p>
    <w:p>
      <w:pPr>
        <w:spacing w:after="0" w:line="117" w:lineRule="exact"/>
        <w:rPr>
          <w:sz w:val="20"/>
          <w:szCs w:val="20"/>
          <w:color w:val="auto"/>
        </w:rPr>
      </w:pPr>
    </w:p>
    <w:p>
      <w:pPr>
        <w:ind w:left="500" w:right="400" w:hanging="492"/>
        <w:spacing w:after="0" w:line="277"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revenues decreased 11% to $3,714.4 million in the first nine months of 2023 compared to $4,178.2 million in the first nine months of 2022. Foreign currency translation did not have a material impact to net revenues in the first nine months of 2023.</w:t>
      </w:r>
    </w:p>
    <w:p>
      <w:pPr>
        <w:spacing w:after="0" w:line="62" w:lineRule="exact"/>
        <w:rPr>
          <w:rFonts w:ascii="Arial" w:cs="Arial" w:eastAsia="Arial" w:hAnsi="Arial"/>
          <w:sz w:val="18"/>
          <w:szCs w:val="18"/>
          <w:color w:val="auto"/>
        </w:rPr>
      </w:pPr>
    </w:p>
    <w:p>
      <w:pPr>
        <w:ind w:left="1300" w:right="160" w:hanging="482"/>
        <w:spacing w:after="0" w:line="342" w:lineRule="auto"/>
        <w:tabs>
          <w:tab w:leader="none" w:pos="12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Net revenues in the Consumer Products segment decreased 17% to $2,132.5 million; Wizards of the Coast and Digital Gaming segment net revenues increased 11% to $1,094.4 million; and Entertainment segment net revenues decreased 22% to $487.5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ind w:left="1300" w:right="60" w:hanging="482"/>
        <w:spacing w:after="0" w:line="308" w:lineRule="auto"/>
        <w:tabs>
          <w:tab w:leader="none" w:pos="1295" w:val="left"/>
        </w:tabs>
        <w:numPr>
          <w:ilvl w:val="1"/>
          <w:numId w:val="40"/>
        </w:numPr>
        <w:rPr>
          <w:rFonts w:ascii="Arial" w:cs="Arial" w:eastAsia="Arial" w:hAnsi="Arial"/>
          <w:sz w:val="17"/>
          <w:szCs w:val="17"/>
          <w:color w:val="auto"/>
        </w:rPr>
      </w:pPr>
      <w:r>
        <w:rPr>
          <w:rFonts w:ascii="Arial" w:cs="Arial" w:eastAsia="Arial" w:hAnsi="Arial"/>
          <w:sz w:val="17"/>
          <w:szCs w:val="17"/>
          <w:color w:val="auto"/>
        </w:rPr>
        <w:t>Net revenues from Franchise Brands remained flat; Partner Brands net revenues decreased 31%; Portfolio Brands net revenues decreased 19%; and Non-Hasbro Branded Film and TV net revenues decreased 25% during the first nine months of 2023.</w:t>
      </w:r>
    </w:p>
    <w:p>
      <w:pPr>
        <w:spacing w:after="0" w:line="38" w:lineRule="exact"/>
        <w:rPr>
          <w:rFonts w:ascii="Arial" w:cs="Arial" w:eastAsia="Arial" w:hAnsi="Arial"/>
          <w:sz w:val="17"/>
          <w:szCs w:val="17"/>
          <w:color w:val="auto"/>
        </w:rPr>
      </w:pPr>
    </w:p>
    <w:p>
      <w:pPr>
        <w:ind w:left="500" w:right="240" w:hanging="492"/>
        <w:spacing w:after="0" w:line="27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losses were $340.2 million, or 9.2% of net revenues, in the first nine months of 2023 compared to operating profit of $533.4 million, or 12.8% of net revenues, in the first nine months of 2022.</w:t>
      </w:r>
    </w:p>
    <w:p>
      <w:pPr>
        <w:spacing w:after="0" w:line="62" w:lineRule="exact"/>
        <w:rPr>
          <w:rFonts w:ascii="Arial" w:cs="Arial" w:eastAsia="Arial" w:hAnsi="Arial"/>
          <w:sz w:val="18"/>
          <w:szCs w:val="18"/>
          <w:color w:val="auto"/>
        </w:rPr>
      </w:pPr>
    </w:p>
    <w:p>
      <w:pPr>
        <w:ind w:left="1300" w:right="20" w:hanging="482"/>
        <w:spacing w:after="0" w:line="259" w:lineRule="auto"/>
        <w:tabs>
          <w:tab w:leader="none" w:pos="12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Operating results in the Consumer Products segment decreased 56% to an operating loss of $61.5 million; Wizards of the Coast and Digital Gaming segment operating profit decreased 3% to $422.5 million; Entertainment segment operating results decreased greater than 100% to an operating loss of $801.4 million; and Corporate and Other operating losses decreased by 39% to an operating loss of $22.8 million.</w:t>
      </w:r>
    </w:p>
    <w:p>
      <w:pPr>
        <w:spacing w:after="0" w:line="78" w:lineRule="exact"/>
        <w:rPr>
          <w:rFonts w:ascii="Arial" w:cs="Arial" w:eastAsia="Arial" w:hAnsi="Arial"/>
          <w:sz w:val="18"/>
          <w:szCs w:val="18"/>
          <w:color w:val="auto"/>
        </w:rPr>
      </w:pPr>
    </w:p>
    <w:p>
      <w:pPr>
        <w:jc w:val="both"/>
        <w:ind w:left="1300" w:right="60" w:hanging="482"/>
        <w:spacing w:after="0" w:line="263" w:lineRule="auto"/>
        <w:tabs>
          <w:tab w:leader="none" w:pos="12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Operating results in the first nine months of 2023 were negatively impacted by a loss on assets held for sale of $473.0 ($369.0 after-tax), within the Entertainment segment, related to the sale of the Company's non-core eOne Film and TV business. The assets and liabilities of these businesses were revalued and disclosed separately on the balance sheet.</w:t>
      </w:r>
    </w:p>
    <w:p>
      <w:pPr>
        <w:spacing w:after="0" w:line="75" w:lineRule="exact"/>
        <w:rPr>
          <w:rFonts w:ascii="Arial" w:cs="Arial" w:eastAsia="Arial" w:hAnsi="Arial"/>
          <w:sz w:val="18"/>
          <w:szCs w:val="18"/>
          <w:color w:val="auto"/>
        </w:rPr>
      </w:pPr>
    </w:p>
    <w:p>
      <w:pPr>
        <w:ind w:left="1300" w:right="60" w:hanging="482"/>
        <w:spacing w:after="0" w:line="259" w:lineRule="auto"/>
        <w:tabs>
          <w:tab w:leader="none" w:pos="12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Operating profit in the first nine months of 2022 was negatively impacted by charges totaling $55.3 million ($49.4 million after-tax) related to the Company’s operational excellence program comprised of charges related to the exit of certain non-core businesses and discontinued projects within the Entertainment segment combined with severance and other employee charges and consultant fees within the Corporate and Other segment.</w:t>
      </w:r>
    </w:p>
    <w:p>
      <w:pPr>
        <w:spacing w:after="0" w:line="78" w:lineRule="exact"/>
        <w:rPr>
          <w:rFonts w:ascii="Arial" w:cs="Arial" w:eastAsia="Arial" w:hAnsi="Arial"/>
          <w:sz w:val="18"/>
          <w:szCs w:val="18"/>
          <w:color w:val="auto"/>
        </w:rPr>
      </w:pPr>
    </w:p>
    <w:p>
      <w:pPr>
        <w:jc w:val="both"/>
        <w:ind w:left="1300" w:right="240" w:hanging="482"/>
        <w:spacing w:after="0" w:line="259" w:lineRule="auto"/>
        <w:tabs>
          <w:tab w:leader="none" w:pos="12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Operating results in the first nine months of 2023 were negatively impacted by pre-tax non-cash impairment charges of $296.2 million ($279.9 after tax) associated with the impairment review of the Company's Film and TV reporting unit, consisting of $231.2 million of goodwill impairment and $65.0 million ($48.7 million after tax) of intangible asset impairment related to the Company's definite-lived intangible eOne Trademark.</w:t>
      </w:r>
    </w:p>
    <w:p>
      <w:pPr>
        <w:spacing w:after="0" w:line="78" w:lineRule="exact"/>
        <w:rPr>
          <w:rFonts w:ascii="Arial" w:cs="Arial" w:eastAsia="Arial" w:hAnsi="Arial"/>
          <w:sz w:val="18"/>
          <w:szCs w:val="18"/>
          <w:color w:val="auto"/>
        </w:rPr>
      </w:pPr>
    </w:p>
    <w:p>
      <w:pPr>
        <w:ind w:left="1300" w:right="140" w:hanging="482"/>
        <w:spacing w:after="0" w:line="308" w:lineRule="auto"/>
        <w:tabs>
          <w:tab w:leader="none" w:pos="1295" w:val="left"/>
        </w:tabs>
        <w:numPr>
          <w:ilvl w:val="1"/>
          <w:numId w:val="40"/>
        </w:numPr>
        <w:rPr>
          <w:rFonts w:ascii="Arial" w:cs="Arial" w:eastAsia="Arial" w:hAnsi="Arial"/>
          <w:sz w:val="17"/>
          <w:szCs w:val="17"/>
          <w:color w:val="auto"/>
        </w:rPr>
      </w:pPr>
      <w:r>
        <w:rPr>
          <w:rFonts w:ascii="Arial" w:cs="Arial" w:eastAsia="Arial" w:hAnsi="Arial"/>
          <w:sz w:val="17"/>
          <w:szCs w:val="17"/>
          <w:color w:val="auto"/>
        </w:rPr>
        <w:t>Certain other charges impacted operating segment performance for the first nine months of 2023 and 2022, in the Company’s Consumer Products, Entertainment and Corporate and Other segments, which are discussed further below in Segment Results.</w:t>
      </w:r>
    </w:p>
    <w:p>
      <w:pPr>
        <w:spacing w:after="0" w:line="38" w:lineRule="exact"/>
        <w:rPr>
          <w:rFonts w:ascii="Arial" w:cs="Arial" w:eastAsia="Arial" w:hAnsi="Arial"/>
          <w:sz w:val="17"/>
          <w:szCs w:val="17"/>
          <w:color w:val="auto"/>
        </w:rPr>
      </w:pPr>
    </w:p>
    <w:p>
      <w:pPr>
        <w:ind w:left="500" w:right="740" w:hanging="492"/>
        <w:spacing w:after="0" w:line="27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net loss attributable to Hasbro, Inc. was $428.2 million, or $(3.09) per share, in the first nine months of 2023 compared to net earnings attributable to Hasbro, Inc. of $332.4 million, or $2.39 per diluted share, in the first nine months of 2022.</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FINANCIAL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results of operations is illustrated below for the quarters and nine-month periods ended October 1, 2023 and September 25, 2022.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5"/>
          </w:tcPr>
          <w:p>
            <w:pPr>
              <w:ind w:left="84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29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8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25,</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25,</w:t>
            </w:r>
          </w:p>
        </w:tc>
      </w:tr>
      <w:tr>
        <w:trPr>
          <w:trHeight w:val="243"/>
        </w:trPr>
        <w:tc>
          <w:tcPr>
            <w:tcW w:w="4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October 1, 2023</w:t>
            </w:r>
          </w:p>
        </w:tc>
        <w:tc>
          <w:tcPr>
            <w:tcW w:w="160" w:type="dxa"/>
            <w:vAlign w:val="bottom"/>
          </w:tcPr>
          <w:p>
            <w:pPr>
              <w:spacing w:after="0"/>
              <w:rPr>
                <w:sz w:val="21"/>
                <w:szCs w:val="21"/>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October 1, 2023</w:t>
            </w:r>
          </w:p>
        </w:tc>
        <w:tc>
          <w:tcPr>
            <w:tcW w:w="160" w:type="dxa"/>
            <w:vAlign w:val="bottom"/>
          </w:tcPr>
          <w:p>
            <w:pPr>
              <w:spacing w:after="0"/>
              <w:rPr>
                <w:sz w:val="21"/>
                <w:szCs w:val="21"/>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1,675.9</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4,178.2</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Operating (loss) profit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194.3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533.4</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earnings before income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Net (loss) earnings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331.6</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attributable to noncontrolling interests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Net (loss) earnings attributable to Hasbro, Inc.</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332.4</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earnings per share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965"/>
        </w:trPr>
        <w:tc>
          <w:tcPr>
            <w:tcW w:w="4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RESULTS OF OPERATIONS – CONSOLIDATED</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(loss) earnings and diluted (loss) earnings per share attributable to Hasbro, Inc. for the quarters and nine-month periods ended October 1, 2023 and September 25, 2022 include certain charges as described below.</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2023</w:t>
      </w:r>
    </w:p>
    <w:p>
      <w:pPr>
        <w:spacing w:after="0" w:line="121" w:lineRule="exact"/>
        <w:rPr>
          <w:sz w:val="20"/>
          <w:szCs w:val="20"/>
          <w:color w:val="auto"/>
        </w:rPr>
      </w:pPr>
    </w:p>
    <w:p>
      <w:pPr>
        <w:ind w:left="660" w:right="20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charges of $381.5 million, or $2.74 per diluted share, and $382.0 million, or $2.75 per diluted share, for the quarter and nine-month periods ended October 1, 2023, respectively, of Blueprint 2.0 implementation charges, consisting of:</w:t>
      </w:r>
    </w:p>
    <w:p>
      <w:pPr>
        <w:spacing w:after="0" w:line="62" w:lineRule="exact"/>
        <w:rPr>
          <w:rFonts w:ascii="Arial" w:cs="Arial" w:eastAsia="Arial" w:hAnsi="Arial"/>
          <w:sz w:val="18"/>
          <w:szCs w:val="18"/>
          <w:color w:val="auto"/>
        </w:rPr>
      </w:pPr>
    </w:p>
    <w:p>
      <w:pPr>
        <w:ind w:left="1300" w:right="240" w:hanging="320"/>
        <w:spacing w:after="0" w:line="277" w:lineRule="auto"/>
        <w:tabs>
          <w:tab w:leader="none" w:pos="1290" w:val="left"/>
        </w:tabs>
        <w:numPr>
          <w:ilvl w:val="1"/>
          <w:numId w:val="41"/>
        </w:numPr>
        <w:rPr>
          <w:rFonts w:ascii="Arial" w:cs="Arial" w:eastAsia="Arial" w:hAnsi="Arial"/>
          <w:sz w:val="16"/>
          <w:szCs w:val="16"/>
          <w:color w:val="auto"/>
        </w:rPr>
      </w:pPr>
      <w:r>
        <w:rPr>
          <w:rFonts w:ascii="Arial" w:cs="Arial" w:eastAsia="Arial" w:hAnsi="Arial"/>
          <w:sz w:val="18"/>
          <w:szCs w:val="18"/>
          <w:color w:val="auto"/>
        </w:rPr>
        <w:t>a Loss on assets held for sale of $369.0 million for the quarter and nine-month periods ended October 1, 2023 related to the sale of the non-core eOne Film and TV business within the Entertainment segment; and</w:t>
      </w:r>
    </w:p>
    <w:p>
      <w:pPr>
        <w:spacing w:after="0" w:line="62" w:lineRule="exact"/>
        <w:rPr>
          <w:rFonts w:ascii="Arial" w:cs="Arial" w:eastAsia="Arial" w:hAnsi="Arial"/>
          <w:sz w:val="16"/>
          <w:szCs w:val="16"/>
          <w:color w:val="auto"/>
        </w:rPr>
      </w:pPr>
    </w:p>
    <w:p>
      <w:pPr>
        <w:jc w:val="both"/>
        <w:ind w:left="1300" w:right="100" w:hanging="320"/>
        <w:spacing w:after="0" w:line="263" w:lineRule="auto"/>
        <w:tabs>
          <w:tab w:leader="none" w:pos="12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charges of $12.5 million and $13.0 million, for the quarter and nine-month periods ended October 1, 2023, respectively, associated with the eOne Film &amp; TV business sale process recorded in Selling, Distribution and Administration expense within the Corporate and Other segment.</w:t>
      </w:r>
    </w:p>
    <w:p>
      <w:pPr>
        <w:spacing w:after="0" w:line="75"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charges of $279.9 million or $2.01 per diluted share for the nine-month period ended October 1, 2023, recorded during the second quarter as a result of the Company's impairment review of its Film and TV reporting unit, consisting of a non-cash goodwill impairment charge of $231.2 million recorded in Impairment of Goodwill and intangible asset impairment charges of $48.7 million related to the Company's definite-lived intangible eOne Trademark, recorded within Selling, Distribution and Administration. These charges were recorded within the Entertainment segment.</w:t>
      </w:r>
    </w:p>
    <w:p>
      <w:pPr>
        <w:spacing w:after="0" w:line="79" w:lineRule="exact"/>
        <w:rPr>
          <w:rFonts w:ascii="Arial" w:cs="Arial" w:eastAsia="Arial" w:hAnsi="Arial"/>
          <w:sz w:val="18"/>
          <w:szCs w:val="18"/>
          <w:color w:val="auto"/>
        </w:rPr>
      </w:pPr>
    </w:p>
    <w:p>
      <w:pPr>
        <w:ind w:left="660" w:right="100" w:hanging="328"/>
        <w:spacing w:after="0" w:line="340" w:lineRule="auto"/>
        <w:tabs>
          <w:tab w:leader="none" w:pos="655" w:val="left"/>
        </w:tabs>
        <w:numPr>
          <w:ilvl w:val="0"/>
          <w:numId w:val="41"/>
        </w:numPr>
        <w:rPr>
          <w:rFonts w:ascii="Arial" w:cs="Arial" w:eastAsia="Arial" w:hAnsi="Arial"/>
          <w:sz w:val="15"/>
          <w:szCs w:val="15"/>
          <w:color w:val="auto"/>
        </w:rPr>
      </w:pPr>
      <w:r>
        <w:rPr>
          <w:rFonts w:ascii="Arial" w:cs="Arial" w:eastAsia="Arial" w:hAnsi="Arial"/>
          <w:sz w:val="15"/>
          <w:szCs w:val="15"/>
          <w:color w:val="auto"/>
        </w:rPr>
        <w:t>Net charges of $11.0 million, or $0.08 per diluted share, and $38.6 million, or $0.28 per diluted share, for the quarter and nine-month periods ended October 1, 2023, respectively, of intangible amortization costs related to certain intangible assets acquired in the eOne Acquisition. These expenses are allocated between the Consumer Products and Entertainment segments, to match the revenue generated from such intangible assets.</w:t>
      </w:r>
    </w:p>
    <w:p>
      <w:pPr>
        <w:spacing w:after="0" w:line="22" w:lineRule="exact"/>
        <w:rPr>
          <w:rFonts w:ascii="Arial" w:cs="Arial" w:eastAsia="Arial" w:hAnsi="Arial"/>
          <w:sz w:val="15"/>
          <w:szCs w:val="15"/>
          <w:color w:val="auto"/>
        </w:rPr>
      </w:pPr>
    </w:p>
    <w:p>
      <w:pPr>
        <w:ind w:left="66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charges of $6.4 million, or $0.05 per diluted share, and $22.5 million, or $0.16 per diluted share, for the quarter and nine-month periods ended October 1, 2023, respectively, of Operational Excellence program related consultant and transformation office expenses included within Selling, Distribution and Administration within Corporate and Other.</w:t>
      </w:r>
    </w:p>
    <w:p>
      <w:pPr>
        <w:spacing w:after="0" w:line="75"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charges of $1.7 million, or $0.01 per diluted share for the nine-month period ended October 1, 2023, associated with retention awards granted in connection with the eOne Acquisition. These expenses were incurred during the first quarter of 2023 and are included within Selling, Distribution and Administration within the Corporate and Other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b w:val="1"/>
          <w:bCs w:val="1"/>
          <w:u w:val="single" w:color="auto"/>
          <w:color w:val="auto"/>
        </w:rPr>
        <w:t>2022</w:t>
      </w:r>
    </w:p>
    <w:p>
      <w:pPr>
        <w:spacing w:after="0" w:line="12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Net charges of $49.4 million, or $0.36 per diluted share for both the quarter and nine-month periods ended September 25, 2022 consisting of:</w:t>
      </w:r>
    </w:p>
    <w:p>
      <w:pPr>
        <w:spacing w:after="0" w:line="140" w:lineRule="exact"/>
        <w:rPr>
          <w:rFonts w:ascii="Arial" w:cs="Arial" w:eastAsia="Arial" w:hAnsi="Arial"/>
          <w:sz w:val="16"/>
          <w:szCs w:val="16"/>
          <w:color w:val="auto"/>
        </w:rPr>
      </w:pPr>
    </w:p>
    <w:p>
      <w:pPr>
        <w:ind w:left="1300" w:right="360" w:hanging="320"/>
        <w:spacing w:after="0" w:line="263" w:lineRule="auto"/>
        <w:tabs>
          <w:tab w:leader="none" w:pos="129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Loss on Assets Held for Sale of $21.1 million comprised of a non-cash goodwill impairment loss of $11.8 million and other asset impairments of $9.3 million, related to the exit of non-core businesses within the Entertainment segment. The assets and liabilities of these businesses were revalued and disclosed separately on the balance sheet;</w:t>
      </w:r>
    </w:p>
    <w:p>
      <w:pPr>
        <w:spacing w:after="0" w:line="75" w:lineRule="exact"/>
        <w:rPr>
          <w:rFonts w:ascii="Arial" w:cs="Arial" w:eastAsia="Arial" w:hAnsi="Arial"/>
          <w:sz w:val="18"/>
          <w:szCs w:val="18"/>
          <w:color w:val="auto"/>
        </w:rPr>
      </w:pPr>
    </w:p>
    <w:p>
      <w:pPr>
        <w:ind w:left="1300" w:right="180" w:hanging="320"/>
        <w:spacing w:after="0" w:line="277" w:lineRule="auto"/>
        <w:tabs>
          <w:tab w:leader="none" w:pos="129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asset impairment charges of $3.7 million related to projects discontinued as part of the Company's strategic review included in Program Cost Amortization within the Entertainment segment;</w:t>
      </w:r>
    </w:p>
    <w:p>
      <w:pPr>
        <w:spacing w:after="0" w:line="62" w:lineRule="exact"/>
        <w:rPr>
          <w:rFonts w:ascii="Arial" w:cs="Arial" w:eastAsia="Arial" w:hAnsi="Arial"/>
          <w:sz w:val="18"/>
          <w:szCs w:val="18"/>
          <w:color w:val="auto"/>
        </w:rPr>
      </w:pPr>
    </w:p>
    <w:p>
      <w:pPr>
        <w:ind w:left="1300" w:right="460" w:hanging="320"/>
        <w:spacing w:after="0" w:line="277" w:lineRule="auto"/>
        <w:tabs>
          <w:tab w:leader="none" w:pos="1296" w:val="left"/>
        </w:tabs>
        <w:numPr>
          <w:ilvl w:val="1"/>
          <w:numId w:val="42"/>
        </w:numPr>
        <w:rPr>
          <w:rFonts w:ascii="Arial" w:cs="Arial" w:eastAsia="Arial" w:hAnsi="Arial"/>
          <w:sz w:val="18"/>
          <w:szCs w:val="18"/>
          <w:color w:val="auto"/>
        </w:rPr>
      </w:pPr>
      <w:r>
        <w:rPr>
          <w:rFonts w:ascii="Arial" w:cs="Arial" w:eastAsia="Arial" w:hAnsi="Arial"/>
          <w:sz w:val="18"/>
          <w:szCs w:val="18"/>
          <w:color w:val="auto"/>
        </w:rPr>
        <w:t>severance and other employee charges of $19.1 million associated with cost-savings initiatives across the Company included within Selling, Distribution and Administration within the Corporate and Other segment; and,</w:t>
      </w:r>
    </w:p>
    <w:p>
      <w:pPr>
        <w:spacing w:after="0" w:line="62" w:lineRule="exact"/>
        <w:rPr>
          <w:rFonts w:ascii="Arial" w:cs="Arial" w:eastAsia="Arial" w:hAnsi="Arial"/>
          <w:sz w:val="18"/>
          <w:szCs w:val="18"/>
          <w:color w:val="auto"/>
        </w:rPr>
      </w:pPr>
    </w:p>
    <w:p>
      <w:pPr>
        <w:ind w:left="1300" w:right="140" w:hanging="320"/>
        <w:spacing w:after="0" w:line="277" w:lineRule="auto"/>
        <w:tabs>
          <w:tab w:leader="none" w:pos="1296" w:val="left"/>
        </w:tabs>
        <w:numPr>
          <w:ilvl w:val="1"/>
          <w:numId w:val="42"/>
        </w:numPr>
        <w:rPr>
          <w:rFonts w:ascii="Arial" w:cs="Arial" w:eastAsia="Arial" w:hAnsi="Arial"/>
          <w:sz w:val="18"/>
          <w:szCs w:val="18"/>
          <w:color w:val="auto"/>
        </w:rPr>
      </w:pPr>
      <w:r>
        <w:rPr>
          <w:rFonts w:ascii="Arial" w:cs="Arial" w:eastAsia="Arial" w:hAnsi="Arial"/>
          <w:sz w:val="18"/>
          <w:szCs w:val="18"/>
          <w:color w:val="auto"/>
        </w:rPr>
        <w:t>program related consultant fees of $5.5 million included within Selling, Distribution and Administration within the Corporate and Other segment.</w:t>
      </w:r>
    </w:p>
    <w:p>
      <w:pPr>
        <w:spacing w:after="0" w:line="62" w:lineRule="exact"/>
        <w:rPr>
          <w:rFonts w:ascii="Arial" w:cs="Arial" w:eastAsia="Arial" w:hAnsi="Arial"/>
          <w:sz w:val="18"/>
          <w:szCs w:val="18"/>
          <w:color w:val="auto"/>
        </w:rPr>
      </w:pPr>
    </w:p>
    <w:p>
      <w:pPr>
        <w:ind w:left="660" w:right="180" w:hanging="328"/>
        <w:spacing w:after="0" w:line="259"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charges of $14.3 million, or $0.10 per diluted share and $45.5 million, or $0.33 per diluted share, of intangible amortization costs for the quarter and nine-month periods ended September 25, 2022, respectively, related to certain intangible assets acquired in the eOne acquisition. These expenses are allocated between the Consumer Products and Entertainment segments, to match the revenue generated from such intangible assets.</w:t>
      </w:r>
    </w:p>
    <w:p>
      <w:pPr>
        <w:spacing w:after="0" w:line="78" w:lineRule="exact"/>
        <w:rPr>
          <w:rFonts w:ascii="Arial" w:cs="Arial" w:eastAsia="Arial" w:hAnsi="Arial"/>
          <w:sz w:val="18"/>
          <w:szCs w:val="18"/>
          <w:color w:val="auto"/>
        </w:rPr>
      </w:pPr>
    </w:p>
    <w:p>
      <w:pPr>
        <w:ind w:left="660" w:right="240" w:hanging="328"/>
        <w:spacing w:after="0" w:line="286"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Net charges of $3.3 million, $0.02 per diluted share and $8.9 million, or $0.06 per diluted share, for the quarter and nine-month periods ended September 25, 2022, respectively, of expense associated with retention awards granted in connection with the eOne acquisition. These expenses are included within Selling, Distribution and Administration within the Corporate and Other segment.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quarters ended October 1, 2023 and September 25, 2022 were each 13-week periods.</w:t>
      </w:r>
    </w:p>
    <w:p>
      <w:pPr>
        <w:spacing w:after="0" w:line="11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Consolidated net revenues for the third quarter of 2023 declined 10% to $1,503.4 million from $1,675.9 million for the third quarter of 2022 and included a favorable $22.6 million impact from foreign currency translation as a result of stronger currencies, primarily in Latin America and to a lesser extent, the Company's European markets.</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operating loss for the third quarter of 2023 was $169.5 million, or 11.3% of net revenues, compared to operating profit of $194.3 million, or 11.6% of net revenues, for the third quarter of 2022. In addition to the charges described above, operating results in the third quarter of 2023 reflect the exit of certain non-core businesses during the fourth quarter of 2022 combined with lower net revenue volumes and higher closeout sales to sell through inventory within the Consumer Products segment. In addition, lower net revenues within the Entertainment segment, reflecting the impact of writers' and actors' strikes, resulted in reduced content deliveries during the third quarter of 2023, partially offset by higher digital gaming net revenues and to a lesser extent, increased tabletop gaming net revenues within the Wizards of the Coast and Digital Gaming segment. These impacts to operating results were partially offset by lower royalty expenses within the Consumer Products segment, driven by the decline of Partner Brand sales combined with the expiration of certain Partner Brand license agreements in December 2022, lower overall operating expenses as a result of the Company's ongoing cost savings initiatives, including improved supply chain management, as well as lower advertising expense and lower program amortization costs within the Entertainment segment, due to the impact of the writers' and actors' strikes.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by product category for the quarters ended October 1, 2023 and September 25,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69"/>
        </w:trPr>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25,</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4"/>
                <w:szCs w:val="14"/>
                <w:color w:val="auto"/>
              </w:rPr>
            </w:pPr>
          </w:p>
        </w:tc>
      </w:tr>
      <w:tr>
        <w:trPr>
          <w:trHeight w:val="243"/>
        </w:trPr>
        <w:tc>
          <w:tcPr>
            <w:tcW w:w="6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1, 2023</w:t>
            </w:r>
          </w:p>
        </w:tc>
        <w:tc>
          <w:tcPr>
            <w:tcW w:w="160" w:type="dxa"/>
            <w:vAlign w:val="bottom"/>
          </w:tcPr>
          <w:p>
            <w:pPr>
              <w:spacing w:after="0"/>
              <w:rPr>
                <w:sz w:val="21"/>
                <w:szCs w:val="21"/>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720" w:type="dxa"/>
            <w:vAlign w:val="bottom"/>
            <w:gridSpan w:val="2"/>
          </w:tcPr>
          <w:p>
            <w:pPr>
              <w:ind w:left="54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60" w:type="dxa"/>
            <w:vAlign w:val="bottom"/>
          </w:tcPr>
          <w:p>
            <w:pPr>
              <w:spacing w:after="0"/>
              <w:rPr>
                <w:sz w:val="19"/>
                <w:szCs w:val="19"/>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-35 %</w:t>
            </w:r>
          </w:p>
        </w:tc>
        <w:tc>
          <w:tcPr>
            <w:tcW w:w="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Brands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60" w:type="dxa"/>
            <w:vAlign w:val="bottom"/>
          </w:tcPr>
          <w:p>
            <w:pPr>
              <w:spacing w:after="0"/>
              <w:rPr>
                <w:sz w:val="19"/>
                <w:szCs w:val="19"/>
                <w:color w:val="auto"/>
              </w:rPr>
            </w:pPr>
          </w:p>
        </w:tc>
      </w:tr>
      <w:tr>
        <w:trPr>
          <w:trHeight w:val="338"/>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Non-Hasbro Branded Film &amp; TV</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60" w:type="dxa"/>
            <w:vAlign w:val="bottom"/>
          </w:tcPr>
          <w:p>
            <w:pPr>
              <w:spacing w:after="0"/>
              <w:rPr>
                <w:sz w:val="24"/>
                <w:szCs w:val="24"/>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60" w:type="dxa"/>
            <w:vAlign w:val="bottom"/>
          </w:tcPr>
          <w:p>
            <w:pPr>
              <w:spacing w:after="0"/>
              <w:rPr>
                <w:sz w:val="21"/>
                <w:szCs w:val="2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3"/>
        </w:trPr>
        <w:tc>
          <w:tcPr>
            <w:tcW w:w="6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spacing w:after="0" w:line="291" w:lineRule="auto"/>
        <w:rPr>
          <w:sz w:val="20"/>
          <w:szCs w:val="20"/>
          <w:color w:val="auto"/>
        </w:rPr>
      </w:pPr>
      <w:r>
        <w:rPr>
          <w:rFonts w:ascii="Arial" w:cs="Arial" w:eastAsia="Arial" w:hAnsi="Arial"/>
          <w:sz w:val="16"/>
          <w:szCs w:val="16"/>
          <w:i w:val="1"/>
          <w:iCs w:val="1"/>
          <w:color w:val="auto"/>
        </w:rPr>
        <w:t xml:space="preserve">FRANCHISE BRANDS: </w:t>
      </w:r>
      <w:r>
        <w:rPr>
          <w:rFonts w:ascii="Arial" w:cs="Arial" w:eastAsia="Arial" w:hAnsi="Arial"/>
          <w:sz w:val="16"/>
          <w:szCs w:val="16"/>
          <w:color w:val="auto"/>
        </w:rPr>
        <w:t>Net revenues in the Franchise Brands portfolio increased 8% in the third quarter of 2023 compared to the third quarter of 2022.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net revenue increase primarily reflects higher net revenues from DUNGEONS &amp; DRAGONS digital gaming products, most notably </w:t>
      </w:r>
      <w:r>
        <w:rPr>
          <w:rFonts w:ascii="Arial" w:cs="Arial" w:eastAsia="Arial" w:hAnsi="Arial"/>
          <w:sz w:val="16"/>
          <w:szCs w:val="16"/>
          <w:i w:val="1"/>
          <w:iCs w:val="1"/>
          <w:color w:val="auto"/>
        </w:rPr>
        <w:t>Baldur's Gate 3,</w:t>
      </w:r>
      <w:r>
        <w:rPr>
          <w:rFonts w:ascii="Arial" w:cs="Arial" w:eastAsia="Arial" w:hAnsi="Arial"/>
          <w:sz w:val="16"/>
          <w:szCs w:val="16"/>
          <w:color w:val="auto"/>
        </w:rPr>
        <w:t xml:space="preserve"> the DUNGEONS &amp; DRAGONS-based role-playing video game released during the third quarter 2023, as well as higher net revenues from MAGIC: THE GATHERING products, primarily due to the timing of set releases in the third quarter of 2023 compared to 2022, and to a lesser extent, higher net revenues from TRANSFORMERS products supported by the June 2023 theatrical release of </w:t>
      </w:r>
      <w:r>
        <w:rPr>
          <w:rFonts w:ascii="Arial" w:cs="Arial" w:eastAsia="Arial" w:hAnsi="Arial"/>
          <w:sz w:val="16"/>
          <w:szCs w:val="16"/>
          <w:i w:val="1"/>
          <w:iCs w:val="1"/>
          <w:color w:val="auto"/>
        </w:rPr>
        <w:t>Transformers: Rise of the Beasts</w:t>
      </w:r>
      <w:r>
        <w:rPr>
          <w:rFonts w:ascii="Arial" w:cs="Arial" w:eastAsia="Arial" w:hAnsi="Arial"/>
          <w:sz w:val="16"/>
          <w:szCs w:val="16"/>
          <w:color w:val="auto"/>
        </w:rPr>
        <w:t xml:space="preserve">. These net revenue increases were partially offset by lower net revenues from NERF products and to a lesser extent, lower net revenues from PEPPA PIG as well as lower net revenues from PLAY-DOH products compared to third quarter of 2022 which benefited from the release of </w:t>
      </w:r>
      <w:r>
        <w:rPr>
          <w:rFonts w:ascii="Arial" w:cs="Arial" w:eastAsia="Arial" w:hAnsi="Arial"/>
          <w:sz w:val="16"/>
          <w:szCs w:val="16"/>
          <w:i w:val="1"/>
          <w:iCs w:val="1"/>
          <w:color w:val="auto"/>
        </w:rPr>
        <w:t>Play-doh Squished</w:t>
      </w:r>
      <w:r>
        <w:rPr>
          <w:rFonts w:ascii="Arial" w:cs="Arial" w:eastAsia="Arial" w:hAnsi="Arial"/>
          <w:sz w:val="16"/>
          <w:szCs w:val="16"/>
          <w:color w:val="auto"/>
        </w:rPr>
        <w:t xml:space="preserve"> programming.</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PARTNER BRANDS: </w:t>
      </w:r>
      <w:r>
        <w:rPr>
          <w:rFonts w:ascii="Arial" w:cs="Arial" w:eastAsia="Arial" w:hAnsi="Arial"/>
          <w:sz w:val="17"/>
          <w:szCs w:val="17"/>
          <w:color w:val="auto"/>
        </w:rPr>
        <w:t>Net revenues from the Partner Brands portfolio decreased 35% in the third quarter of 2023 compared to the third quarter of</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2022. Within the Partner Brands portfolio, there are a number of brands which are reliant on related entertainment, including television and movie releases. As such, net revenues from Partner Brands fluctuate depending on entertainment popularity, release dates and related product line offerings. Historically these entertainment-based brands experience higher revenues during years in which new content is released in theaters, for broadcast, and on streaming platforms.</w:t>
      </w:r>
    </w:p>
    <w:p>
      <w:pPr>
        <w:spacing w:after="0" w:line="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During the third quarter of 2023, Partner Brands net revenue decreases were driven by lower sales of the Company's products for DISNEY FROZEN and DISNEY PRINCESS due to the expiration of the related license agreements in December 2022, lower net revenues from the Company's products for MARVEL and STAR WARS compared to the third quarter of 2022, which benefited from a robust slate of entertainment releases without comparable releases in the third quarter of 2023 and to a lesser extent, lower net revenues from BEY BLADE products. These decreases were partially offset by net revenues from the introduction of the Company's products for INDIANA JONES supported by the June 2023 theatrical release of </w:t>
      </w:r>
      <w:r>
        <w:rPr>
          <w:rFonts w:ascii="Arial" w:cs="Arial" w:eastAsia="Arial" w:hAnsi="Arial"/>
          <w:sz w:val="18"/>
          <w:szCs w:val="18"/>
          <w:i w:val="1"/>
          <w:iCs w:val="1"/>
          <w:color w:val="auto"/>
        </w:rPr>
        <w:t>Indiana Jones and the</w:t>
      </w:r>
      <w:r>
        <w:rPr>
          <w:rFonts w:ascii="Arial" w:cs="Arial" w:eastAsia="Arial" w:hAnsi="Arial"/>
          <w:sz w:val="18"/>
          <w:szCs w:val="18"/>
          <w:color w:val="auto"/>
        </w:rPr>
        <w:t xml:space="preserve"> </w:t>
      </w:r>
      <w:r>
        <w:rPr>
          <w:rFonts w:ascii="Arial" w:cs="Arial" w:eastAsia="Arial" w:hAnsi="Arial"/>
          <w:sz w:val="18"/>
          <w:szCs w:val="18"/>
          <w:i w:val="1"/>
          <w:iCs w:val="1"/>
          <w:color w:val="auto"/>
        </w:rPr>
        <w:t>Dial of Destiny.</w:t>
      </w:r>
    </w:p>
    <w:p>
      <w:pPr>
        <w:spacing w:after="0" w:line="84"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i w:val="1"/>
          <w:iCs w:val="1"/>
          <w:color w:val="auto"/>
        </w:rPr>
        <w:t xml:space="preserve">PORTFOLIO BRANDS: </w:t>
      </w:r>
      <w:r>
        <w:rPr>
          <w:rFonts w:ascii="Arial" w:cs="Arial" w:eastAsia="Arial" w:hAnsi="Arial"/>
          <w:sz w:val="16"/>
          <w:szCs w:val="16"/>
          <w:color w:val="auto"/>
        </w:rPr>
        <w:t>Portfolio Brands net revenues decreased 19% in the third quarter of 2023 compared to the third quarter of 2022. Lower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from FURREAL FRIENDS, MY LITTLE PONY, BABY ALIVE and PJ MASKS products were partially offset by net revenue contributions from FURBY products following the Company's reintroduction of the brand and refreshed product line during the second quarter of 2023.</w:t>
      </w:r>
    </w:p>
    <w:p>
      <w:pPr>
        <w:spacing w:after="0" w:line="4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NON-HASBRO BRANDED FILM &amp; TV</w:t>
      </w:r>
      <w:r>
        <w:rPr>
          <w:rFonts w:ascii="Arial" w:cs="Arial" w:eastAsia="Arial" w:hAnsi="Arial"/>
          <w:sz w:val="17"/>
          <w:szCs w:val="17"/>
          <w:color w:val="auto"/>
        </w:rPr>
        <w:t>: Net revenues from Non-Hasbro Branded Film &amp; TV decreased 47% in the third quarter of 2023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third quarter of 2022. The net revenue declines were driven by lower scripted programming deliveries, reflecting the impact of the five-month long worker strike by the Writers Guild of America, which ended in September 2023, as well as the ongoing strike by the American actors' union, SAG-AFTRA, which began on July 14, 2023. These actions impacted the timing of productions that include </w:t>
      </w:r>
      <w:r>
        <w:rPr>
          <w:rFonts w:ascii="Arial" w:cs="Arial" w:eastAsia="Arial" w:hAnsi="Arial"/>
          <w:sz w:val="17"/>
          <w:szCs w:val="17"/>
          <w:i w:val="1"/>
          <w:iCs w:val="1"/>
          <w:color w:val="auto"/>
        </w:rPr>
        <w:t>The Rookie, Rookie Feds, the Recruit, Yellowjackets and Cruel</w:t>
      </w:r>
      <w:r>
        <w:rPr>
          <w:rFonts w:ascii="Arial" w:cs="Arial" w:eastAsia="Arial" w:hAnsi="Arial"/>
          <w:sz w:val="17"/>
          <w:szCs w:val="17"/>
          <w:color w:val="auto"/>
        </w:rPr>
        <w:t xml:space="preserve"> </w:t>
      </w:r>
      <w:r>
        <w:rPr>
          <w:rFonts w:ascii="Arial" w:cs="Arial" w:eastAsia="Arial" w:hAnsi="Arial"/>
          <w:sz w:val="17"/>
          <w:szCs w:val="17"/>
          <w:i w:val="1"/>
          <w:iCs w:val="1"/>
          <w:color w:val="auto"/>
        </w:rPr>
        <w:t>Summer</w:t>
      </w:r>
      <w:r>
        <w:rPr>
          <w:rFonts w:ascii="Arial" w:cs="Arial" w:eastAsia="Arial" w:hAnsi="Arial"/>
          <w:sz w:val="17"/>
          <w:szCs w:val="17"/>
          <w:color w:val="auto"/>
        </w:rPr>
        <w:t>. To a lesser extent, lower net revenues from unscripted programming contributed to the decrease reflecting the lower number of new deliveries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during the third quarter of 2023 compared to 2022. These decreases were partially offset by net revenue increases from film deliveries, most notably, </w:t>
      </w:r>
      <w:r>
        <w:rPr>
          <w:rFonts w:ascii="Arial" w:cs="Arial" w:eastAsia="Arial" w:hAnsi="Arial"/>
          <w:sz w:val="17"/>
          <w:szCs w:val="17"/>
          <w:i w:val="1"/>
          <w:iCs w:val="1"/>
          <w:color w:val="auto"/>
        </w:rPr>
        <w:t xml:space="preserve">Ladybug and Cat Noir </w:t>
      </w:r>
      <w:r>
        <w:rPr>
          <w:rFonts w:ascii="Arial" w:cs="Arial" w:eastAsia="Arial" w:hAnsi="Arial"/>
          <w:sz w:val="17"/>
          <w:szCs w:val="17"/>
          <w:color w:val="auto"/>
        </w:rPr>
        <w:t>during the third quarter of 2023.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nine-month periods ended October 1, 2023 and September 25, 2022 were 40-week and 39-week periods, respectively.</w:t>
      </w:r>
    </w:p>
    <w:p>
      <w:pPr>
        <w:spacing w:after="0" w:line="19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For the first nine months of 2023, consolidated net revenues decreased 11% compared to the first nine months of 2022 and reflect a favorable variance of $3.3 million of foreign currency translation due to stronger currencies across the Company's Latin American markets, partially offset by unfavorable foreign currency translation in the Company's Asia Pacific markets when compared to the first nine months of 2022.</w:t>
      </w:r>
    </w:p>
    <w:p>
      <w:pPr>
        <w:spacing w:after="0" w:line="5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Operating losses for the first nine months of 2023 were $340.2 million, or 9.2% of net revenues, compared to an operating profit of $533.4 million, or 12.8% of net revenues, for the first nine months of 2022. In addition to the charges to operating profit described above, the operating profit decrease was driven by lower revenue volumes and higher closeout sales to sell through inventory, higher costs to attract and retain talent combined with investments in organized play during the first nine months of 2023. These negative impacts to operating profit were partially offset by lower overall operating costs as a result of the Company's ongoing cost savings initiatives, including improved supply chain management and lower royalty expense. Lower royalty expense was driven by the decline of Partner Brand sales combined with the expiration of certain Partner Brand license agreements in December 2022, partially offset by higher royalty expense associated with </w:t>
      </w:r>
      <w:r>
        <w:rPr>
          <w:rFonts w:ascii="Arial" w:cs="Arial" w:eastAsia="Arial" w:hAnsi="Arial"/>
          <w:sz w:val="17"/>
          <w:szCs w:val="17"/>
          <w:i w:val="1"/>
          <w:iCs w:val="1"/>
          <w:color w:val="auto"/>
        </w:rPr>
        <w:t>The Lord of the Rings: Tales of Middle-earth</w:t>
      </w:r>
      <w:r>
        <w:rPr>
          <w:rFonts w:ascii="Arial" w:cs="Arial" w:eastAsia="Arial" w:hAnsi="Arial"/>
          <w:sz w:val="17"/>
          <w:szCs w:val="17"/>
          <w:color w:val="auto"/>
        </w:rPr>
        <w:t xml:space="preserve"> card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following table presents net revenues by brand and entertainment portfolio for the first nine months of 2023 and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Nine Months Ended</w:t>
            </w:r>
          </w:p>
        </w:tc>
        <w:tc>
          <w:tcPr>
            <w:tcW w:w="1660" w:type="dxa"/>
            <w:vAlign w:val="bottom"/>
            <w:tcBorders>
              <w:bottom w:val="single" w:sz="8" w:color="auto"/>
            </w:tcBorders>
          </w:tcPr>
          <w:p>
            <w:pPr>
              <w:spacing w:after="0"/>
              <w:rPr>
                <w:sz w:val="20"/>
                <w:szCs w:val="20"/>
                <w:color w:val="auto"/>
              </w:rPr>
            </w:pPr>
          </w:p>
        </w:tc>
      </w:tr>
      <w:tr>
        <w:trPr>
          <w:trHeight w:val="169"/>
        </w:trPr>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ind w:left="220"/>
              <w:spacing w:after="0" w:line="169" w:lineRule="exact"/>
              <w:rPr>
                <w:sz w:val="20"/>
                <w:szCs w:val="20"/>
                <w:color w:val="auto"/>
              </w:rPr>
            </w:pPr>
            <w:r>
              <w:rPr>
                <w:rFonts w:ascii="Arial" w:cs="Arial" w:eastAsia="Arial" w:hAnsi="Arial"/>
                <w:sz w:val="18"/>
                <w:szCs w:val="18"/>
                <w:b w:val="1"/>
                <w:bCs w:val="1"/>
                <w:color w:val="auto"/>
              </w:rPr>
              <w:t>September 25,</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r>
      <w:tr>
        <w:trPr>
          <w:trHeight w:val="243"/>
        </w:trPr>
        <w:tc>
          <w:tcPr>
            <w:tcW w:w="6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1, 2023</w:t>
            </w: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66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2,412.8</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2,416.2</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775.8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Brands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Non-Hasbro Branded Film &amp; TV</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FRANCHISE BRANDS: </w:t>
      </w:r>
      <w:r>
        <w:rPr>
          <w:rFonts w:ascii="Arial" w:cs="Arial" w:eastAsia="Arial" w:hAnsi="Arial"/>
          <w:sz w:val="16"/>
          <w:szCs w:val="16"/>
          <w:color w:val="auto"/>
        </w:rPr>
        <w:t>Net revenues in the Franchise Brands portfolio remained flat in the first nine months of 2023 compared to 2022, reflecting higher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net revenues from DUNGEONS &amp; DRAGONS digital gaming products, most notably </w:t>
      </w:r>
      <w:r>
        <w:rPr>
          <w:rFonts w:ascii="Arial" w:cs="Arial" w:eastAsia="Arial" w:hAnsi="Arial"/>
          <w:sz w:val="16"/>
          <w:szCs w:val="16"/>
          <w:i w:val="1"/>
          <w:iCs w:val="1"/>
          <w:color w:val="auto"/>
        </w:rPr>
        <w:t>Baldur's Gate 3,</w:t>
      </w:r>
      <w:r>
        <w:rPr>
          <w:rFonts w:ascii="Arial" w:cs="Arial" w:eastAsia="Arial" w:hAnsi="Arial"/>
          <w:sz w:val="16"/>
          <w:szCs w:val="16"/>
          <w:color w:val="auto"/>
        </w:rPr>
        <w:t xml:space="preserve"> the DUNGEONS &amp; DRAGONS-based role-playing video game released during the third quarter 2023</w:t>
      </w:r>
      <w:r>
        <w:rPr>
          <w:rFonts w:ascii="Arial" w:cs="Arial" w:eastAsia="Arial" w:hAnsi="Arial"/>
          <w:sz w:val="16"/>
          <w:szCs w:val="16"/>
          <w:i w:val="1"/>
          <w:iCs w:val="1"/>
          <w:color w:val="auto"/>
        </w:rPr>
        <w:t>,</w:t>
      </w:r>
      <w:r>
        <w:rPr>
          <w:rFonts w:ascii="Arial" w:cs="Arial" w:eastAsia="Arial" w:hAnsi="Arial"/>
          <w:sz w:val="16"/>
          <w:szCs w:val="16"/>
          <w:color w:val="auto"/>
        </w:rPr>
        <w:t xml:space="preserve"> the theatrical release of </w:t>
      </w:r>
      <w:r>
        <w:rPr>
          <w:rFonts w:ascii="Arial" w:cs="Arial" w:eastAsia="Arial" w:hAnsi="Arial"/>
          <w:sz w:val="16"/>
          <w:szCs w:val="16"/>
          <w:i w:val="1"/>
          <w:iCs w:val="1"/>
          <w:color w:val="auto"/>
        </w:rPr>
        <w:t>Dungeons &amp; Dragons: Honor Among Thieves</w:t>
      </w:r>
      <w:r>
        <w:rPr>
          <w:rFonts w:ascii="Arial" w:cs="Arial" w:eastAsia="Arial" w:hAnsi="Arial"/>
          <w:sz w:val="16"/>
          <w:szCs w:val="16"/>
          <w:color w:val="auto"/>
        </w:rPr>
        <w:t xml:space="preserve"> released in March 2023 and higher net revenues from D&amp;D Beyond, acquired during the second quarter of 2022</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to these increases were higher net revenues from TRANSFORMERS products supported by the June 2023 theatrical release of </w:t>
      </w:r>
      <w:r>
        <w:rPr>
          <w:rFonts w:ascii="Arial" w:cs="Arial" w:eastAsia="Arial" w:hAnsi="Arial"/>
          <w:sz w:val="16"/>
          <w:szCs w:val="16"/>
          <w:i w:val="1"/>
          <w:iCs w:val="1"/>
          <w:color w:val="auto"/>
        </w:rPr>
        <w:t>Transformers: Rise of the Beasts</w:t>
      </w:r>
      <w:r>
        <w:rPr>
          <w:rFonts w:ascii="Arial" w:cs="Arial" w:eastAsia="Arial" w:hAnsi="Arial"/>
          <w:sz w:val="16"/>
          <w:szCs w:val="16"/>
          <w:color w:val="auto"/>
        </w:rPr>
        <w:t xml:space="preserve"> and to a lesser extent, higher net revenues from MAGIC: THE GATHERING products, primarily due to the ongoing success of the </w:t>
      </w:r>
      <w:r>
        <w:rPr>
          <w:rFonts w:ascii="Arial" w:cs="Arial" w:eastAsia="Arial" w:hAnsi="Arial"/>
          <w:sz w:val="16"/>
          <w:szCs w:val="16"/>
          <w:i w:val="1"/>
          <w:iCs w:val="1"/>
          <w:color w:val="auto"/>
        </w:rPr>
        <w:t>Lord of the Rings: Tales of Middle-earth</w:t>
      </w:r>
      <w:r>
        <w:rPr>
          <w:rFonts w:ascii="Arial" w:cs="Arial" w:eastAsia="Arial" w:hAnsi="Arial"/>
          <w:sz w:val="16"/>
          <w:szCs w:val="16"/>
          <w:color w:val="auto"/>
        </w:rPr>
        <w:t xml:space="preserve"> card set released in June 2023. These increases were offset by lower net revenues from NERF products and to a lesser extent, lower net revenues from PLAY-DOH products</w:t>
      </w:r>
      <w:r>
        <w:rPr>
          <w:rFonts w:ascii="Arial" w:cs="Arial" w:eastAsia="Arial" w:hAnsi="Arial"/>
          <w:sz w:val="16"/>
          <w:szCs w:val="16"/>
          <w:i w:val="1"/>
          <w:iCs w:val="1"/>
          <w:color w:val="auto"/>
        </w:rPr>
        <w:t>.</w:t>
      </w:r>
    </w:p>
    <w:p>
      <w:pPr>
        <w:spacing w:after="0" w:line="5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PARTNER BRANDS: </w:t>
      </w:r>
      <w:r>
        <w:rPr>
          <w:rFonts w:ascii="Arial" w:cs="Arial" w:eastAsia="Arial" w:hAnsi="Arial"/>
          <w:sz w:val="16"/>
          <w:szCs w:val="16"/>
          <w:color w:val="auto"/>
        </w:rPr>
        <w:t>Net revenues from the Partner Brands portfolio decreased 31% during the first nine months of 2023 compared to 2022.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Brands net revenue decreases were primarily driven by lower sales of the Company's products for DISNEY FROZEN and DISNEY PRINCESS due to the expiration of the related license agreements in December 2022, lower net revenues from the Company's products for STAR WARS and MARVEL compared to the first nine months of 2022, which benefited from a robust slate of entertainment releases without comparable releases in the first nine months of 2023, and to a lesser extent, lower net revenues from BEYBLADE products. These decreases were partially offset by net revenues from the introduction of the Company's products for INDIANA JONES, supported by the June 2023 theatrical release of </w:t>
      </w:r>
      <w:r>
        <w:rPr>
          <w:rFonts w:ascii="Arial" w:cs="Arial" w:eastAsia="Arial" w:hAnsi="Arial"/>
          <w:sz w:val="16"/>
          <w:szCs w:val="16"/>
          <w:i w:val="1"/>
          <w:iCs w:val="1"/>
          <w:color w:val="auto"/>
        </w:rPr>
        <w:t>Indiana Jones and the Dial of Destiny.</w:t>
      </w:r>
    </w:p>
    <w:p>
      <w:pPr>
        <w:spacing w:after="0" w:line="12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i w:val="1"/>
          <w:iCs w:val="1"/>
          <w:color w:val="auto"/>
        </w:rPr>
        <w:t xml:space="preserve">PORTFOLIO BRANDS: </w:t>
      </w:r>
      <w:r>
        <w:rPr>
          <w:rFonts w:ascii="Arial" w:cs="Arial" w:eastAsia="Arial" w:hAnsi="Arial"/>
          <w:sz w:val="16"/>
          <w:szCs w:val="16"/>
          <w:color w:val="auto"/>
        </w:rPr>
        <w:t>Portfolio Brands net revenues decreased 19% for the first nine months of 2023 compared to the first nine months of 2022.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declines during the first nine months of 2023 were driven by lower sales of FURREAL FRIENDS products and to a lesser extent, lower sales of PJ MASKS, MY LITTLE PONY and BABY ALIVE products. These decreases were partially offset by net revenues from FURBY products following the Company's reintroduction of the brand and refreshed product line during the second quarter of 2023, as well as higher net revenues from GI JOE products.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NON-HASBRO BRANDED FILM &amp; TV: </w:t>
      </w:r>
      <w:r>
        <w:rPr>
          <w:rFonts w:ascii="Arial" w:cs="Arial" w:eastAsia="Arial" w:hAnsi="Arial"/>
          <w:sz w:val="17"/>
          <w:szCs w:val="17"/>
          <w:color w:val="auto"/>
        </w:rPr>
        <w:t>Net revenues from the Non-Hasbro Branded Film &amp; TV portfolio decreased 25% for the first nine months of 2023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first nine months of 2022. In the first nine months of 2023, net revenue declines were driven by lower scripted and unscripted television deliveries, as well as lower film deliveries in 2023 compared to 2022. These decreases were due primarily to the impact of the writers' and actors' strikes mentioned above, which disrupted the number and timing of planned program productions and deliveries in 2023 compared to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2023</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net external revenues and operating profit (loss) for the Company's principal segments for the quarters ended October 1, 2023 and September 25,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25,</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r>
      <w:tr>
        <w:trPr>
          <w:trHeight w:val="243"/>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1, 2023</w:t>
            </w:r>
          </w:p>
        </w:tc>
        <w:tc>
          <w:tcPr>
            <w:tcW w:w="160" w:type="dxa"/>
            <w:vAlign w:val="bottom"/>
          </w:tcPr>
          <w:p>
            <w:pPr>
              <w:spacing w:after="0"/>
              <w:rPr>
                <w:sz w:val="21"/>
                <w:szCs w:val="21"/>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66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7"/>
              </w:rPr>
              <w:t>Net revenues</w:t>
            </w:r>
          </w:p>
        </w:tc>
        <w:tc>
          <w:tcPr>
            <w:tcW w:w="53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1,160.8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Wizards of the Coast and Digital Gaming</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Entertainment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16"/>
        </w:trPr>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6260" w:type="dxa"/>
            <w:vAlign w:val="bottom"/>
            <w:gridSpan w:val="3"/>
          </w:tcPr>
          <w:p>
            <w:pPr>
              <w:spacing w:after="0" w:line="189" w:lineRule="exact"/>
              <w:rPr>
                <w:sz w:val="20"/>
                <w:szCs w:val="20"/>
                <w:color w:val="auto"/>
              </w:rPr>
            </w:pPr>
            <w:r>
              <w:rPr>
                <w:rFonts w:ascii="Arial" w:cs="Arial" w:eastAsia="Arial" w:hAnsi="Arial"/>
                <w:sz w:val="18"/>
                <w:szCs w:val="18"/>
                <w:color w:val="auto"/>
              </w:rPr>
              <w:t>Operating Profit (Loss)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Wizards of the Coast and Digital Gaming</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99 %</w:t>
            </w: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Entertainment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30"/>
        </w:trPr>
        <w:tc>
          <w:tcPr>
            <w:tcW w:w="2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Corporate and Other</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97 %</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Consumer Products Segment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Consumer Products segment net revenues by major geographic region for the quarters ended October 1,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178"/>
        </w:trPr>
        <w:tc>
          <w:tcPr>
            <w:tcW w:w="8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130"/>
              <w:spacing w:after="0" w:line="177" w:lineRule="exact"/>
              <w:rPr>
                <w:sz w:val="20"/>
                <w:szCs w:val="20"/>
                <w:color w:val="auto"/>
              </w:rPr>
            </w:pPr>
            <w:r>
              <w:rPr>
                <w:rFonts w:ascii="Arial" w:cs="Arial" w:eastAsia="Arial" w:hAnsi="Arial"/>
                <w:sz w:val="18"/>
                <w:szCs w:val="18"/>
                <w:b w:val="1"/>
                <w:bCs w:val="1"/>
                <w:color w:val="auto"/>
                <w:w w:val="90"/>
              </w:rPr>
              <w:t>September 25,</w:t>
            </w:r>
          </w:p>
        </w:tc>
      </w:tr>
      <w:tr>
        <w:trPr>
          <w:trHeight w:val="234"/>
        </w:trPr>
        <w:tc>
          <w:tcPr>
            <w:tcW w:w="8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1, 2023</w:t>
            </w: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271.6</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Consumer Products segment net revenues declined 18% to $956.9 million for the third quarter of 2023 compared to $1,160.8 million for the third quarter of 2022 reflecting a softer toy market in 2023 compared to 2022. The Consumer Products segment included the impact of a favorable $18.1 million currency translation.</w:t>
      </w:r>
    </w:p>
    <w:p>
      <w:pPr>
        <w:spacing w:after="0" w:line="7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Drivers of the net revenue decrease include lower sales of NERF products, lower sales of the Company's products for DISNEY PRINCESS and DISNEY FROZEN, following the expiration of associated license agreements in December 2022, and to a lesser extent, lower sales of the Company's products for MARVEL and STAR WARS compared to the third quarter of 2022, which benefited from a variety of entertainment releases without a comparable slate in 2023, and lower sales of FURREAL FRIENDS and MY LITTLE PONY products. These net revenue decreases were partially offset by higher sales of the Company's refreshed lineup of FURBY products following the reintroduction of the brand during the second quarter of 2023 and higher sales of TRANSFORMERS products supported by the theatrical release of </w:t>
      </w:r>
      <w:r>
        <w:rPr>
          <w:rFonts w:ascii="Arial" w:cs="Arial" w:eastAsia="Arial" w:hAnsi="Arial"/>
          <w:sz w:val="16"/>
          <w:szCs w:val="16"/>
          <w:i w:val="1"/>
          <w:iCs w:val="1"/>
          <w:color w:val="auto"/>
        </w:rPr>
        <w:t>Transformers: Rise of Beasts</w:t>
      </w:r>
      <w:r>
        <w:rPr>
          <w:rFonts w:ascii="Arial" w:cs="Arial" w:eastAsia="Arial" w:hAnsi="Arial"/>
          <w:sz w:val="16"/>
          <w:szCs w:val="16"/>
          <w:color w:val="auto"/>
        </w:rPr>
        <w:t xml:space="preserve"> in June 2023. Overall segment net revenue declines were primarily attributable to North America and to a lesser extent, the Company's European and Asia Pacific markets during the third quarter of 2023.</w:t>
      </w:r>
    </w:p>
    <w:p>
      <w:pPr>
        <w:spacing w:after="0" w:line="5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Consumer Products segment operating profit for the third quarter of 2023 was $96.1 million or 10.0% of segment net revenues, compared to segment operating profit of $136.8 million or 11.8% of segment net revenues, for the third quarter of 2022. The decrease in operating profit in the third quarter of 2023 was driven by lower overall segment net revenues, including higher levels of closeout sales and obsolescence charges during the third quarter of 2023, partially offset by lower advertising and promotion expenses and lower royalty expenses as a result of the decline of Partner Brands sales, due primarily to the expiration of certain licenses in December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Wizards of the Coast and Digital Gaming Segment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Wizards of the Coast and Digital Gaming segment net revenues by category for the quarters ended October 1,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169"/>
        </w:trPr>
        <w:tc>
          <w:tcPr>
            <w:tcW w:w="8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25,</w:t>
            </w:r>
          </w:p>
        </w:tc>
      </w:tr>
      <w:tr>
        <w:trPr>
          <w:trHeight w:val="243"/>
        </w:trPr>
        <w:tc>
          <w:tcPr>
            <w:tcW w:w="8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1, 2023</w:t>
            </w:r>
          </w:p>
        </w:tc>
        <w:tc>
          <w:tcPr>
            <w:tcW w:w="160" w:type="dxa"/>
            <w:vAlign w:val="bottom"/>
          </w:tcPr>
          <w:p>
            <w:pPr>
              <w:spacing w:after="0"/>
              <w:rPr>
                <w:sz w:val="21"/>
                <w:szCs w:val="21"/>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Tabletop Gaming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Digital and Licensed Gaming</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Wizards of the Coast and Digital Gaming segment net revenues increased 40% in the third quarter of 2023 to $423.6 million from $303.5 million in the third quarter of 2022 and included the impact of a favorable $3.1 million currency translation.</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net revenue increase in the Wizards of the Coast and Digital Gaming segment during the third quarter of 2023 was primarily attributable to higher net revenues from DUNGEONS &amp; DRAGONS digital gaming products, most notably </w:t>
      </w:r>
      <w:r>
        <w:rPr>
          <w:rFonts w:ascii="Arial" w:cs="Arial" w:eastAsia="Arial" w:hAnsi="Arial"/>
          <w:sz w:val="18"/>
          <w:szCs w:val="18"/>
          <w:i w:val="1"/>
          <w:iCs w:val="1"/>
          <w:color w:val="auto"/>
        </w:rPr>
        <w:t>Baldur's Gate 3,</w:t>
      </w:r>
      <w:r>
        <w:rPr>
          <w:rFonts w:ascii="Arial" w:cs="Arial" w:eastAsia="Arial" w:hAnsi="Arial"/>
          <w:sz w:val="18"/>
          <w:szCs w:val="18"/>
          <w:color w:val="auto"/>
        </w:rPr>
        <w:t xml:space="preserve"> the DUNGEONS &amp; DRAGONS-based role-playing video game released during the third quarter 2023</w:t>
      </w:r>
      <w:r>
        <w:rPr>
          <w:rFonts w:ascii="Arial" w:cs="Arial" w:eastAsia="Arial" w:hAnsi="Arial"/>
          <w:sz w:val="18"/>
          <w:szCs w:val="18"/>
          <w:i w:val="1"/>
          <w:iCs w:val="1"/>
          <w:color w:val="auto"/>
        </w:rPr>
        <w:t>,</w:t>
      </w:r>
      <w:r>
        <w:rPr>
          <w:rFonts w:ascii="Arial" w:cs="Arial" w:eastAsia="Arial" w:hAnsi="Arial"/>
          <w:sz w:val="18"/>
          <w:szCs w:val="18"/>
          <w:color w:val="auto"/>
        </w:rPr>
        <w:t xml:space="preserve"> and higher digital licensing net revenues, primarily attributable to the re-negotiation of the Company's digital gaming licensing agreement for </w:t>
      </w:r>
      <w:r>
        <w:rPr>
          <w:rFonts w:ascii="Arial" w:cs="Arial" w:eastAsia="Arial" w:hAnsi="Arial"/>
          <w:sz w:val="18"/>
          <w:szCs w:val="18"/>
          <w:i w:val="1"/>
          <w:iCs w:val="1"/>
          <w:color w:val="auto"/>
        </w:rPr>
        <w:t>MONOPOLY GO!</w:t>
      </w:r>
      <w:r>
        <w:rPr>
          <w:rFonts w:ascii="Arial" w:cs="Arial" w:eastAsia="Arial" w:hAnsi="Arial"/>
          <w:sz w:val="18"/>
          <w:szCs w:val="18"/>
          <w:color w:val="auto"/>
        </w:rPr>
        <w:t xml:space="preserve"> during the third quarter of 2023. In addition, higher net revenues from Wizards of the Coast tabletop gaming products, most notably, MAGIC: THE GATHERING, were driven by the incremental card set release during the third quarter of 2023, compared to the third quarter of 2022.</w:t>
      </w:r>
    </w:p>
    <w:p>
      <w:pPr>
        <w:spacing w:after="0" w:line="8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 xml:space="preserve">Wizards of the Coast and Digital Gaming segment operating profit was $203.4 million, or 48.0% of segment net revenues for the third quarter of 2023, compared to operating profit of $102.2 million, or 33.7% of segment net revenues, for the third quarter of 2022. The operating profit increase during the third quarter of 2023 was driven by higher net revenues from high-margin products, most notably from </w:t>
      </w:r>
      <w:r>
        <w:rPr>
          <w:rFonts w:ascii="Arial" w:cs="Arial" w:eastAsia="Arial" w:hAnsi="Arial"/>
          <w:sz w:val="17"/>
          <w:szCs w:val="17"/>
          <w:i w:val="1"/>
          <w:iCs w:val="1"/>
          <w:color w:val="auto"/>
        </w:rPr>
        <w:t>Baldur's Gate 3 and MONOPOLY GO!</w:t>
      </w:r>
      <w:r>
        <w:rPr>
          <w:rFonts w:ascii="Arial" w:cs="Arial" w:eastAsia="Arial" w:hAnsi="Arial"/>
          <w:sz w:val="17"/>
          <w:szCs w:val="17"/>
          <w:color w:val="auto"/>
        </w:rPr>
        <w:t xml:space="preserve">, partially offset by higher marketing and sales expenses in support of the Wizards of the Coast </w:t>
      </w:r>
      <w:r>
        <w:rPr>
          <w:rFonts w:ascii="Arial" w:cs="Arial" w:eastAsia="Arial" w:hAnsi="Arial"/>
          <w:sz w:val="17"/>
          <w:szCs w:val="17"/>
          <w:i w:val="1"/>
          <w:iCs w:val="1"/>
          <w:color w:val="auto"/>
        </w:rPr>
        <w:t>MagicCon</w:t>
      </w:r>
      <w:r>
        <w:rPr>
          <w:rFonts w:ascii="Arial" w:cs="Arial" w:eastAsia="Arial" w:hAnsi="Arial"/>
          <w:sz w:val="17"/>
          <w:szCs w:val="17"/>
          <w:color w:val="auto"/>
        </w:rPr>
        <w:t xml:space="preserve"> event series and higher administrative expenses as we continue to invest in gaming initiatives and talent to support long-term growth in the segment.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Entertainment Segment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Entertainment segment net revenues by category for the quarters ended October 1, 2023 and September 25,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169"/>
        </w:trPr>
        <w:tc>
          <w:tcPr>
            <w:tcW w:w="8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25,</w:t>
            </w:r>
          </w:p>
        </w:tc>
      </w:tr>
      <w:tr>
        <w:trPr>
          <w:trHeight w:val="243"/>
        </w:trPr>
        <w:tc>
          <w:tcPr>
            <w:tcW w:w="8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1, 2023</w:t>
            </w:r>
          </w:p>
        </w:tc>
        <w:tc>
          <w:tcPr>
            <w:tcW w:w="160" w:type="dxa"/>
            <w:vAlign w:val="bottom"/>
          </w:tcPr>
          <w:p>
            <w:pPr>
              <w:spacing w:after="0"/>
              <w:rPr>
                <w:sz w:val="21"/>
                <w:szCs w:val="21"/>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and Other</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w:t>
            </w: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Entertainment segment net revenues declined 42% to $122.9 million for the third quarter of 2023, compared to $211.6 million for the third quarter of 2022 and included the impact of a favorable $1.3 million foreign currency translation.</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net revenue decrease during the third quarter of 2023 was driven by lower scripted programming deliveries, reflecting the impact of the five-month long worker strike by the Writers Guild of America, which ended in September 2023, as well as the ongoing strike by the American actors' union, SAG-AFTRA, which began on July 14, 2023. These actions impacted the timing of productions that include </w:t>
      </w:r>
      <w:r>
        <w:rPr>
          <w:rFonts w:ascii="Arial" w:cs="Arial" w:eastAsia="Arial" w:hAnsi="Arial"/>
          <w:sz w:val="17"/>
          <w:szCs w:val="17"/>
          <w:i w:val="1"/>
          <w:iCs w:val="1"/>
          <w:color w:val="auto"/>
        </w:rPr>
        <w:t>The Rookie, Rookie Feds, the Recruit, Yellowjackets</w:t>
      </w:r>
      <w:r>
        <w:rPr>
          <w:rFonts w:ascii="Arial" w:cs="Arial" w:eastAsia="Arial" w:hAnsi="Arial"/>
          <w:sz w:val="17"/>
          <w:szCs w:val="17"/>
          <w:color w:val="auto"/>
        </w:rPr>
        <w:t xml:space="preserve"> </w:t>
      </w:r>
      <w:r>
        <w:rPr>
          <w:rFonts w:ascii="Arial" w:cs="Arial" w:eastAsia="Arial" w:hAnsi="Arial"/>
          <w:sz w:val="17"/>
          <w:szCs w:val="17"/>
          <w:i w:val="1"/>
          <w:iCs w:val="1"/>
          <w:color w:val="auto"/>
        </w:rPr>
        <w:t>and Cruel Summer</w:t>
      </w:r>
      <w:r>
        <w:rPr>
          <w:rFonts w:ascii="Arial" w:cs="Arial" w:eastAsia="Arial" w:hAnsi="Arial"/>
          <w:sz w:val="17"/>
          <w:szCs w:val="17"/>
          <w:color w:val="auto"/>
        </w:rPr>
        <w:t>. To a lesser extent, lower net revenues from unscripted programming contributed to the decrease reflecting the lower number of new</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deliveries during the third quarter of 2023 compared to 2022. In addition, the exit of certain non-core businesses during the fourth quarter of 2022 contributed to the decrease during the third quarter of 2023. These decreases were partially offset by net revenue increases from film deliveries, most notably </w:t>
      </w:r>
      <w:r>
        <w:rPr>
          <w:rFonts w:ascii="Arial" w:cs="Arial" w:eastAsia="Arial" w:hAnsi="Arial"/>
          <w:sz w:val="17"/>
          <w:szCs w:val="17"/>
          <w:i w:val="1"/>
          <w:iCs w:val="1"/>
          <w:color w:val="auto"/>
        </w:rPr>
        <w:t>Ladybug and Cat Noir</w:t>
      </w:r>
      <w:r>
        <w:rPr>
          <w:rFonts w:ascii="Arial" w:cs="Arial" w:eastAsia="Arial" w:hAnsi="Arial"/>
          <w:sz w:val="17"/>
          <w:szCs w:val="17"/>
          <w:color w:val="auto"/>
        </w:rPr>
        <w:t xml:space="preserve">, higher broadcast and licensing net revenues, primarily from </w:t>
      </w:r>
      <w:r>
        <w:rPr>
          <w:rFonts w:ascii="Arial" w:cs="Arial" w:eastAsia="Arial" w:hAnsi="Arial"/>
          <w:sz w:val="17"/>
          <w:szCs w:val="17"/>
          <w:i w:val="1"/>
          <w:iCs w:val="1"/>
          <w:color w:val="auto"/>
        </w:rPr>
        <w:t>Dungeons &amp; Dragons: Honor Among Thieves</w:t>
      </w:r>
      <w:r>
        <w:rPr>
          <w:rFonts w:ascii="Arial" w:cs="Arial" w:eastAsia="Arial" w:hAnsi="Arial"/>
          <w:sz w:val="17"/>
          <w:szCs w:val="17"/>
          <w:color w:val="auto"/>
        </w:rPr>
        <w:t xml:space="preserve"> and higher net revenues from the Company's Family Brands business associated with the television series </w:t>
      </w:r>
      <w:r>
        <w:rPr>
          <w:rFonts w:ascii="Arial" w:cs="Arial" w:eastAsia="Arial" w:hAnsi="Arial"/>
          <w:sz w:val="17"/>
          <w:szCs w:val="17"/>
          <w:i w:val="1"/>
          <w:iCs w:val="1"/>
          <w:color w:val="auto"/>
        </w:rPr>
        <w:t>Power Rangers Cosmic Fury</w:t>
      </w:r>
      <w:r>
        <w:rPr>
          <w:rFonts w:ascii="Arial" w:cs="Arial" w:eastAsia="Arial" w:hAnsi="Arial"/>
          <w:sz w:val="17"/>
          <w:szCs w:val="17"/>
          <w:color w:val="auto"/>
        </w:rPr>
        <w:t xml:space="preserve"> season 30, released on the Netflix streaming platform in September 2023.</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Entertainment segment operating losses were $468.5 million, or greater than -100.0% of segment net revenues for the third quarter of 2023, compared to operating losses of $28.9 million, or 13.7% of segment net revenues for the third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1" w:name="page42"/>
    <w:bookmarkEnd w:id="41"/>
    <w:p>
      <w:pPr>
        <w:ind w:right="140"/>
        <w:spacing w:after="0" w:line="255" w:lineRule="auto"/>
        <w:rPr>
          <w:sz w:val="20"/>
          <w:szCs w:val="20"/>
          <w:color w:val="auto"/>
        </w:rPr>
      </w:pPr>
      <w:r>
        <w:rPr>
          <w:rFonts w:ascii="Arial" w:cs="Arial" w:eastAsia="Arial" w:hAnsi="Arial"/>
          <w:sz w:val="18"/>
          <w:szCs w:val="18"/>
          <w:color w:val="auto"/>
        </w:rPr>
        <w:t>The decrease in Entertainment segment operating results during the third quarter of 2023 was driven by a loss on assets held for sale of $473.0 million related to the sale of the non-core eOne Film and TV business, and to a lesser extent, the exit of certain non-core businesses during the fourth quarter of 2022 and lower segment net revenues as previously discussed. These impacts to operating profit in the third quarter of 2023 were partially offset by lower program amortization costs reflecting lower content deliveries during the third quarter of 2023, and lower intangible asset amortization reflecting the discontinuation of amortization expense associated with certain assets classified as held for sale, and lower managed expenses including lower incentive compensation expenses.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Corporate and Other operating losses were $0.5 million for the third quarter of 2023 compared to operating losses of $15.8 million for the third quarter of 2022. Operating results in the third quarter of 2023 reflect charges of $16.2 million associated with the eOne Film and TV business sale process, as well as lower administrative expenses compared to the third quarter of 2022. In 2022, Corporate and Other operating losses were driven by severance and other employee charges associated with Company's strategic review and related cost-savings initiatives, and expense associated with retention awards granted in connection with the eOne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2023</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net revenues and operating profit (loss) for the Company's principal segments for each of the nine-month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1, 2023 and September 25, 2022:</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1"/>
              </w:rPr>
              <w:t>Nine Months Ended</w:t>
            </w:r>
          </w:p>
        </w:tc>
        <w:tc>
          <w:tcPr>
            <w:tcW w:w="1660" w:type="dxa"/>
            <w:vAlign w:val="bottom"/>
            <w:tcBorders>
              <w:bottom w:val="single" w:sz="8" w:color="auto"/>
            </w:tcBorders>
          </w:tcPr>
          <w:p>
            <w:pPr>
              <w:spacing w:after="0"/>
              <w:rPr>
                <w:sz w:val="20"/>
                <w:szCs w:val="20"/>
                <w:color w:val="auto"/>
              </w:rPr>
            </w:pPr>
          </w:p>
        </w:tc>
      </w:t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60"/>
              <w:spacing w:after="0" w:line="177" w:lineRule="exact"/>
              <w:rPr>
                <w:sz w:val="20"/>
                <w:szCs w:val="20"/>
                <w:color w:val="auto"/>
              </w:rPr>
            </w:pPr>
            <w:r>
              <w:rPr>
                <w:rFonts w:ascii="Arial" w:cs="Arial" w:eastAsia="Arial" w:hAnsi="Arial"/>
                <w:sz w:val="18"/>
                <w:szCs w:val="18"/>
                <w:b w:val="1"/>
                <w:bCs w:val="1"/>
                <w:color w:val="auto"/>
              </w:rPr>
              <w:t>September 25,</w:t>
            </w:r>
          </w:p>
        </w:tc>
        <w:tc>
          <w:tcPr>
            <w:tcW w:w="1660" w:type="dxa"/>
            <w:vAlign w:val="bottom"/>
          </w:tcPr>
          <w:p>
            <w:pPr>
              <w:jc w:val="right"/>
              <w:ind w:right="650"/>
              <w:spacing w:after="0" w:line="177" w:lineRule="exact"/>
              <w:rPr>
                <w:sz w:val="20"/>
                <w:szCs w:val="20"/>
                <w:color w:val="auto"/>
              </w:rPr>
            </w:pPr>
            <w:r>
              <w:rPr>
                <w:rFonts w:ascii="Arial" w:cs="Arial" w:eastAsia="Arial" w:hAnsi="Arial"/>
                <w:sz w:val="18"/>
                <w:szCs w:val="18"/>
                <w:b w:val="1"/>
                <w:bCs w:val="1"/>
                <w:color w:val="auto"/>
              </w:rPr>
              <w:t>%</w:t>
            </w: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1, 2023</w:t>
            </w: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66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5"/>
              </w:rPr>
              <w:t>Net revenues</w:t>
            </w:r>
          </w:p>
        </w:tc>
        <w:tc>
          <w:tcPr>
            <w:tcW w:w="53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2,132.5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2,567.8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Wizards of the Coast and Digital Gaming</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Entertainment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624.3</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70"/>
        </w:trPr>
        <w:tc>
          <w:tcPr>
            <w:tcW w:w="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6260" w:type="dxa"/>
            <w:vAlign w:val="bottom"/>
            <w:gridSpan w:val="3"/>
          </w:tcPr>
          <w:p>
            <w:pPr>
              <w:spacing w:after="0" w:line="189" w:lineRule="exact"/>
              <w:rPr>
                <w:sz w:val="20"/>
                <w:szCs w:val="20"/>
                <w:color w:val="auto"/>
              </w:rPr>
            </w:pPr>
            <w:r>
              <w:rPr>
                <w:rFonts w:ascii="Arial" w:cs="Arial" w:eastAsia="Arial" w:hAnsi="Arial"/>
                <w:sz w:val="18"/>
                <w:szCs w:val="18"/>
                <w:color w:val="auto"/>
              </w:rPr>
              <w:t>Operating Profit (Loss)</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Wizards of the Coast and Digital Gaming</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434.2</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30"/>
        </w:trPr>
        <w:tc>
          <w:tcPr>
            <w:tcW w:w="2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39 %</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Consumer Products Segment</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the Consumer Products segment net revenues by major geographic region for the nine-month periods ended October 1, 2023 and September 25,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178"/>
        </w:trPr>
        <w:tc>
          <w:tcPr>
            <w:tcW w:w="8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130"/>
              <w:spacing w:after="0" w:line="177" w:lineRule="exact"/>
              <w:rPr>
                <w:sz w:val="20"/>
                <w:szCs w:val="20"/>
                <w:color w:val="auto"/>
              </w:rPr>
            </w:pPr>
            <w:r>
              <w:rPr>
                <w:rFonts w:ascii="Arial" w:cs="Arial" w:eastAsia="Arial" w:hAnsi="Arial"/>
                <w:sz w:val="18"/>
                <w:szCs w:val="18"/>
                <w:b w:val="1"/>
                <w:bCs w:val="1"/>
                <w:color w:val="auto"/>
                <w:w w:val="90"/>
              </w:rPr>
              <w:t>September 25,</w:t>
            </w:r>
          </w:p>
        </w:tc>
      </w:tr>
      <w:tr>
        <w:trPr>
          <w:trHeight w:val="234"/>
        </w:trPr>
        <w:tc>
          <w:tcPr>
            <w:tcW w:w="8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1, 2023</w:t>
            </w: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1,531.8</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610.4</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Consumer Products segment net revenues decreased 17% to $2,132.5 million for the first nine months of 2023 compared to $2,567.8 million for the first nine months of 2022 and included the impact of a favorable $8.7 million currency translation.</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Consumer Products net revenue declines during the first nine months of 2023 were driven primarily by lower sales of NERF products, lower sales of the Company's products for DISNEY PRINCESS and DISNEY FROZEN, following the expiration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42" w:name="page43"/>
    <w:bookmarkEnd w:id="42"/>
    <w:p>
      <w:pPr>
        <w:ind w:right="100"/>
        <w:spacing w:after="0" w:line="270" w:lineRule="auto"/>
        <w:rPr>
          <w:sz w:val="20"/>
          <w:szCs w:val="20"/>
          <w:color w:val="auto"/>
        </w:rPr>
      </w:pPr>
      <w:r>
        <w:rPr>
          <w:rFonts w:ascii="Arial" w:cs="Arial" w:eastAsia="Arial" w:hAnsi="Arial"/>
          <w:sz w:val="17"/>
          <w:szCs w:val="17"/>
          <w:color w:val="auto"/>
        </w:rPr>
        <w:t xml:space="preserve">associated license agreements in December 2022, and to a lesser extent, lower sales of the Company's products for MARVEL and STAR WARS compared to the first nine months of 2022, which benefited from a variety of entertainment releases without a comparable slate in the first nine months of 2023. In addition, lower net revenues from FURREAL FRIENDS products, contributed to the decrease. These decreases were partially offset by net revenue increases from TRANSFORMERS products, supported by the theatrical release of </w:t>
      </w:r>
      <w:r>
        <w:rPr>
          <w:rFonts w:ascii="Arial" w:cs="Arial" w:eastAsia="Arial" w:hAnsi="Arial"/>
          <w:sz w:val="17"/>
          <w:szCs w:val="17"/>
          <w:i w:val="1"/>
          <w:iCs w:val="1"/>
          <w:color w:val="auto"/>
        </w:rPr>
        <w:t>Transformers: Rise of Beasts</w:t>
      </w:r>
      <w:r>
        <w:rPr>
          <w:rFonts w:ascii="Arial" w:cs="Arial" w:eastAsia="Arial" w:hAnsi="Arial"/>
          <w:sz w:val="17"/>
          <w:szCs w:val="17"/>
          <w:color w:val="auto"/>
        </w:rPr>
        <w:t xml:space="preserve"> in June 2023, and to a lesser extent, sales of the Company's refreshed lineup of FURBY products following the reintroduction of the brand during the second quarter of 2023. In addition to these increases, net revenue increases from GI JOE products and higher consumer products licensing revenues, reflecting certain licensing agreements entered during the first nine months of 2023, contributed to segment net revenues. Overall, segment net revenue declines were primarily attributable to North America as and to a lesser extent, the Company's European markets, partially offset by higher net revenues from the Company's Latin American markets during the first nine months of 2023.</w:t>
      </w:r>
    </w:p>
    <w:p>
      <w:pPr>
        <w:spacing w:after="0" w:line="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Consumer Products segment operating profit for the first nine months of 2023 was $61.5 million or 2.9% of segment net revenues, compared to segment operating profit of $138.9 million or 5.4% of segment net revenues, for the first nine months of 2022. The decrease in operating results in the first nine months of 2023 was driven by lower sales volumes and higher sales allowances and closeout sales, primarily across North America and Europe, reflecting efforts to reduce retail inventory levels. These impacts to operating profit were partially offset by lower product costs associated with improved inventory management including supply chain improvements, lower royalty expenses as a result of the decline of Partner Brands sales during the first nine months of 2023, as well as lower advertising and promotion costs and lower product development and lower administrative expenses reflecting focused cost savings initiatives and savings realized from the Company's Operational Excellence program.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Wizards of the Coast and Digital Gaming Segment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Wizards of the Coast and Digital Gaming segment net revenues by category for the nine-month periods ended October 1, 2023 and September 25,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8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25,</w:t>
            </w:r>
          </w:p>
        </w:tc>
      </w:tr>
      <w:tr>
        <w:trPr>
          <w:trHeight w:val="243"/>
        </w:trPr>
        <w:tc>
          <w:tcPr>
            <w:tcW w:w="8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1, 2023</w:t>
            </w:r>
          </w:p>
        </w:tc>
        <w:tc>
          <w:tcPr>
            <w:tcW w:w="160" w:type="dxa"/>
            <w:vAlign w:val="bottom"/>
          </w:tcPr>
          <w:p>
            <w:pPr>
              <w:spacing w:after="0"/>
              <w:rPr>
                <w:sz w:val="21"/>
                <w:szCs w:val="21"/>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Tabletop Gaming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Digital and Licensed Gaming</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Wizards of the Coast and Digital Gaming segment net revenues increased 11% in the first nine months of 2023 to $1,094.4 million from $986.1 million in the first nine months of 2022. Currency translation did not have a material impact on Wizards of the Coast and Digital Gaming segment net revenues during the first nine months of 2023.</w:t>
      </w:r>
    </w:p>
    <w:p>
      <w:pPr>
        <w:spacing w:after="0" w:line="1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net revenue increase in the Wizards of the Coast and Digital Gaming segment during the first nine months of 2023 was driven by higher net revenues from Digital Gaming, most notably from </w:t>
      </w:r>
      <w:r>
        <w:rPr>
          <w:rFonts w:ascii="Arial" w:cs="Arial" w:eastAsia="Arial" w:hAnsi="Arial"/>
          <w:sz w:val="18"/>
          <w:szCs w:val="18"/>
          <w:i w:val="1"/>
          <w:iCs w:val="1"/>
          <w:color w:val="auto"/>
        </w:rPr>
        <w:t>Baldur's Gate 3,</w:t>
      </w:r>
      <w:r>
        <w:rPr>
          <w:rFonts w:ascii="Arial" w:cs="Arial" w:eastAsia="Arial" w:hAnsi="Arial"/>
          <w:sz w:val="18"/>
          <w:szCs w:val="18"/>
          <w:color w:val="auto"/>
        </w:rPr>
        <w:t xml:space="preserve"> a DUNGEONS &amp; DRAGONS-based digital game released during the third quarter 2023</w:t>
      </w:r>
      <w:r>
        <w:rPr>
          <w:rFonts w:ascii="Arial" w:cs="Arial" w:eastAsia="Arial" w:hAnsi="Arial"/>
          <w:sz w:val="18"/>
          <w:szCs w:val="18"/>
          <w:i w:val="1"/>
          <w:iCs w:val="1"/>
          <w:color w:val="auto"/>
        </w:rPr>
        <w:t>,</w:t>
      </w:r>
      <w:r>
        <w:rPr>
          <w:rFonts w:ascii="Arial" w:cs="Arial" w:eastAsia="Arial" w:hAnsi="Arial"/>
          <w:sz w:val="18"/>
          <w:szCs w:val="18"/>
          <w:color w:val="auto"/>
        </w:rPr>
        <w:t xml:space="preserve"> higher net revenues from D&amp;D Beyond, reflecting a full nine months of net revenues in 2023 compared to a partial period in 2022 as it was acquired by the Company during the second quarter, and to a lesser extent, higher net revenues from certain other digital gaming initiatives. In addition, higher digital licensing net revenues, and higher net revenues from MAGIC: THE GATHERING tabletop gaming products, most notably, </w:t>
      </w:r>
      <w:r>
        <w:rPr>
          <w:rFonts w:ascii="Arial" w:cs="Arial" w:eastAsia="Arial" w:hAnsi="Arial"/>
          <w:sz w:val="18"/>
          <w:szCs w:val="18"/>
          <w:i w:val="1"/>
          <w:iCs w:val="1"/>
          <w:color w:val="auto"/>
        </w:rPr>
        <w:t>The Lord of the Rings: Tales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Middle-earth </w:t>
      </w:r>
      <w:r>
        <w:rPr>
          <w:rFonts w:ascii="Arial" w:cs="Arial" w:eastAsia="Arial" w:hAnsi="Arial"/>
          <w:sz w:val="18"/>
          <w:szCs w:val="18"/>
          <w:color w:val="auto"/>
        </w:rPr>
        <w:t>card set released in June 2023, were partially offset by lower tabletop gaming sales in North America compared to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2022.</w:t>
      </w:r>
    </w:p>
    <w:p>
      <w:pPr>
        <w:spacing w:after="0" w:line="15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Wizards of the Coast and Digital Gaming segment operating profit was $422.5 million, or 38.6% of segment net revenues for the first nine months of 2023, compared to operating profit of $434.2 million, or 44.0% of segment net revenues for the first nine months of 2022. The operating profit decrease during the first nine months of 2023 was driven primarily by higher product costs including higher inventory obsolescence charges, higher royalty expenses attributable the </w:t>
      </w:r>
      <w:r>
        <w:rPr>
          <w:rFonts w:ascii="Arial" w:cs="Arial" w:eastAsia="Arial" w:hAnsi="Arial"/>
          <w:sz w:val="17"/>
          <w:szCs w:val="17"/>
          <w:i w:val="1"/>
          <w:iCs w:val="1"/>
          <w:color w:val="auto"/>
        </w:rPr>
        <w:t>Lord of the Rings: Tales of Middle-earth</w:t>
      </w:r>
      <w:r>
        <w:rPr>
          <w:rFonts w:ascii="Arial" w:cs="Arial" w:eastAsia="Arial" w:hAnsi="Arial"/>
          <w:sz w:val="17"/>
          <w:szCs w:val="17"/>
          <w:color w:val="auto"/>
        </w:rPr>
        <w:t xml:space="preserve"> release, higher product development costs as the Company continues to invest in Wizards of the Coast and Digital Gaming initiatives, as well as higher administrative expenses including costs to attract and retain talent and higher marketing and sales expenses in support of D&amp;D Beyond and the Wizards of the Coast </w:t>
      </w:r>
      <w:r>
        <w:rPr>
          <w:rFonts w:ascii="Arial" w:cs="Arial" w:eastAsia="Arial" w:hAnsi="Arial"/>
          <w:sz w:val="17"/>
          <w:szCs w:val="17"/>
          <w:i w:val="1"/>
          <w:iCs w:val="1"/>
          <w:color w:val="auto"/>
        </w:rPr>
        <w:t>MagicCon</w:t>
      </w:r>
      <w:r>
        <w:rPr>
          <w:rFonts w:ascii="Arial" w:cs="Arial" w:eastAsia="Arial" w:hAnsi="Arial"/>
          <w:sz w:val="17"/>
          <w:szCs w:val="17"/>
          <w:color w:val="auto"/>
        </w:rPr>
        <w:t xml:space="preserve"> event series. These impacts to operating profit were partially offset by a favorable mix of digital gaming products driven by </w:t>
      </w:r>
      <w:r>
        <w:rPr>
          <w:rFonts w:ascii="Arial" w:cs="Arial" w:eastAsia="Arial" w:hAnsi="Arial"/>
          <w:sz w:val="17"/>
          <w:szCs w:val="17"/>
          <w:i w:val="1"/>
          <w:iCs w:val="1"/>
          <w:color w:val="auto"/>
        </w:rPr>
        <w:t>Baldur's Gate 3</w:t>
      </w:r>
      <w:r>
        <w:rPr>
          <w:rFonts w:ascii="Arial" w:cs="Arial" w:eastAsia="Arial" w:hAnsi="Arial"/>
          <w:sz w:val="17"/>
          <w:szCs w:val="17"/>
          <w:color w:val="auto"/>
        </w:rPr>
        <w:t xml:space="preserve"> and certain other licensed digital gaming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auto"/>
        </w:rPr>
        <w:t>Entertainment Segment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Entertainment segment net revenues by category for the nine-month periods ended October 1, 2023 and September 25, 2022: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8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25,</w:t>
            </w:r>
          </w:p>
        </w:tc>
      </w:tr>
      <w:tr>
        <w:trPr>
          <w:trHeight w:val="243"/>
        </w:trPr>
        <w:tc>
          <w:tcPr>
            <w:tcW w:w="8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1, 2023</w:t>
            </w:r>
          </w:p>
        </w:tc>
        <w:tc>
          <w:tcPr>
            <w:tcW w:w="160" w:type="dxa"/>
            <w:vAlign w:val="bottom"/>
          </w:tcPr>
          <w:p>
            <w:pPr>
              <w:spacing w:after="0"/>
              <w:rPr>
                <w:sz w:val="21"/>
                <w:szCs w:val="21"/>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and Other</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624.3</w:t>
            </w:r>
          </w:p>
        </w:tc>
      </w:tr>
      <w:tr>
        <w:trPr>
          <w:trHeight w:val="21"/>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Entertainment segment net revenues for the nine months ended October 1, 2023 decreased 22% to $487.5 million from $624.3 million for the nine months ended September 25, 2022, and included the impact of an unfavorable $5.1 million foreign currency translation.</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segment net revenue decrease during the first nine months of 2023 was driven by lower scripted television content deliveries and lower film deliveries, due primarily to the impact of the writers' and actors' strikes mentioned above, which disrupted the number and timing of planned program productions and deliveries in 2023 compared to 2022. To a lesser extent, lower net revenues from unscripted programming contributed to the decrease due to the lower number of new deliveries during the first nine months of 2023 compared to 2022, reflecting overall industry contraction. To a lesser extent, the exit of certain non-core businesses during the fourth quarter of 2022 contributed to segment net revenue declines during the first nine months of 2023. These decreases were partially offset by higher net revenues from the Company's Family Brands business, due to the renewal of certain streaming content agreements during the first nine months of 2023 related to programs featuring the Company's brands.</w:t>
      </w:r>
    </w:p>
    <w:p>
      <w:pPr>
        <w:spacing w:after="0" w:line="6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Entertainment segment operating losses were $801.4 million, or greater than -100% of net revenues, for the nine months ended October 1, 2023, compared to operating losses of $2.4 million, or 0.4% of segment net revenues, for the nine months ended September 25, 2022. The Entertainment segment operating loss during the first nine months of 2023 was driven by a loss on assets held for sale of $473.0 million related to the sale of the non-core eOne Film and TV business, a non-cash goodwill impairment charge of $231.2 million and intangible asset impairment charges of $65.0 million, associated with the impairment review of the Company's Film and TV reporting unit. In addition, Entertainment segment operating losses were attributable to lower segment net revenues as previously discussed and higher program amortization costs due to production asset impairment charges recorded during the third quarter of 2023 associated with </w:t>
      </w:r>
      <w:r>
        <w:rPr>
          <w:rFonts w:ascii="Arial" w:cs="Arial" w:eastAsia="Arial" w:hAnsi="Arial"/>
          <w:sz w:val="16"/>
          <w:szCs w:val="16"/>
          <w:i w:val="1"/>
          <w:iCs w:val="1"/>
          <w:color w:val="auto"/>
        </w:rPr>
        <w:t>Dungeons &amp; Dragons: Honor Among Thieves.</w:t>
      </w:r>
      <w:r>
        <w:rPr>
          <w:rFonts w:ascii="Arial" w:cs="Arial" w:eastAsia="Arial" w:hAnsi="Arial"/>
          <w:sz w:val="16"/>
          <w:szCs w:val="16"/>
          <w:color w:val="auto"/>
        </w:rPr>
        <w:t xml:space="preserve"> These increases were partially offset by lower operating expenses as a result of the exit of certain non-core businesses during the fourth quarter of 2022 and lower royalty expenses within the Company's film and TV business due to the volume and mix of content delivered during the first nine months of 2023, compared to the first nine months of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w:t>
      </w:r>
    </w:p>
    <w:p>
      <w:pPr>
        <w:spacing w:after="0" w:line="6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Operating losses in Corporate and Other for the first nine months of 2023 were $22.8 million, compared to operating losses of $37.3 million for the first nine months of 2022. Improved operating results in the third quarter of 2023 reflect lower administrative expenses, including lower compensation costs associated with headcount reductions, partially offset by Operational Excellence program related consultant and transformation office expenses of $29.4 million and charges of $16.9 million associated with the non-core eOne Film and TV business sale process as well as higher marketing and sales costs compared to the third quarter of 2022. In the first nine months of 2022, Operating losses in Corporate and Other segment included severance and other employee charges associated with the Company's strategic review and expense associated with retention awards granted in connection with the eOne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OPERATING COSTS AND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2023</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costs and expenses, stated as percentages of net revenues, are illustrated below for the quarters ended October 1, 2023 and September 25,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42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rPr>
              <w:t>Quarter Ended</w:t>
            </w:r>
          </w:p>
        </w:tc>
      </w:tr>
      <w:tr>
        <w:trPr>
          <w:trHeight w:val="223"/>
        </w:trPr>
        <w:tc>
          <w:tcPr>
            <w:tcW w:w="7780" w:type="dxa"/>
            <w:vAlign w:val="bottom"/>
          </w:tcPr>
          <w:p>
            <w:pPr>
              <w:spacing w:after="0"/>
              <w:rPr>
                <w:sz w:val="19"/>
                <w:szCs w:val="19"/>
                <w:color w:val="auto"/>
              </w:rPr>
            </w:pPr>
          </w:p>
        </w:tc>
        <w:tc>
          <w:tcPr>
            <w:tcW w:w="1760" w:type="dxa"/>
            <w:vAlign w:val="bottom"/>
            <w:gridSpan w:val="2"/>
          </w:tcPr>
          <w:p>
            <w:pPr>
              <w:ind w:left="220"/>
              <w:spacing w:after="0"/>
              <w:rPr>
                <w:sz w:val="20"/>
                <w:szCs w:val="20"/>
                <w:color w:val="auto"/>
              </w:rPr>
            </w:pPr>
            <w:r>
              <w:rPr>
                <w:rFonts w:ascii="Arial" w:cs="Arial" w:eastAsia="Arial" w:hAnsi="Arial"/>
                <w:sz w:val="18"/>
                <w:szCs w:val="18"/>
                <w:b w:val="1"/>
                <w:bCs w:val="1"/>
                <w:color w:val="auto"/>
              </w:rPr>
              <w:t>October 1, 2023</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25, 2022</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Program cost amortization</w:t>
            </w:r>
          </w:p>
        </w:tc>
        <w:tc>
          <w:tcPr>
            <w:tcW w:w="166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66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1660" w:type="dxa"/>
            <w:vAlign w:val="bottom"/>
          </w:tcPr>
          <w:p>
            <w:pPr>
              <w:jc w:val="right"/>
              <w:spacing w:after="0"/>
              <w:rPr>
                <w:sz w:val="20"/>
                <w:szCs w:val="20"/>
                <w:color w:val="auto"/>
              </w:rPr>
            </w:pPr>
            <w:r>
              <w:rPr>
                <w:rFonts w:ascii="Arial" w:cs="Arial" w:eastAsia="Arial" w:hAnsi="Arial"/>
                <w:sz w:val="18"/>
                <w:szCs w:val="18"/>
                <w:color w:val="auto"/>
              </w:rPr>
              <w:t>23.4 %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21.8 %</w:t>
            </w:r>
          </w:p>
        </w:tc>
      </w:tr>
    </w:tbl>
    <w:p>
      <w:pPr>
        <w:spacing w:after="0" w:line="28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Cost of sales for the third quarter of 2023 was $494.5 million, or 32.9% of net revenues, compared to $586.6 million, or 35.0% of net revenues, for the third quarter of 2022. The cost of sales decrease in dollars was driven primarily by lower sales volumes and cost savings realized from the exit of certain non-core business within the Entertainment segment as well as cost savings from the Company's Operational Excellence Program. These decreases were partially offset by the impact of higher closeout sales as well as higher inventory costs during the third quarter of 2023 compared to the third quarter of 2022. As a percent of net revenues, the cost of sales decrease was primarily the result of the mix of net revenues, due to higher digital gaming revenues related to </w:t>
      </w:r>
      <w:r>
        <w:rPr>
          <w:rFonts w:ascii="Arial" w:cs="Arial" w:eastAsia="Arial" w:hAnsi="Arial"/>
          <w:sz w:val="16"/>
          <w:szCs w:val="16"/>
          <w:i w:val="1"/>
          <w:iCs w:val="1"/>
          <w:color w:val="auto"/>
        </w:rPr>
        <w:t>Baldur's Gate 3,</w:t>
      </w:r>
      <w:r>
        <w:rPr>
          <w:rFonts w:ascii="Arial" w:cs="Arial" w:eastAsia="Arial" w:hAnsi="Arial"/>
          <w:sz w:val="16"/>
          <w:szCs w:val="16"/>
          <w:color w:val="auto"/>
        </w:rPr>
        <w:t xml:space="preserve"> partially offset by higher inventory obsolescence charges during the third quarter of 2023 compared to the third quarter of 2022.</w:t>
      </w:r>
    </w:p>
    <w:p>
      <w:pPr>
        <w:spacing w:after="0" w:line="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Program cost amortization decreased to $68.4 million, or 4.5% of net revenues, for the third quarter of 2023 from $146.5 million, or 8.7% of net revenues, for the third quarter of 2022. Program costs are capitalized as incurred and amortized primarily using the individual-film-forecast method which matches costs to the related recognized revenue. The decrease in dollars and as a percent of net revenues during the third quarter of 2023 was driven by the impact of the writers' and actors' strikes discussed previously, which disrupted the number and timing of planned productions and led to reduced deliveries during the third quarter of 2023, compared to the third quarter of 2022.</w:t>
      </w:r>
    </w:p>
    <w:p>
      <w:pPr>
        <w:spacing w:after="0" w:line="8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Royalty expense for the third quarter of 2023 decreased to $106.9 million, or 7.1% of net revenues, compared to $135.1 million, or 8.1% of net revenues, for the third quarter of 2022. Fluctuations in royalty expense are generally related to the volume of content releases and deliveries and entertainment-driven products sold. The decrease in royalty expense in dollars and as a percent of net revenues during the third quarter of 2023 reflects lower sales of Partner Brands products, driven by the exit of certain license agreements in December 2022, partially offset by the impact of royalty rates associated with the release of the </w:t>
      </w:r>
      <w:r>
        <w:rPr>
          <w:rFonts w:ascii="Arial" w:cs="Arial" w:eastAsia="Arial" w:hAnsi="Arial"/>
          <w:sz w:val="17"/>
          <w:szCs w:val="17"/>
          <w:i w:val="1"/>
          <w:iCs w:val="1"/>
          <w:color w:val="auto"/>
        </w:rPr>
        <w:t>Lord of the Rings: Tales of Middle-earth</w:t>
      </w:r>
      <w:r>
        <w:rPr>
          <w:rFonts w:ascii="Arial" w:cs="Arial" w:eastAsia="Arial" w:hAnsi="Arial"/>
          <w:sz w:val="17"/>
          <w:szCs w:val="17"/>
          <w:color w:val="auto"/>
        </w:rPr>
        <w:t xml:space="preserve"> and </w:t>
      </w:r>
      <w:r>
        <w:rPr>
          <w:rFonts w:ascii="Arial" w:cs="Arial" w:eastAsia="Arial" w:hAnsi="Arial"/>
          <w:sz w:val="17"/>
          <w:szCs w:val="17"/>
          <w:i w:val="1"/>
          <w:iCs w:val="1"/>
          <w:color w:val="auto"/>
        </w:rPr>
        <w:t>Doctor Who</w:t>
      </w:r>
      <w:r>
        <w:rPr>
          <w:rFonts w:ascii="Arial" w:cs="Arial" w:eastAsia="Arial" w:hAnsi="Arial"/>
          <w:sz w:val="17"/>
          <w:szCs w:val="17"/>
          <w:color w:val="auto"/>
        </w:rPr>
        <w:t xml:space="preserve"> card sets.</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Product development expense for the third quarter of 2023 was $76.7 million, or 5.1% of net revenues, compared to $82.4 million, or 4.9% of net revenues, for the third quarter of 2022. The decrease in product development expense during the third quarter of 2023 was driven by reduced costs, most notably lower personnel costs within the Company's Consumer Products segment as a result of the focus on fewer, bigger, more profitable brands in alignment with the Company's consumer-centric Blueprint 2.0 strategy.</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Advertising expense for the third quarter of 2023 was $81.9 million, or 5.4% of net revenues, compared to $115.2 million, or 6.9% of net revenues, for the third quarter of 2022. Advertising spend is generally impacted by revenue mix and the number and type of entertainment releases delivered. The advertising expense decrease during the third quarter of 2023 was driven by lower advertising expenses within the Consumer Products segment, primarily due to lower revenues in 2023.</w:t>
      </w:r>
    </w:p>
    <w:p>
      <w:pPr>
        <w:spacing w:after="0" w:line="7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Amortization of intangible assets decreased to $19.2 million, or 1.3% of net revenues, for the third quarter of 2023, compared to $26.9 million, or 1.6% of net revenues, for the third quarter of 2022. The decrease in 2023 reflects the discontinuation of amortization expense associated with intangible assets classified as held for sale, lower expense due to the impairment of the Company's definite-lived intangible asset, eOne Trademark and lower expense due to the partial impairment of the Company's definite-lived POWER RANGERS intangible assets during the fourth quarter of 2022, as well as lower expense due to certain classic gaming properties becoming fully amortized during the first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45" w:name="page46"/>
    <w:bookmarkEnd w:id="45"/>
    <w:p>
      <w:pPr>
        <w:ind w:right="220"/>
        <w:spacing w:after="0" w:line="257" w:lineRule="auto"/>
        <w:rPr>
          <w:sz w:val="20"/>
          <w:szCs w:val="20"/>
          <w:color w:val="auto"/>
        </w:rPr>
      </w:pPr>
      <w:r>
        <w:rPr>
          <w:rFonts w:ascii="Arial" w:cs="Arial" w:eastAsia="Arial" w:hAnsi="Arial"/>
          <w:sz w:val="18"/>
          <w:szCs w:val="18"/>
          <w:color w:val="auto"/>
        </w:rPr>
        <w:t>The loss on assets held for sale in the third quarter of 2023 of $473.0 million, or 31.5% of net revenues, represents non-cash impairment charges and foreign currency translation losses reclassified from accumulated other comprehensive losses to current earnings, associated with the pending sale of the Company's non-core eOne Film and TV business within the Entertainment segment. The loss on assets held for sale in the third quarter of 2022 of $23.1 million, or 0.6% of net revenues, represents non-cash impairment charges associated with the exit of other non-core businesses within the Entertainment segment.</w:t>
      </w:r>
    </w:p>
    <w:p>
      <w:pPr>
        <w:spacing w:after="0" w:line="8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Selling, distribution and administration expenses decreased to $352.3 million, or 23.4% of net revenues for the third quarter of 2023, from $365.8 million, or 21.8% of net revenues, for the third quarter of 2022. The decrease in selling, distribution and administration expenses during the third quarter of 2023 primarily reflects lower administrative expenses due to savings realized from the Company's ongoing cost savings initiatives, lower costs for professional services and lower freight and warehousing expenses as a result of lower shipments during 2023, as well as lower severance and other employee charges compared to expenses recorded the third quarter of 2022 related to the Company's 2022 restructuring actions. These decreases to selling, distribution and administration expense were partially offset by charges of $16.9 million associated with the non-core eOne Film and TV business sale process, consultant and transformation office charges totaling $8.4 million associated with the Company's Operational Excellence program, as well as higher marketing and sales costs within the Wizards of the Coast and Digital Gaming segment and higher expense for bad debt recorded during the third quarter of 2023.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2023</w:t>
      </w:r>
    </w:p>
    <w:p>
      <w:pPr>
        <w:spacing w:after="0" w:line="11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Company's costs and expenses, stated as percentages of net revenues, are illustrated below for the nine-month periods ended October 1, 2023 and September 25,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4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7580" w:type="dxa"/>
            <w:vAlign w:val="bottom"/>
          </w:tcPr>
          <w:p>
            <w:pPr>
              <w:spacing w:after="0"/>
              <w:rPr>
                <w:sz w:val="19"/>
                <w:szCs w:val="19"/>
                <w:color w:val="auto"/>
              </w:rPr>
            </w:pPr>
          </w:p>
        </w:tc>
        <w:tc>
          <w:tcPr>
            <w:tcW w:w="1760" w:type="dxa"/>
            <w:vAlign w:val="bottom"/>
            <w:gridSpan w:val="2"/>
          </w:tcPr>
          <w:p>
            <w:pPr>
              <w:ind w:left="220"/>
              <w:spacing w:after="0"/>
              <w:rPr>
                <w:sz w:val="20"/>
                <w:szCs w:val="20"/>
                <w:color w:val="auto"/>
              </w:rPr>
            </w:pPr>
            <w:r>
              <w:rPr>
                <w:rFonts w:ascii="Arial" w:cs="Arial" w:eastAsia="Arial" w:hAnsi="Arial"/>
                <w:sz w:val="18"/>
                <w:szCs w:val="18"/>
                <w:b w:val="1"/>
                <w:bCs w:val="1"/>
                <w:color w:val="auto"/>
              </w:rPr>
              <w:t>October 1, 2023</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w w:val="93"/>
              </w:rPr>
              <w:t>September 25, 2022</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31.9 %</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Program cost amortization</w:t>
            </w:r>
          </w:p>
        </w:tc>
        <w:tc>
          <w:tcPr>
            <w:tcW w:w="166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66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Loss on assets held for sale</w:t>
            </w:r>
          </w:p>
        </w:tc>
        <w:tc>
          <w:tcPr>
            <w:tcW w:w="1660" w:type="dxa"/>
            <w:vAlign w:val="bottom"/>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23.9 %</w:t>
            </w:r>
          </w:p>
        </w:tc>
      </w:tr>
    </w:tbl>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Cost of sales for the nine months ended October 1, 2023 decreased to $1,132.0 million, or 30.5% of net revenues, from $1,331.2 million, or 31.9% of net revenues for the nine months ended September 25, 2022. The cost of sales decrease was driven primarily by lower sales volumes and lower product input costs, most notably within the Consumer Products segment as well as cost savings realized from the Company's Operational Excellence Program combined with the impact of the exit of certain non-core business. These decreases were partially offset by higher closeout sales during the first nine months of 2023 compared to the first nine months of 2022. As a percent of net revenues, the cost of sales decrease was primarily the result of the mix of net revenues, partially offset by higher inventory obsolescence charges during the third quarter of 2023 compared to the third quarter of 2022.</w:t>
      </w:r>
    </w:p>
    <w:p>
      <w:pPr>
        <w:spacing w:after="0" w:line="178"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 xml:space="preserve">Program cost amortization decreased in the first nine months of 2023 to $325.3 million, or 8.8% of net revenues, from $365.7 million, or 8.8% of net revenues, in the first nine months of 2022. The program cost amortization decrease during the first nine months of 2023 reflects the impact of the writers' and actors' strikes during 2023, which disrupted the number and timing of planned productions and led to reduced deliveries. This decrease was partially offset by production asset impairment charges of $25.0 million associated with </w:t>
      </w:r>
      <w:r>
        <w:rPr>
          <w:rFonts w:ascii="Arial" w:cs="Arial" w:eastAsia="Arial" w:hAnsi="Arial"/>
          <w:sz w:val="18"/>
          <w:szCs w:val="18"/>
          <w:i w:val="1"/>
          <w:iCs w:val="1"/>
          <w:color w:val="auto"/>
        </w:rPr>
        <w:t>Dungeons &amp; Dragons: Honor Among Thieves,</w:t>
      </w:r>
      <w:r>
        <w:rPr>
          <w:rFonts w:ascii="Arial" w:cs="Arial" w:eastAsia="Arial" w:hAnsi="Arial"/>
          <w:sz w:val="18"/>
          <w:szCs w:val="18"/>
          <w:color w:val="auto"/>
        </w:rPr>
        <w:t xml:space="preserve"> recorded during the second quarter of 2023.</w:t>
      </w:r>
    </w:p>
    <w:p>
      <w:pPr>
        <w:spacing w:after="0" w:line="84"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 xml:space="preserve">Royalty expense for the nine months ended October 1, 2023 was $295.8 million, or 8.0% of net revenues, compared to $335.3 million, or 8.0% of net revenues, for the nine months ended September 25, 2022. The decrease in royalty expense during the first nine months of 2023 reflects lower sales of Partner Brands products and the exit of certain license agreements in December 2022, partially offset by the impact of royalty rates associated with the 2023 card set releases, </w:t>
      </w:r>
      <w:r>
        <w:rPr>
          <w:rFonts w:ascii="Arial" w:cs="Arial" w:eastAsia="Arial" w:hAnsi="Arial"/>
          <w:sz w:val="18"/>
          <w:szCs w:val="18"/>
          <w:i w:val="1"/>
          <w:iCs w:val="1"/>
          <w:color w:val="auto"/>
        </w:rPr>
        <w:t>Lord of the Rings: Tales of Middle-earth</w:t>
      </w:r>
      <w:r>
        <w:rPr>
          <w:rFonts w:ascii="Arial" w:cs="Arial" w:eastAsia="Arial" w:hAnsi="Arial"/>
          <w:sz w:val="18"/>
          <w:szCs w:val="18"/>
          <w:color w:val="auto"/>
        </w:rPr>
        <w:t xml:space="preserve"> and </w:t>
      </w:r>
      <w:r>
        <w:rPr>
          <w:rFonts w:ascii="Arial" w:cs="Arial" w:eastAsia="Arial" w:hAnsi="Arial"/>
          <w:sz w:val="18"/>
          <w:szCs w:val="18"/>
          <w:i w:val="1"/>
          <w:iCs w:val="1"/>
          <w:color w:val="auto"/>
        </w:rPr>
        <w:t>Doctor Who</w:t>
      </w:r>
      <w:r>
        <w:rPr>
          <w:rFonts w:ascii="Arial" w:cs="Arial" w:eastAsia="Arial" w:hAnsi="Arial"/>
          <w:sz w:val="18"/>
          <w:szCs w:val="18"/>
          <w:color w:val="auto"/>
        </w:rPr>
        <w:t>.</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Product development expense for the nine months ended October 1, 2023 was $232.4 million, or 6.3% of net revenues, compared to $231.2 million, or 5.5% of net revenues, for the nine months ended September 25, 2022. Product development expense in the first nine months of 2023 was driven by continued investments and costs to support the Company's Wizards of the Coast tabletop and digital gaming initiatives, partially offset by lower personnel costs with the Consumer Products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46" w:name="page47"/>
    <w:bookmarkEnd w:id="46"/>
    <w:p>
      <w:pPr>
        <w:ind w:right="120"/>
        <w:spacing w:after="0" w:line="255" w:lineRule="auto"/>
        <w:rPr>
          <w:sz w:val="20"/>
          <w:szCs w:val="20"/>
          <w:color w:val="auto"/>
        </w:rPr>
      </w:pPr>
      <w:r>
        <w:rPr>
          <w:rFonts w:ascii="Arial" w:cs="Arial" w:eastAsia="Arial" w:hAnsi="Arial"/>
          <w:sz w:val="18"/>
          <w:szCs w:val="18"/>
          <w:color w:val="auto"/>
        </w:rPr>
        <w:t xml:space="preserve">Advertising expense for the nine months ended October 1, 2023 was $249.8 million, or 6.7% of net revenues, compared to $277.0 million, or 6.6% of net revenues, for the nine months ended September 25, 2022. The advertising expense decrease during the first nine months of 2023 was driven by lower expense within the Consumer Products segment, due to the volume and mix of product sales and timing of advertising expenditures during the first nine months of 2023, partially offset by higher expense within the Entertainment and Wizards of the Coast and Digital Gaming segments, in support of the theatrical release of </w:t>
      </w:r>
      <w:r>
        <w:rPr>
          <w:rFonts w:ascii="Arial" w:cs="Arial" w:eastAsia="Arial" w:hAnsi="Arial"/>
          <w:sz w:val="18"/>
          <w:szCs w:val="18"/>
          <w:i w:val="1"/>
          <w:iCs w:val="1"/>
          <w:color w:val="auto"/>
        </w:rPr>
        <w:t>Dungeons &amp; Dragons: Honor Among Thieves</w:t>
      </w:r>
      <w:r>
        <w:rPr>
          <w:rFonts w:ascii="Arial" w:cs="Arial" w:eastAsia="Arial" w:hAnsi="Arial"/>
          <w:sz w:val="18"/>
          <w:szCs w:val="18"/>
          <w:color w:val="auto"/>
        </w:rPr>
        <w:t xml:space="preserve"> and advertising costs associated with D&amp;D Beyond, acquired during the second quarter of 2022.</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was $65.1 million, or 1.8% of net revenues, for the nine months ended October 1, 2023 compared to $81.2 million, or</w:t>
      </w:r>
    </w:p>
    <w:p>
      <w:pPr>
        <w:spacing w:after="0" w:line="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1.9% of net revenues, in the first nine months of 2022. The decrease in 2023 reflects the discontinuation of amortization expense associated with intangible assets classified as held for sale, lower expense due to the impairment of the Company's definite-lived intangible asset, eOne Trademark, lower expense due to the partial impairment of the Company's definite-lived Power Rangers intangible assets during the fourth quarter of 2022, as well as lower expense due to certain classic gaming properties becoming fully amortized during the first quarter of 2023. These decreases were partially offset by additional expense associated with assets acquired through the D&amp;D Beyond Acquisition during the second quarter of 2022.</w:t>
      </w:r>
    </w:p>
    <w:p>
      <w:pPr>
        <w:spacing w:after="0" w:line="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Impairment of goodwill of $231.2 million, or 6.2% of net revenues for the first nine months of 2023 reflects non-cash goodwill impairment charges recorded during the second quarter, within the Entertainment segment, associated with the impairment review of the Company's Film and TV reporting unit. The loss on assets held for sale in the first nine months of 2022 of $23.1 million, or 0.6% of net revenues, represents non-cash impairment charges associated with the exit of certain non-core businesses within the Entertainment segment.</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loss on assets held for sale of $473.0 million, or 12.7% of net revenues, represents non-cash impairment charges and foreign currency translation losses reclassified from accumulated other comprehensive losses to current earnings, associated with the sale of the Company's non-core eOne Film and TV business within the Entertainment segment.</w:t>
      </w:r>
    </w:p>
    <w:p>
      <w:pPr>
        <w:spacing w:after="0" w:line="7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Selling, distribution and administration expenses were $1,050.0 million, or 28.3% of net revenues for the nine months ended October 1, 2023, compared to $1,000.1 million, or 23.9% of net revenues, for the nine months ended September 25, 2022. During the first nine months of 2023, selling, distribution and administration expenses included $65.0 million of intangible asset impairment charges related to the Company's definite-lived intangible eOne Trademark, consultant and transformation office charges totaling $29.4 million related to the Company's Operational Excellence program, and charges totaling $16.9 million incurred by the Company associated with the process to sell the eOne Film and TV business. In addition, higher marketing and sales costs, most notably within the Wizards of the Coast and Digital Gaming Segment in support of digital gaming and location based entertainment initiatives, were partially offset by lower compensation expense associated with workforce reductions, and lower freight and warehousing expenses during the first nine months of 2023.</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EXPENSE (INCOME)</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Interest expense for the third quarter and first nine months of 2023 totaled $47.1 million and $140.0 million, respectively, compared to $41.9 million and $125.2 million in the third quarter and first nine months of 2022, respectively. The increase in interest expense for the third quarter and first nine months of 2023 primarily reflects higher interest expense related to the Company's variable term loan facilities, due to higher interest rates in 2023 compared to 2022, and to a lesser extent, higher interest expense related to borrowings from the Company's production financing credit facilities.</w:t>
      </w:r>
    </w:p>
    <w:p>
      <w:pPr>
        <w:spacing w:after="0" w:line="63"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Interest income was $3.8 million and $15.6 million for the third quarter and first nine months of 2023, respectively, compared to $3.2 million and $8.0 million in the third quarter and first nine months of 2022, respectively. Higher interest income in 2023 primarily reflects higher average interest rates in 2023 compared to 2022.</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Other expense (income), net was $2.2 million and $(0.7) million for the third quarter and first nine months of 2023, respectively, compared to other income, net of $10.0 million and $9.5 million in the third quarter and first nine months of 2022, respectively. The decrease in other income during 2023 was driven primarily by foreign currency exchange losses in 2023 compared to foreign currency exchange gains in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Income tax benefit totaled $44.6 million on pre-tax loss of $215.0 million in the third quarter of 2023 compared to income tax expense of $37.4 million 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pre-tax income of $165.6 million in the third quarter of 2022. For the nine month period, the income tax benefit totaled $36.9 million on pre-tax loss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$463.9 million compared to an income tax expense of $94.1 million on pre-tax income of $425.7 million in 2022. Both periods were impacted by discrete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events including the accrual of potential interest and penalties on uncertain tax positions. The nine month period in 2023 includes an impairment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goodwill in the Film and TV reporting unit of $231.2 million, recorded during the second quarter, with no tax benefit. During the first nine months of 2023,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favorable discrete tax adjustments exclusive of the goodwill impairment of a net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7" w:name="page48"/>
    <w:bookmarkEnd w:id="47"/>
    <w:p>
      <w:pPr>
        <w:spacing w:after="0" w:line="271" w:lineRule="auto"/>
        <w:rPr>
          <w:sz w:val="20"/>
          <w:szCs w:val="20"/>
          <w:color w:val="auto"/>
        </w:rPr>
      </w:pPr>
      <w:r>
        <w:rPr>
          <w:rFonts w:ascii="Arial" w:cs="Arial" w:eastAsia="Arial" w:hAnsi="Arial"/>
          <w:sz w:val="17"/>
          <w:szCs w:val="17"/>
          <w:color w:val="auto"/>
        </w:rPr>
        <w:t>of $113.3 million compared to a net benefit of $6.7 million in the first nine months of 2022. The favorable discrete tax adjustments for the first nine months of 2023 are primarily associated with tax benefits on the impairment of trade names in our Film and TV reporting unit, recorded in the second quarter, and the loss on assets held for sale of $473.0 million, recorded in the third quarter. The favorable discrete tax adjustments for the first nine months of 2022 were primarily associated with (i) the release of certain valuation allowances during the first quarter; (ii) the decrease to our liability for uncertain tax positions that resulted from statutes of limitations expiring in certain jurisdictions; and (iii) a benefit on the loss on assets held for sale in the third quarter. Absent discrete items, the tax rates for the first nine months of 2023 and 2022 were 25.0% and 22.3% respectively. The increase in the base rate of 25.0% for the first nine months of 2023 is primarily due to the mix of jurisdictions where the Company earned its profits combined with phasing of when the Company will earn its income throughout the year in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Seasonality and Shipments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Within the retail sector, the Company’s revenue pattern from toys and games and licensed consumer products continues to indicate the second half of the year to be more significant to its overall business for the full year. The Company expects that this concentration will continue. The concentration of sales in the second half of the year increases the risk of (a) underproduction of popular items, (b) overproduction of less popular items, and (c) failure to achieve tight and compressed shipping schedules.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business of the Company is characterized by customer order patterns which vary from year to year largely because of differences in the degree of consumer acceptance of a product line, product availability, marketing strategies, inventory levels, policies of retailers and differences in overall economic conditions. Larger retailers generally maintain lower inventories throughout the year and purchase a greater percentage of product within or close to the fourth quarter holiday consumer buying season, which includes Christmas.</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Quick response inventory management practices being used by retailers, along with growth in ecommerce result in the increasing trend of order placement for immediate delivery and fewer orders being placed well in advance of shipment. Retailers prefer timing their orders for fulfillment by suppliers closer to the time of purchase by consumers. To the extent that retailers do not sell as much of their year-end inventory purchases during the holiday selling season as they anticipate, their demand for additional product earlier in the following fiscal year could be curtailed, thus negatively impacting the Company’s future revenues. In 2022, the Company's inventory levels and retailer order patterns reflected the impact of global consumer demand as it began to outpace the capacity of the global supply chain infrastructure. Supply chain constraints, including overcrowding of cargo ports and shipping container and truck transportation shortages led to higher costs for ocean, air and over the road freight and delays in the availability of products, due to extended inventory transit times. These and other disruptions continued to some extent into the second half of 2022. In response to these disruptions, the Company accelerated certain inventory purchases during the first half of 2022, to ensure sufficient finished goods and raw material availability ahead of expected periods of high consumer demand. However, during the second half of 2022, the effects of supply chain disruptions began to subside, most notably the U.S, and Europe, leading to higher inventory levels heading into fiscal 2023, as compared to prior years. The Company has continued to closely manage its inventory levels through closeout sales and by monitoring consumer purchase patterns, resulting in lower inventory balances as of the third quarter of 2023, compared to the third quarter of 2022, while ensuring adequate supply of new product despite clearing excess supply to mitigate the risk of inventory obsolescence.</w:t>
      </w:r>
    </w:p>
    <w:p>
      <w:pPr>
        <w:spacing w:after="0" w:line="6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Unlike the Company's retail sales patterns, revenue patterns from the Company's entertainment businesses fluctuate based on the timing and popularity of television, film, streaming and digital content releases. Release dates are determined by factors including the timing of holiday periods, geographical release dates and competition in the market.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Russian Sanctions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a result of the military conflict in Ukraine, which has led to sanctions and other penalties being levied by the United States, European Union and other countries against Russia, the Company paused all shipments and new content distribution into Russia. The impact to the Company’s operating results includes a loss of both revenue and operating profit, neither of which are material to our total revenue or operating profit. As of December 25, 2022, the Company had exhausted all locally held inventories, recovered all receivables and released all reserves in Russia. Any longstanding disruptions may magnify the impact of other risks described in this Quarterly Report on Form 10-Q and in the Company's Annual Report on Form 10-K for the year ended December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auto"/>
        </w:rPr>
        <w:t>Accounting Pronouncement Updates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October 1, 2023, there were no recently adopted accounting standards that had a material effect on the Company’s financial statements. The Company's significant accounting policies are summarized in note 1 to the consolidated financial statements included in the Company's Annual Report on Form 10-K for the year ended December 25,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11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As of October 1, 2023, there were no recently issued accounting pronouncements that are expected to have a material impact on the Company's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The Company has historically generated a significant amount of cash from operations. In the first nine months of 2023 and 2022, the Company primarily funded its operations and liquidity needs through cash on hand and from cash flows from operations, and when needed, borrowings under its commercial paper program and available lines of credit. In addition, the Company’s Entertainment operating segment used production financing to fund certain of its television and film productions which are typically arranged on an individual production basis by using either the Company's revolving film and television production credit facility or through special purpose production subsidiaries. For more information on the Company's production financing facilities, including expected future repayments, see note 7 to the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Form 10-Q.</w:t>
      </w:r>
    </w:p>
    <w:p>
      <w:pPr>
        <w:spacing w:after="0" w:line="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remainder of 2023, the Company expects to continue to fund its working capital needs primarily through available cash, cash flows from operations and from production financing facilities and, if needed, by issuing commercial paper or borrowing under its revolving credit agreement. In the event that the Company is not able to issue commercial paper, the Company intends to utilize its available lines of credit. The Company believes that the funds available to it, including cash expected to be generated from operations, funds available through its commercial paper program or its available lines of credit and production financing, are adequate to meet its working capital needs for the remainder of 2023, including the repayment of the current portion of long-term debt of $60.0 million, as shown on the consolidated balance sheets which represents the current portion of required quarterly principal amortization payments for our term loan facilities and other production financing facilities, each as described below. The Company may also issue debt or equity securities from time to time, to provide additional sources of liquidity when pursuing opportunities to enhance our long-term competitive position, while maintaining a strong balance sheet. However, unexpected events or circumstances such as material operating losses or increased capital or other expenditures, or the inability to otherwise access the commercial paper market, may reduce or eliminate the availability of external financial resources. In addition, significant disruptions to credit markets may also reduce or eliminate the availability of external financial resources. Although the Company believes the risk of nonperformance by the counterparties to its financial facilities is not significant, in times of severe economic downturn in the credit markets, it is possible that one or more sources of external financing may be unable or unwilling to provide funding to the Company.</w:t>
      </w:r>
    </w:p>
    <w:p>
      <w:pPr>
        <w:spacing w:after="0" w:line="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October 1, 2023, the Company's cash and cash equivalents totaled $185.5 million, of which $1.1 million is restricted under the Company’s production financing facilities. In connection with the planned sale of the Company's Film and TV business, as of October 1, 2023, $70.4 million of cash and cash equivalents attributable to non-core entertainment businesses were reclassified to assets held for sale on the Company's consolidated balance sheets included in Part I of this Form 10-Q. Of the reclassified amount, $4.1 million is restricted under the Company’s production financing facilities. The net cash attributable to the non-core entertainment business will be paid for by Lionsgate under the agreement between the Company and Lionsgate dated August 3, 2023 as part of the purchase price adjustment for net debt.</w:t>
      </w:r>
    </w:p>
    <w:p>
      <w:pPr>
        <w:spacing w:after="0" w:line="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Prior to 2017, deferred income taxes had not been provided on the majority of undistributed earnings of international subsidiaries as such earnings were indefinitely reinvested by the Company. Accordingly, such international cash balances were not available to fund cash requirements in the United States unless the Company was to change its reinvestment policy. The Company has maintained sufficient sources of cash in the United States to fund cash requirements without the need to repatriate any funds. The Tax Cuts and Jobs Act of 2017 ("the Tax Act") provided significant changes to the U.S. tax system including the elimination of the ability to defer U.S. income tax on unrepatriated earnings by imposing a one-time mandatory deemed repatriation tax on undistributed foreign earnings. As of October 1, 2023, the Company had a total liability of $103.3 million related to this tax, $45.9 million is reflected in current liabilities while the remaining long-term payable related to the Tax Act of $57.4 million is presented within other liabilities, non-current, on the consolidated balance sheets included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of this Form 10-Q. As permitted by the Tax Act, the Company will pay the transition tax in annual interest-free installments through 2025. As a result, in the future, the related earnings in foreign jurisdictions will be made available with greater investment flexibility. The majority of the Company’s cash and cash equivalents held outside of the United States as of October 1, 2023, are denominated in the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49" w:name="page50"/>
    <w:bookmarkEnd w:id="49"/>
    <w:p>
      <w:pPr>
        <w:ind w:right="220"/>
        <w:spacing w:after="0" w:line="257" w:lineRule="auto"/>
        <w:rPr>
          <w:sz w:val="20"/>
          <w:szCs w:val="20"/>
          <w:color w:val="auto"/>
        </w:rPr>
      </w:pPr>
      <w:r>
        <w:rPr>
          <w:rFonts w:ascii="Arial" w:cs="Arial" w:eastAsia="Arial" w:hAnsi="Arial"/>
          <w:sz w:val="18"/>
          <w:szCs w:val="18"/>
          <w:color w:val="auto"/>
        </w:rPr>
        <w:t>Due to the seasonality in the Company's cash flow, management believes that on an interim basis, rather than discussing only its cash flows, a better understanding of its liquidity and capital resources can be obtained through a discussion of the various balance sheet categories. Also, as several of the major categories, including cash and cash equivalents, accounts receivable, inventories and short-term borrowings, fluctuate significantly from quarter to quarter, due to the seasonality of its business, management believes that a comparison to the comparable period in the prior year is generally more meaningful than a comparison to the prior year-end.</w:t>
      </w:r>
    </w:p>
    <w:p>
      <w:pPr>
        <w:spacing w:after="0" w:line="13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below outlines key financial information (in millions of dollars) pertaining to our consolidated balance sheets including the period-over-period changes.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September 25,</w:t>
            </w:r>
          </w:p>
        </w:tc>
        <w:tc>
          <w:tcPr>
            <w:tcW w:w="10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34"/>
        </w:trPr>
        <w:tc>
          <w:tcPr>
            <w:tcW w:w="632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8"/>
                <w:szCs w:val="18"/>
                <w:b w:val="1"/>
                <w:bCs w:val="1"/>
                <w:color w:val="auto"/>
              </w:rPr>
              <w:t>October 1, 2023 *</w:t>
            </w: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8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(including restricted cash of $1.1 and $6.1)</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1,188.8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658.8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2,097.0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bl>
    <w:p>
      <w:pPr>
        <w:spacing w:after="0" w:line="188" w:lineRule="exact"/>
        <w:rPr>
          <w:sz w:val="20"/>
          <w:szCs w:val="20"/>
          <w:color w:val="auto"/>
        </w:rPr>
      </w:pPr>
    </w:p>
    <w:p>
      <w:pPr>
        <w:jc w:val="both"/>
        <w:ind w:right="160"/>
        <w:spacing w:after="0" w:line="230" w:lineRule="auto"/>
        <w:rPr>
          <w:sz w:val="20"/>
          <w:szCs w:val="20"/>
          <w:color w:val="auto"/>
        </w:rPr>
      </w:pPr>
      <w:r>
        <w:rPr>
          <w:rFonts w:ascii="Arial" w:cs="Arial" w:eastAsia="Arial" w:hAnsi="Arial"/>
          <w:sz w:val="13"/>
          <w:szCs w:val="13"/>
          <w:i w:val="1"/>
          <w:iCs w:val="1"/>
          <w:color w:val="auto"/>
        </w:rPr>
        <w:t>*During the third quarter of 2023, the Company reached a definitive agreement to sell its non-core eOne Film and TV business to Lionsgate. Accordingly, the Company reclassified the related assets and liabilities within Assets Held for Sale and Liabilities Held for Sale, respectively, on the Consolidated Balance Sheets as of October 1, 2023. For additional information on assets and liabilities held for sale, see note 15 to the consolidated financial statements included in Part I, Item 1. Financial Statements, of this Form 10-Q.</w:t>
      </w:r>
    </w:p>
    <w:p>
      <w:pPr>
        <w:spacing w:after="0" w:line="178"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Accounts receivable decreased 7% to $1,102.0 million as of October 1, 2023, compared to $1,188.8 million as of September 25, 2022. The decrease in accounts receivable was driven primarily by the reclassification of $85.2 million of account receivable balances to assets held for sale during the third quarter of 2023. Absent the impact of this reclassification, Account receivable balances were consistent with the third quarter of 2022. Days sales outstanding increased from 65 days as of September 25, 2022 to 67 days as of October 1, 2023.</w:t>
      </w:r>
    </w:p>
    <w:p>
      <w:pPr>
        <w:spacing w:after="0" w:line="13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Inventories decreased 27% to $617.7 million as of October 1, 2023, compared to $844.5 million as of September 25, 2022. The decrease during the first nine months of 2023 was driven primarily by lower inventory balances within the Consumer Products segment reflecting both reduced in transit times due to supply chain management improvements compared to 2022, and efforts to reduce retail inventory levels, most notably in North America and Europe. In addition, $2.7 million of inventory balances were reclassified to assets held for sale during the third quarter of 2023. These decreases were partially offset by higher inventory balances within the Wizards of the Coast and Digital Gaming segment.</w:t>
      </w:r>
    </w:p>
    <w:p>
      <w:pPr>
        <w:spacing w:after="0" w:line="13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Prepaid expenses and other current assets decreased 57% to $286.2 million as of October 1, 2023, from $658.8 million as of September 25, 2022. The decrease was driven primarily by the reclassification of $402.6 million of prepaid expense and other current asset balances to assets to assets held for sale during the third quarter of 2023. Absent the impact of this reclassification, Prepaid expenses and other current assets remained consistent with the first nine months of 2022, reflecting higher accrued income balances due to higher accrued royalty and licensing balances, primarily attributable to the Company's Entertainment business and higher prepaid royalty balances, primarily associated with the timing of payments made within the Company's Consumer Products business. These increases were offset by lower unrealized gains on foreign exchange contracts during the first nine months of 2023.</w:t>
      </w:r>
    </w:p>
    <w:p>
      <w:pPr>
        <w:spacing w:after="0" w:line="1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Other assets decreased 48% to $731.6 million as of October 1, 2023, from $1,404.3 million as of September 25, 2022. The decrease was primarily driven by the reclassification of $891.5 million of other assets balances to assets held for sale during the third quarter of 2023. Absent the impact of this reclassification, Other assets remained consistent with the first nine months of 2022 and reflect higher deferred tax balances related to the capitalization of research and experimentation costs and the recognition of deferred tax assets associated with the partial impairment of the Company's definite-lived Power Rangers intangible asset. These increases were offset by a lower balance for the Company's investment in Discovery Family Channel due to distributions received during the fourth quarter of 2022 and the first nine months of 2023.</w:t>
      </w:r>
    </w:p>
    <w:p>
      <w:pPr>
        <w:spacing w:after="0" w:line="15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Accounts payable and accrued liabilities decreased 35% to $1,356.8 million as of October 1, 2023, from $2,097.0 million as of September 25, 2022, driven by the reclassification of $404.4 million of accounts payable and accrued liability balances to liabilities held for sale during the third quarter of 2023. Absent the impact of this reclassification, the decrease to Accounts payable and accrued liabilities was driven by lower accounts payable balances associated with the Company's global cost savings initiatives and the timing of payments, lower accrued royalty balances as a result of sales declines of the Company's partner brands reflecting the expiration of certain partner brand licensing agreements, lower accrued income tax balances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0" w:name="page51"/>
    <w:bookmarkEnd w:id="50"/>
    <w:p>
      <w:pPr>
        <w:jc w:val="both"/>
        <w:ind w:right="80"/>
        <w:spacing w:after="0" w:line="263" w:lineRule="auto"/>
        <w:rPr>
          <w:sz w:val="20"/>
          <w:szCs w:val="20"/>
          <w:color w:val="auto"/>
        </w:rPr>
      </w:pPr>
      <w:r>
        <w:rPr>
          <w:rFonts w:ascii="Arial" w:cs="Arial" w:eastAsia="Arial" w:hAnsi="Arial"/>
          <w:sz w:val="18"/>
          <w:szCs w:val="18"/>
          <w:color w:val="auto"/>
        </w:rPr>
        <w:t>well as lower accrued advertising and incentive bonus accrual balances. These decreases were partially offset by higher severance accrual balances related to the Company's cost savings initiatives mentioned above and a higher short-term transition tax liability balance reflecting the increase to the Company's 2023 installment payment due April 2024.</w:t>
      </w:r>
    </w:p>
    <w:p>
      <w:pPr>
        <w:spacing w:after="0" w:line="1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Other liabilities decreased 20% to $438.2 million as of October 1, 2023, from $545.1 million as of September 25, 2022. The decrease was primarily driven by the reclassification of $52.1 million of other liability balances to liabilities held for sale during the third quarter of 2023. Absent this reclassification, the decrease in Other liabilities was driven by a lower transition tax liability balance reflecting the reclassification of the 2023 installment payment due April 2024, lower long-term pension liability balances and lower long-term deferred tax balances reflecting the amortization of deferred tax liabilities. These decreases were partially offset by a higher long-term lease liability balance attributable to a lease entered during the first nine months of 2023 in support of the Wizards of the Coast and Digital Gaming segment.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summarizes the changes in the Consolidated Statement of Cash Flows, expressed in millions of dollars, for the nine-month periods ended October 1, 2023 and September 25,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23"/>
        </w:trPr>
        <w:tc>
          <w:tcPr>
            <w:tcW w:w="7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60" w:type="dxa"/>
            <w:vAlign w:val="bottom"/>
            <w:gridSpan w:val="4"/>
          </w:tcPr>
          <w:p>
            <w:pPr>
              <w:ind w:left="120"/>
              <w:spacing w:after="0"/>
              <w:rPr>
                <w:sz w:val="20"/>
                <w:szCs w:val="20"/>
                <w:color w:val="auto"/>
              </w:rPr>
            </w:pPr>
            <w:r>
              <w:rPr>
                <w:rFonts w:ascii="Arial" w:cs="Arial" w:eastAsia="Arial" w:hAnsi="Arial"/>
                <w:sz w:val="18"/>
                <w:szCs w:val="18"/>
                <w:b w:val="1"/>
                <w:bCs w:val="1"/>
                <w:color w:val="auto"/>
                <w:w w:val="93"/>
              </w:rPr>
              <w:t>October 1, 2023  September 25, 2022</w:t>
            </w:r>
          </w:p>
        </w:tc>
      </w:tr>
      <w:tr>
        <w:trPr>
          <w:trHeight w:val="20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(utilized for):</w:t>
            </w: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790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ind w:left="710"/>
              <w:spacing w:after="0"/>
              <w:rPr>
                <w:sz w:val="20"/>
                <w:szCs w:val="20"/>
                <w:color w:val="auto"/>
              </w:rPr>
            </w:pPr>
            <w:r>
              <w:rPr>
                <w:rFonts w:ascii="Arial" w:cs="Arial" w:eastAsia="Arial" w:hAnsi="Arial"/>
                <w:sz w:val="18"/>
                <w:szCs w:val="18"/>
                <w:color w:val="auto"/>
                <w:w w:val="88"/>
              </w:rPr>
              <w:t>334.9</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370"/>
              <w:spacing w:after="0"/>
              <w:rPr>
                <w:sz w:val="20"/>
                <w:szCs w:val="20"/>
                <w:color w:val="auto"/>
              </w:rPr>
            </w:pPr>
            <w:r>
              <w:rPr>
                <w:rFonts w:ascii="Arial" w:cs="Arial" w:eastAsia="Arial" w:hAnsi="Arial"/>
                <w:sz w:val="18"/>
                <w:szCs w:val="18"/>
                <w:color w:val="auto"/>
                <w:w w:val="88"/>
              </w:rPr>
              <w:t>262.2</w:t>
            </w:r>
          </w:p>
        </w:tc>
      </w:tr>
      <w:tr>
        <w:trPr>
          <w:trHeight w:val="229"/>
        </w:trPr>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4"/>
              </w:rPr>
              <w:t>(162.6)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4"/>
              </w:rPr>
              <w:t>(265.8)</w:t>
            </w:r>
          </w:p>
        </w:tc>
      </w:tr>
      <w:tr>
        <w:trPr>
          <w:trHeight w:val="230"/>
        </w:trPr>
        <w:tc>
          <w:tcPr>
            <w:tcW w:w="790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0"/>
                <w:szCs w:val="20"/>
                <w:color w:val="auto"/>
              </w:rPr>
            </w:pPr>
          </w:p>
        </w:tc>
        <w:tc>
          <w:tcPr>
            <w:tcW w:w="1360" w:type="dxa"/>
            <w:vAlign w:val="bottom"/>
          </w:tcPr>
          <w:p>
            <w:pPr>
              <w:jc w:val="center"/>
              <w:ind w:left="690"/>
              <w:spacing w:after="0"/>
              <w:rPr>
                <w:sz w:val="20"/>
                <w:szCs w:val="20"/>
                <w:color w:val="auto"/>
              </w:rPr>
            </w:pPr>
            <w:r>
              <w:rPr>
                <w:rFonts w:ascii="Arial" w:cs="Arial" w:eastAsia="Arial" w:hAnsi="Arial"/>
                <w:sz w:val="18"/>
                <w:szCs w:val="18"/>
                <w:color w:val="auto"/>
                <w:w w:val="94"/>
              </w:rPr>
              <w:t>(418.0)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center"/>
              <w:ind w:left="350"/>
              <w:spacing w:after="0"/>
              <w:rPr>
                <w:sz w:val="20"/>
                <w:szCs w:val="20"/>
                <w:color w:val="auto"/>
              </w:rPr>
            </w:pPr>
            <w:r>
              <w:rPr>
                <w:rFonts w:ascii="Arial" w:cs="Arial" w:eastAsia="Arial" w:hAnsi="Arial"/>
                <w:sz w:val="18"/>
                <w:szCs w:val="18"/>
                <w:color w:val="auto"/>
                <w:w w:val="94"/>
              </w:rPr>
              <w:t>(443.0)</w:t>
            </w:r>
          </w:p>
        </w:tc>
      </w:tr>
    </w:tbl>
    <w:p>
      <w:pPr>
        <w:spacing w:after="0" w:line="241"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Net cash provided by operating activities in the first nine months of 2023 was $334.9 million compared to $262.2 million in the first nine months of 2022. The $72.7 million increase in net cash provided by operating activities after adjusting for non-cash items, was primarily attributable to lower investments in entertainment content and production during the first nine months of 2023.</w:t>
      </w:r>
    </w:p>
    <w:p>
      <w:pPr>
        <w:spacing w:after="0" w:line="14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Net cash utilized for investing activities was $162.6 million in the first nine months of 2023 compared to net cash utilized for investing activities of $265.8 million in the first nine months of 2022. Additions to property, plant and equipment were $160.4 million in the first nine months of 2023 compared to $130.7 million in the first nine months of 2022, reflecting increased investments in the Company's digital gaming initiatives as well as right of use asset additions and leasehold improvements within the Wizards of the Coast and Digital Gaming segment. In 2022, net cash utilized for investing activities reflects a cash payment of $146.3 million made during the second quarter, related to the D&amp;D Beyond Acquisition.</w:t>
      </w:r>
    </w:p>
    <w:p>
      <w:pPr>
        <w:spacing w:after="0" w:line="14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Net cash utilized for financing activities was $418.0 million in the first nine months of 2023 compared to $443.0 million in the first nine months of 2022. Financing activities in the first nine months of 2023 include $60.0 million of principal amortization payments toward the Five-Year Tranche loan described below, as well as drawdowns of $117.9 million and repayments of $162.0 million, related to production financing loans. Financing activities in the first nine months of 2022 include payments totaling $72.5 million toward the Five-Year Tranche loan consisting of $50.0 million principal and a quarterly principal amortization payment of $22.5 million, in addition to drawdowns of $204.5 million and repayments of $189.2 million, related to production financing loans, as well as cash payments of $125.0 million to repurchases the Company's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in the first nine months of 2023 totaled $290.9 million, compared to $288.6 million in the first nine months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commits to inventory production, advertising and marketing expenditures in support of its consumer products business, prior to the peak fourth quarter retail selling season. Accounts receivable typically increase during the third and fourth quarters as customers increase their purchases to meet expected consumer demand in the holiday selling season. Due to the concentrated timeframe of this selling period, payments for these accounts receivable are generally not due until the fourth quarter or early in the first quarter of the subsequent year. This timing difference between expenditures and cash collections on accounts receivable sometimes makes it necessary for the Company to borrow amounts during the latter part of the year. In the Company's entertainment business, cash expenditures for productions are often made well in advance of sale and delivery of the content produced whereas trading card and digital gaming revenues have shorter collection periods, but product development expense often occurs years prior to release and revenue generation. During the first nine months of 2023 and 2022, the Company primarily used cash from operations and, to a lesser extent, borrowings under its commercial program in addition to borrowings under its available lines of credit, in particular production financing vehicles, to fund its working capital.</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 billion.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 rates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During the second quarter of 2023, to meet certain of its short-term liquidity needs, the Company issued commercial paper notes under the Program, all of which were repaid by the Company prior to the close of the second quarter. As of October 1, 2023, the Company had no outstanding borrowings related to the Program.</w:t>
      </w:r>
    </w:p>
    <w:p>
      <w:pPr>
        <w:spacing w:after="0" w:line="6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During September 2023, the Company entered into a third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$1.25 billion, effective as of September 5, 2023.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was extended through September 5, 2028. Prior to the September 2023 amendment, the Amended Revolving Credit Agreement provided for a $1.5 billion revolving credit facility. The Company was in compliance with all covenants as of October 1, 2023. The Company had no borrowings outstanding under its committed revolving credit facility as of October 1, 2023. However, letters of credit outstanding under this facility as of October 1, 2023 were approximately $4.0 million. Amounts available and unused under the committed line, at October 1, 2023 were approximately $1.25 billion, inclusive of borrowings under the Company’s commercial paper program. The Company also has other uncommitted lines from various banks, of which approximately $9.3 million was utilized as of October 1, 2023. Of the amount utilized under, or supported by, the uncommitted lines, the full $9.3 million represented letters of credit.</w:t>
      </w:r>
    </w:p>
    <w:p>
      <w:pPr>
        <w:spacing w:after="0" w:line="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On December 30, 2019, the Company completed the acquisition of eOne and on that date, borrowed the full amount of $1.0 billion under the Term Loan Facilities. As of October 1, 2023, the Company has fully repaid the Three-Year Tranche $400.0 million principal term loan, and of the Five-Year Tranche $600.0 million principal balance, the Company has repaid a total of $350.0 million in the following increments: $22.5 million in 2020; $180.0 million in 2021; $87.5 million in 2022; and, $60.0 million during the first nine months of 2023. The Company is subject to certain financial covenants contained in this agreement and as of October 1, 2023, the Company was in compliance with these covenants. The terms of the Term Loan Facilities are described in note 7 to the consolidated financial statements included in Part I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2" w:name="page53"/>
    <w:bookmarkEnd w:id="52"/>
    <w:p>
      <w:pPr>
        <w:ind w:right="40"/>
        <w:spacing w:after="0" w:line="254" w:lineRule="auto"/>
        <w:rPr>
          <w:sz w:val="20"/>
          <w:szCs w:val="20"/>
          <w:color w:val="auto"/>
        </w:rPr>
      </w:pPr>
      <w:r>
        <w:rPr>
          <w:rFonts w:ascii="Arial" w:cs="Arial" w:eastAsia="Arial" w:hAnsi="Arial"/>
          <w:sz w:val="18"/>
          <w:szCs w:val="18"/>
          <w:color w:val="auto"/>
        </w:rPr>
        <w:t xml:space="preserve">During November 2019, in conjunction with the Company's acquisition of eOne, the Company issued an aggregate of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 Notes") that bear interest at a fixed rate of 3.90%. During the third quarter of 2021 </w:t>
      </w:r>
      <w:r>
        <w:rPr>
          <w:rFonts w:ascii="Arial" w:cs="Arial" w:eastAsia="Arial" w:hAnsi="Arial"/>
          <w:sz w:val="18"/>
          <w:szCs w:val="18"/>
          <w:color w:val="212529"/>
        </w:rPr>
        <w:t>the Company repaid in full, its 2022 Notes in the aggregate principal amount of $300.0 million, including</w:t>
      </w:r>
      <w:r>
        <w:rPr>
          <w:rFonts w:ascii="Arial" w:cs="Arial" w:eastAsia="Arial" w:hAnsi="Arial"/>
          <w:sz w:val="18"/>
          <w:szCs w:val="18"/>
          <w:color w:val="auto"/>
        </w:rPr>
        <w:t xml:space="preserve"> early redemption premiums and accrued interest of $10.8 million. The terms of the Notes are described in note 7 to the consolidated financial statements in Part I of this Form 10-Q.</w:t>
      </w:r>
    </w:p>
    <w:p>
      <w:pPr>
        <w:spacing w:after="0" w:line="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uses production financing facilities to fund its film and television productions which are arranged on an individual production basis by either special purpose production subsidiaries, each secured by the assets and future revenues of such production subsidiaries, which are non-recourse to the Company's assets, or through a senior revolving credit facility obtained in November 2021, dedicated to production financing. The Company's senior revolving film and television production credit facility (the “RPCF”) with MUFG Union Bank, N.A., as administrative agent and lender and certain other financial institutions, as lenders thereto (the “Revolving Production Financing Agreement”) provides the Company with commitments having a maximum aggregate principal amount of $250.0 million. The Revolving Production Financing Agreement also provides the Company with the option to request a commitment increase up to an aggregate additional amount of $150.0 million subject to agreement of the lenders. The Revolving Production Financing Agreement extends through November 22, 2024. The Company uses the RPCF to fund certain of the Company’s original film and TV production costs. Borrowings under the RPCF are non-recourse to the Company's assets. During the first nine months of 2023, the Company had total drawdowns of $117.9 million and repayments of $162.0 million towards these production financing facilities. As of October 1, 2023, the Company had outstanding production financing borrowings related to these facilities of $150.9 million, all of which were reclassified to Liabilities held for sale in the Company's consolidated balance sheets, included in Part I of this Form 10-Q. For additional information on Assets and Liabilities held for sale, see note 15 to the consolidated financial statements included in Part I, Item 1. Financial Statements, of this Form 10-Q.</w:t>
      </w:r>
    </w:p>
    <w:p>
      <w:pPr>
        <w:spacing w:after="0" w:line="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has principal amounts of long-term debt as of October 1, 2023 of $3.7 billion, due at varying times from 2024 through 2044. Of the total principal amount of long-term debt, $68.2 million is current as of October 1, 2023 of which $60.0 million is related to principal amortization of the 5-year term loans due December 2024 and $8.2 million, which was reclassified to Liabilities held for sale, represents the Company's outstanding production financing facilities at October 1, 2023. In addition to the early repayment of the 2022 Notes described above, during the first quarter of 2021, the Company repaid in full, its 3.15% Notes in the aggregate principal amount of $300.0 million due in May 2021, including accrued interest. See note 7 to the Company’s consolidated financial statements in Part I of this Form 10-Q for additional information on long-term debt and long-term debt interest repayment,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had purchase commitments of approximately $240.9 million outstanding at October 1, 2023.</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contractual obligations and commercial commitments, as detailed in the Company's 2022 Form 10-K, did not materially change outside of certain payments made in the normal course of business and as otherwise set forth in this report.</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has a long history of returning cash to its shareholders through quarterly dividends and share repurchases. In 2023 Hasbro maintained its quarterly dividend rate of $0.70 per share for the dividends paid in February, May and August and has declared a fourth cash dividend of $0.70 per share payable on November 15, 2023 to shareholders of record as of November 1, 2023. In addition to the dividend, the Company periodically returns cash to shareholders through its share repurchase program. As part of this initiative, since 2005 the Company's Board of Directors (the "Board") adopted numerous share repurchase authorizations with a cumulative authorized repurchase amount of $4.3 billion. The most recent authorization was approved in May 2018 for $500 million. At October 1, 2023, $241.6 million remained available under these share repurchase authorizations. There were no share repurchases made during the first nine months of 2023. The Company has no obligation to repurchase shares under the authorization, and the timing, actual number, and value of the shares that are repurchased, if any, will depend on a number of factors, including the price of the Company’s stock and the Company's generation of, and uses for, cash.</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believes that cash from operations, and, if necessary, its committed line of credit and other borrowing facilities, will allow the Company to meet its obligations over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SIGNIFICANT ESTIMATES</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3" w:name="page54"/>
    <w:bookmarkEnd w:id="53"/>
    <w:p>
      <w:pPr>
        <w:spacing w:after="0" w:line="286" w:lineRule="auto"/>
        <w:rPr>
          <w:sz w:val="20"/>
          <w:szCs w:val="20"/>
          <w:color w:val="auto"/>
        </w:rPr>
      </w:pPr>
      <w:r>
        <w:rPr>
          <w:rFonts w:ascii="Arial" w:cs="Arial" w:eastAsia="Arial" w:hAnsi="Arial"/>
          <w:sz w:val="17"/>
          <w:szCs w:val="17"/>
          <w:color w:val="auto"/>
        </w:rPr>
        <w:t>and evaluating the Company's reported financial results include film and television production costs, recoverability of goodwill and intangible assets and income taxes. Additionally, the Company identified the valuation of the Company’s equity method investment in Discovery Family Channel as a significant accounting estimate. These critical accounting policies are the same as those detailed in the Company's 2022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Japanese Yen, Brazilian real and Mexican peso and, to a lesser extent, other currencies in Latin America and Asia Pacific countries.</w:t>
      </w:r>
    </w:p>
    <w:p>
      <w:pPr>
        <w:spacing w:after="0" w:line="14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To manage this exposure, the Company has hedged a portion of its forecasted foreign currency transactions using foreign exchange forward contracts and foreign exchange option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151"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Company reflects derivatives at their fair value as an asset or liability on the consolidated balance sheets. The Company does not speculate in foreign currency exchange contracts. As of October 1, 2023, these contracts had net unrealized gains of $6.1 million, of which $6.8 million of unrealized gains are recorded in prepaid expenses and other current assets, $1.4 million of unrealized gains are recorded in other assets and $2.1 million of unrealized losses are recorded in accrued liabilities. Included in accumulated other comprehensive loss at October 1, 2023 are deferred gains, net of tax, of $2.7 million, related to these derivatives.</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of October 1, 2023, the Company had fixed-rate long-term debt of $3.7 billion. In May 2014, the Company issued an aggregate $600.0 million of long-term debt which consisted of $300.0 million of 3.15% Notes, subsequently repaid in 2021, and $300.0 million of 5.10% Notes due 2044. Prior to the May 2014 debt issuance, the Company entered into forward-starting interest rate swap agreements with a total notional value of $500.0 million to hedge the anticipated underlying U.S. Treasury interest rate. These interest rate swaps were matched with this debt issuance and were designated and effective as hedges of the change in future interest payments. At the date of issuance, the Company terminated these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October 1, 2023 are deferred losses, net of tax, of $14.4 million related to these derivatives.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Company's business operations for the periods presented have been impacted by inflationary pressures however, due to mitigating actions taken by the Company, such as price increases implemented during 2022 and specialized organizational cost-savings programs including supply chain management improvements, the impact of general price inflation on our financial position and results of operations has been reduced. The Company continues to monitor the impact of inflation to its business operations on an ongoing basis and may need to adjust prices further to mitigate the impact of changes to the rate of inflation in future periods. However, future volatility of general price inflation could affect consumer purchases of our products and spending on entertainment. Additionally, the impact of inflation on costs and availability of materials, costs for shipping and warehousing and other operational overhead, could adversely affect the Company's financial results.</w:t>
      </w:r>
    </w:p>
    <w:p>
      <w:pPr>
        <w:spacing w:after="0" w:line="1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information required by this item is included in Part I, Item 2. "Management's Discussion and Analysis of Financial Condition and Results of Operations"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4" w:name="page55"/>
    <w:bookmarkEnd w:id="54"/>
    <w:p>
      <w:pPr>
        <w:spacing w:after="0" w:line="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October 1, 2023. Based on the evaluation of these disclosure controls and procedures, the Chief Executive Officer and Chief Financial Officer concluded that the Company's disclosure controls and procedures were effective.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7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October 1, 2023 that have materially affected, or are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party to certain legal proceedings, none of which it believes to be material to its business or financial condition.</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212529"/>
        </w:rPr>
        <w:t>In connection with information set forth in this Quarterly Report on Form 10-Q, the risk factors discussed under Item 1A. Risk Factors, in Part I of our 2022 Form 10-K and in our subsequent filings, including in this filing, should be considered. The risks set forth in our 2022 Form 10-K and in our subsequent filings, including in this filing, could materially and adversely affect our business, financial condition, and results of operations. There are no material changes from the risk factors as previously disclosed in our 2022 10-K, in any of our subsequently filed reports or as otherwise set forth in this Quarterly Report, except as set forth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Our entertainment business could be adversely affected by strikes or other union job actions.</w:t>
      </w:r>
    </w:p>
    <w:p>
      <w:pPr>
        <w:spacing w:after="0" w:line="1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Any strike, prolonged or new, by, or lockout of, one or more of the unions that provide personnel essential to the development, production or distribution of films or television programs, such as the five-months long strike by the Writers Guild of America, which ended in September 2023, and the ongoing strike by the American actors' union SAG-AFTRA, which began on July 14, 2023, could delay or halt our and our partners' ongoing entertainment activities.</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Halts or delays, depending on the length of time, could cause a delay or interruption in our and our partners' development, production and release of new films and television programs, which could impact our entertainment business, and could also delay and/or lower the revenues we expected to receive from entertainment related toys, games and other merchandise.</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May 2018, the Company announced that its Board of Directors authorized the repurchase of an additional $500 million of common stock, its most recent share repurchase authorization.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for this repurchase authorization. The timing, actual number, and value of shares that are repurchased will depend on a number of factors, including the price of the Company's stock and the Company’s generation of, and uses for, cash.</w:t>
      </w:r>
    </w:p>
    <w:p>
      <w:pPr>
        <w:spacing w:after="0" w:line="5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were no repurchases of the Company’s Common Stock during the nine months ended October 1, 2023. At October 1, 2023, Hasbro had $241.6 million remaining available under its share repurchase authorization.</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During the three months ended October 1, 2023, none of our officers or directors adopted or terminated any contract, instruction or written plan for the purchase or sale of our securities that was intended to satisfy the affirmative defense conditions of Rule 10b5-1(c) or any “non-Rule 10b5-1 trading arrangement" as defined in Item 408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56" w:name="page57"/>
    <w:bookmarkEnd w:id="56"/>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980" w:right="40"/>
        <w:spacing w:after="0" w:line="239" w:lineRule="auto"/>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Equity Purchase Agreement, dated as of August 3, 2023, by and among Hasbro,. Inc., Lions Gate Entertainment Corp., Lions Gate</w:t>
        </w:r>
      </w:hyperlink>
      <w:r>
        <w:rPr>
          <w:rFonts w:ascii="Arial" w:cs="Arial" w:eastAsia="Arial" w:hAnsi="Arial"/>
          <w:sz w:val="16"/>
          <w:szCs w:val="16"/>
          <w:u w:val="single" w:color="auto"/>
          <w:color w:val="0000FF"/>
        </w:rPr>
        <w:t xml:space="preserve"> </w:t>
      </w:r>
      <w:hyperlink r:id="rId101">
        <w:r>
          <w:rPr>
            <w:rFonts w:ascii="Arial" w:cs="Arial" w:eastAsia="Arial" w:hAnsi="Arial"/>
            <w:sz w:val="16"/>
            <w:szCs w:val="16"/>
            <w:u w:val="single" w:color="auto"/>
            <w:color w:val="0000FF"/>
          </w:rPr>
          <w:t>Entertainment Inc. and Lions Gate International Motion Pictures S.à.r.l (Incorporated by reference to Exhibit 2.01 to the Company’s Current</w:t>
        </w:r>
      </w:hyperlink>
    </w:p>
    <w:p>
      <w:pPr>
        <w:spacing w:after="0" w:line="1"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2.1 </w:t>
      </w:r>
      <w:hyperlink r:id="rId101">
        <w:r>
          <w:rPr>
            <w:rFonts w:ascii="Arial" w:cs="Arial" w:eastAsia="Arial" w:hAnsi="Arial"/>
            <w:sz w:val="18"/>
            <w:szCs w:val="18"/>
            <w:u w:val="single" w:color="auto"/>
            <w:color w:val="0000FF"/>
          </w:rPr>
          <w:t>Report on Form 8-K filed with the SEC on August 3, 2023).</w:t>
        </w:r>
      </w:hyperlink>
    </w:p>
    <w:p>
      <w:pPr>
        <w:spacing w:after="0" w:line="74" w:lineRule="exact"/>
        <w:rPr>
          <w:sz w:val="20"/>
          <w:szCs w:val="20"/>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xml:space="preserve">3.1 </w:t>
      </w:r>
      <w:hyperlink r:id="rId102">
        <w:r>
          <w:rPr>
            <w:rFonts w:ascii="Arial" w:cs="Arial" w:eastAsia="Arial" w:hAnsi="Arial"/>
            <w:sz w:val="16"/>
            <w:szCs w:val="16"/>
            <w:u w:val="single" w:color="auto"/>
            <w:color w:val="0000FF"/>
          </w:rPr>
          <w:t>Restated Articles of Incorporation of the Company. (Incorporated by reference to Exhibit 3.1 to the Company's Quarterly Report on Form</w:t>
        </w:r>
      </w:hyperlink>
    </w:p>
    <w:p>
      <w:pPr>
        <w:spacing w:after="0" w:line="8" w:lineRule="exact"/>
        <w:rPr>
          <w:sz w:val="20"/>
          <w:szCs w:val="20"/>
          <w:color w:val="auto"/>
        </w:rPr>
      </w:pPr>
    </w:p>
    <w:p>
      <w:pPr>
        <w:ind w:left="980"/>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10-Q for the period ended July 2, 2000, File No. 1-6682.)</w:t>
        </w:r>
      </w:hyperlink>
    </w:p>
    <w:p>
      <w:pPr>
        <w:spacing w:after="0" w:line="74" w:lineRule="exact"/>
        <w:rPr>
          <w:sz w:val="20"/>
          <w:szCs w:val="20"/>
          <w:color w:val="auto"/>
        </w:rPr>
      </w:pPr>
    </w:p>
    <w:p>
      <w:pPr>
        <w:ind w:left="980" w:right="10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103">
        <w:r>
          <w:rPr>
            <w:rFonts w:ascii="Arial" w:cs="Arial" w:eastAsia="Arial" w:hAnsi="Arial"/>
            <w:sz w:val="18"/>
            <w:szCs w:val="18"/>
            <w:u w:val="single" w:color="auto"/>
            <w:color w:val="0000FF"/>
          </w:rPr>
          <w:t>Amendment to Articles of Incorporation, dated June 28, 2000. (Incorporated by reference to Exhibit 3.4 to the Company's Quarterly Report</w:t>
        </w:r>
      </w:hyperlink>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FF"/>
          </w:rPr>
          <w:t>on Form 10-Q for the period ended July 2, 2000, File No. 1-6682.)</w:t>
        </w:r>
      </w:hyperlink>
    </w:p>
    <w:p>
      <w:pPr>
        <w:spacing w:after="0" w:line="67" w:lineRule="exact"/>
        <w:rPr>
          <w:sz w:val="20"/>
          <w:szCs w:val="20"/>
          <w:color w:val="auto"/>
        </w:rPr>
      </w:pPr>
    </w:p>
    <w:p>
      <w:pPr>
        <w:ind w:left="980" w:right="10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3.3 </w:t>
      </w:r>
      <w:hyperlink r:id="rId104">
        <w:r>
          <w:rPr>
            <w:rFonts w:ascii="Arial" w:cs="Arial" w:eastAsia="Arial" w:hAnsi="Arial"/>
            <w:sz w:val="18"/>
            <w:szCs w:val="18"/>
            <w:u w:val="single" w:color="auto"/>
            <w:color w:val="0000FF"/>
          </w:rPr>
          <w:t>Amendment to Articles of Incorporation, dated May 19, 2003. (Incorporated by reference to Exhibit 3.3 to the Company's Quarterly Report</w:t>
        </w:r>
      </w:hyperlink>
      <w:r>
        <w:rPr>
          <w:rFonts w:ascii="Arial" w:cs="Arial" w:eastAsia="Arial" w:hAnsi="Arial"/>
          <w:sz w:val="18"/>
          <w:szCs w:val="18"/>
          <w:color w:val="auto"/>
        </w:rPr>
        <w:t xml:space="preserve"> </w:t>
      </w:r>
      <w:hyperlink r:id="rId104">
        <w:r>
          <w:rPr>
            <w:rFonts w:ascii="Arial" w:cs="Arial" w:eastAsia="Arial" w:hAnsi="Arial"/>
            <w:sz w:val="18"/>
            <w:szCs w:val="18"/>
            <w:u w:val="single" w:color="auto"/>
            <w:color w:val="0000FF"/>
          </w:rPr>
          <w:t>on Form 10-Q for the period ended June 29, 2003, File No. 1-6682.)</w:t>
        </w:r>
      </w:hyperlink>
    </w:p>
    <w:p>
      <w:pPr>
        <w:spacing w:after="0" w:line="67" w:lineRule="exact"/>
        <w:rPr>
          <w:sz w:val="20"/>
          <w:szCs w:val="20"/>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xml:space="preserve">3.4 </w:t>
      </w:r>
      <w:hyperlink r:id="rId105">
        <w:r>
          <w:rPr>
            <w:rFonts w:ascii="Arial" w:cs="Arial" w:eastAsia="Arial" w:hAnsi="Arial"/>
            <w:sz w:val="16"/>
            <w:szCs w:val="16"/>
            <w:u w:val="single" w:color="auto"/>
            <w:color w:val="0000FF"/>
          </w:rPr>
          <w:t>Second Amended and Restated Bylaws of the Company (Incorporated by reference to Exhibit 3.1 to the Company’s Current Report on Form</w:t>
        </w:r>
      </w:hyperlink>
    </w:p>
    <w:p>
      <w:pPr>
        <w:spacing w:after="0" w:line="8" w:lineRule="exact"/>
        <w:rPr>
          <w:sz w:val="20"/>
          <w:szCs w:val="20"/>
          <w:color w:val="auto"/>
        </w:rPr>
      </w:pPr>
    </w:p>
    <w:p>
      <w:pPr>
        <w:ind w:left="980"/>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8-K dated September 30, 2022, File No. 1-6682.)</w:t>
        </w:r>
      </w:hyperlink>
    </w:p>
    <w:p>
      <w:pPr>
        <w:spacing w:after="0" w:line="74" w:lineRule="exact"/>
        <w:rPr>
          <w:sz w:val="20"/>
          <w:szCs w:val="20"/>
          <w:color w:val="auto"/>
        </w:rPr>
      </w:pPr>
    </w:p>
    <w:p>
      <w:pPr>
        <w:ind w:left="980" w:hanging="314"/>
        <w:spacing w:after="0" w:line="25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3.5 </w:t>
      </w:r>
      <w:hyperlink r:id="rId106">
        <w:r>
          <w:rPr>
            <w:rFonts w:ascii="Arial" w:cs="Arial" w:eastAsia="Arial" w:hAnsi="Arial"/>
            <w:sz w:val="17"/>
            <w:szCs w:val="17"/>
            <w:u w:val="single" w:color="auto"/>
            <w:color w:val="0000FF"/>
          </w:rPr>
          <w:t>Certificate of Designations of Series C Junior Participating Preference Stock of Hasbro, Inc. dated June 29, 1999. (Incorporated by reference</w:t>
        </w:r>
      </w:hyperlink>
      <w:r>
        <w:rPr>
          <w:rFonts w:ascii="Arial" w:cs="Arial" w:eastAsia="Arial" w:hAnsi="Arial"/>
          <w:sz w:val="17"/>
          <w:szCs w:val="17"/>
          <w:color w:val="auto"/>
        </w:rPr>
        <w:t xml:space="preserve"> </w:t>
      </w:r>
      <w:hyperlink r:id="rId106">
        <w:r>
          <w:rPr>
            <w:rFonts w:ascii="Arial" w:cs="Arial" w:eastAsia="Arial" w:hAnsi="Arial"/>
            <w:sz w:val="17"/>
            <w:szCs w:val="17"/>
            <w:u w:val="single" w:color="auto"/>
            <w:color w:val="0000FF"/>
          </w:rPr>
          <w:t>to Exhibit 3.2 to the Company's Quarterly Report on Form 10-Q for the period ended July 2, 2000, File No. 1-6682.)</w:t>
        </w:r>
      </w:hyperlink>
    </w:p>
    <w:p>
      <w:pPr>
        <w:spacing w:after="0" w:line="52" w:lineRule="exact"/>
        <w:rPr>
          <w:sz w:val="20"/>
          <w:szCs w:val="20"/>
          <w:color w:val="auto"/>
        </w:rPr>
      </w:pPr>
    </w:p>
    <w:p>
      <w:pPr>
        <w:ind w:left="980" w:right="66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3.6 </w:t>
      </w:r>
      <w:hyperlink r:id="rId107">
        <w:r>
          <w:rPr>
            <w:rFonts w:ascii="Arial" w:cs="Arial" w:eastAsia="Arial" w:hAnsi="Arial"/>
            <w:sz w:val="18"/>
            <w:szCs w:val="18"/>
            <w:u w:val="single" w:color="auto"/>
            <w:color w:val="0000FF"/>
          </w:rPr>
          <w:t>Certificate of Vote(s) authorizing a decrease of class or series of any class of shares. (Incorporated by reference to Exhibit 3.3 to the</w:t>
        </w:r>
      </w:hyperlink>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FF"/>
          </w:rPr>
          <w:t>Company's Quarterly Report on Form 10-Q for the period ended July 2, 2000, File No 1-6682.)</w:t>
        </w:r>
      </w:hyperlink>
    </w:p>
    <w:p>
      <w:pPr>
        <w:spacing w:after="0" w:line="67" w:lineRule="exact"/>
        <w:rPr>
          <w:sz w:val="20"/>
          <w:szCs w:val="20"/>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108">
        <w:r>
          <w:rPr>
            <w:rFonts w:ascii="Arial" w:cs="Arial" w:eastAsia="Arial" w:hAnsi="Arial"/>
            <w:sz w:val="18"/>
            <w:szCs w:val="18"/>
            <w:u w:val="single" w:color="auto"/>
            <w:color w:val="0000FF"/>
          </w:rPr>
          <w:t>Indenture, dated as of July 17, 1998, by and between the Company and The Bank of New York Mellon Trust Company, N.A. as successor</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FF"/>
          </w:rPr>
          <w:t>Trustee to Citibank, N.A. as Trustee. (Incorporated by reference to Exhibit 4.1 to the Company's Current Report on Form 8-K dated July 14,</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1998, File No. 1-6682.)</w:t>
        </w:r>
      </w:hyperlink>
    </w:p>
    <w:p>
      <w:pPr>
        <w:spacing w:after="0" w:line="68" w:lineRule="exact"/>
        <w:rPr>
          <w:rFonts w:ascii="Arial" w:cs="Arial" w:eastAsia="Arial" w:hAnsi="Arial"/>
          <w:sz w:val="18"/>
          <w:szCs w:val="18"/>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109">
        <w:r>
          <w:rPr>
            <w:rFonts w:ascii="Arial" w:cs="Arial" w:eastAsia="Arial" w:hAnsi="Arial"/>
            <w:sz w:val="18"/>
            <w:szCs w:val="18"/>
            <w:u w:val="single" w:color="auto"/>
            <w:color w:val="0000FF"/>
          </w:rPr>
          <w:t>Indenture, dated as of March 15, 2000, by and between the Company and The Bank of New York Mellon Trust Company, N.A. as successor</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Trustee to the Bank of Nova Scotia Trust Company of New York. (Incorporated by reference to Exhibit 4(b)(i) to the Company's Annual</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Report on Form 10-K for the fiscal year ended December 26, 1999, File No. 1-6682.)</w:t>
        </w:r>
      </w:hyperlink>
    </w:p>
    <w:p>
      <w:pPr>
        <w:spacing w:after="0" w:line="68" w:lineRule="exact"/>
        <w:rPr>
          <w:rFonts w:ascii="Arial" w:cs="Arial" w:eastAsia="Arial" w:hAnsi="Arial"/>
          <w:sz w:val="18"/>
          <w:szCs w:val="18"/>
          <w:color w:val="auto"/>
        </w:rPr>
      </w:pPr>
    </w:p>
    <w:p>
      <w:pPr>
        <w:ind w:left="980" w:right="18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110">
        <w:r>
          <w:rPr>
            <w:rFonts w:ascii="Arial" w:cs="Arial" w:eastAsia="Arial" w:hAnsi="Arial"/>
            <w:sz w:val="18"/>
            <w:szCs w:val="18"/>
            <w:u w:val="single" w:color="auto"/>
            <w:color w:val="0000FF"/>
          </w:rPr>
          <w:t>First Supplemental Indenture, dated as of September 17, 2007, between the Company and The Bank of New York Mellon Trust Company,</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N.A. as successor Trustee to the Bank of Nova Scotia Trust Company of New York. (Incorporated by reference to Exhibit 4.1 to the</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Company's Current Report on Form 8-K filed September 17, 2007, File No. 1-6682.)</w:t>
        </w:r>
      </w:hyperlink>
    </w:p>
    <w:p>
      <w:pPr>
        <w:spacing w:after="0" w:line="68" w:lineRule="exact"/>
        <w:rPr>
          <w:rFonts w:ascii="Arial" w:cs="Arial" w:eastAsia="Arial" w:hAnsi="Arial"/>
          <w:sz w:val="18"/>
          <w:szCs w:val="18"/>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111">
        <w:r>
          <w:rPr>
            <w:rFonts w:ascii="Arial" w:cs="Arial" w:eastAsia="Arial" w:hAnsi="Arial"/>
            <w:sz w:val="18"/>
            <w:szCs w:val="18"/>
            <w:u w:val="single" w:color="auto"/>
            <w:color w:val="0000FF"/>
          </w:rPr>
          <w:t>Second Supplemental Indenture, dated as of May 13, 2009, between the Company and The Bank of New York Mellon Trust Company, N.A.</w:t>
        </w:r>
      </w:hyperlink>
      <w:r>
        <w:rPr>
          <w:rFonts w:ascii="Arial" w:cs="Arial" w:eastAsia="Arial" w:hAnsi="Arial"/>
          <w:sz w:val="18"/>
          <w:szCs w:val="18"/>
          <w:color w:val="auto"/>
        </w:rPr>
        <w:t xml:space="preserve"> </w:t>
      </w:r>
      <w:hyperlink r:id="rId111">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Current Report on Form 8-K filed May 13, 2009, File No. 1-6682.)</w:t>
        </w:r>
      </w:hyperlink>
    </w:p>
    <w:p>
      <w:pPr>
        <w:spacing w:after="0" w:line="68" w:lineRule="exact"/>
        <w:rPr>
          <w:rFonts w:ascii="Arial" w:cs="Arial" w:eastAsia="Arial" w:hAnsi="Arial"/>
          <w:sz w:val="18"/>
          <w:szCs w:val="18"/>
          <w:color w:val="auto"/>
        </w:rPr>
      </w:pPr>
    </w:p>
    <w:p>
      <w:pPr>
        <w:ind w:left="980" w:right="2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w:t>
      </w:r>
      <w:hyperlink r:id="rId112">
        <w:r>
          <w:rPr>
            <w:rFonts w:ascii="Arial" w:cs="Arial" w:eastAsia="Arial" w:hAnsi="Arial"/>
            <w:sz w:val="18"/>
            <w:szCs w:val="18"/>
            <w:u w:val="single" w:color="auto"/>
            <w:color w:val="0000FF"/>
          </w:rPr>
          <w:t>Third Supplemental Indenture, dated as of March 11, 2010, between the Company and The Bank of New York Mellon Trust Company, N.A.</w:t>
        </w:r>
      </w:hyperlink>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Current Report on Form 8-K filed March 11, 2010, File No. 1-6682.)</w:t>
        </w:r>
      </w:hyperlink>
    </w:p>
    <w:p>
      <w:pPr>
        <w:spacing w:after="0" w:line="68" w:lineRule="exact"/>
        <w:rPr>
          <w:rFonts w:ascii="Arial" w:cs="Arial" w:eastAsia="Arial" w:hAnsi="Arial"/>
          <w:sz w:val="18"/>
          <w:szCs w:val="18"/>
          <w:color w:val="auto"/>
        </w:rPr>
      </w:pPr>
    </w:p>
    <w:p>
      <w:pPr>
        <w:jc w:val="both"/>
        <w:ind w:left="980" w:right="28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 </w:t>
      </w:r>
      <w:hyperlink r:id="rId113">
        <w:r>
          <w:rPr>
            <w:rFonts w:ascii="Arial" w:cs="Arial" w:eastAsia="Arial" w:hAnsi="Arial"/>
            <w:sz w:val="18"/>
            <w:szCs w:val="18"/>
            <w:u w:val="single" w:color="auto"/>
            <w:color w:val="0000FF"/>
          </w:rPr>
          <w:t>Fourth Supplemental Indenture, dated May 13, 2014, between the Company and The Bank of New York Mellon Trust Company, N.A. as</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Current Report on Form 8-K filed May 13, 2014, file No. 1-6682.)</w:t>
        </w:r>
      </w:hyperlink>
    </w:p>
    <w:p>
      <w:pPr>
        <w:spacing w:after="0" w:line="68" w:lineRule="exact"/>
        <w:rPr>
          <w:rFonts w:ascii="Arial" w:cs="Arial" w:eastAsia="Arial" w:hAnsi="Arial"/>
          <w:sz w:val="18"/>
          <w:szCs w:val="18"/>
          <w:color w:val="auto"/>
        </w:rPr>
      </w:pPr>
    </w:p>
    <w:p>
      <w:pPr>
        <w:jc w:val="both"/>
        <w:ind w:left="980" w:right="16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w:t>
      </w:r>
      <w:hyperlink r:id="rId114">
        <w:r>
          <w:rPr>
            <w:rFonts w:ascii="Arial" w:cs="Arial" w:eastAsia="Arial" w:hAnsi="Arial"/>
            <w:sz w:val="18"/>
            <w:szCs w:val="18"/>
            <w:u w:val="single" w:color="auto"/>
            <w:color w:val="0000FF"/>
          </w:rPr>
          <w:t>Fifth Supplemental Indenture, dated September 13, 2017, between the Company and The Bank of New York Mellon Trust Company, N.A.</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Current Report on Form 8-K filed September 13, 2017, file No. 1-6682.)</w:t>
        </w:r>
      </w:hyperlink>
    </w:p>
    <w:p>
      <w:pPr>
        <w:spacing w:after="0" w:line="68" w:lineRule="exact"/>
        <w:rPr>
          <w:rFonts w:ascii="Arial" w:cs="Arial" w:eastAsia="Arial" w:hAnsi="Arial"/>
          <w:sz w:val="18"/>
          <w:szCs w:val="18"/>
          <w:color w:val="auto"/>
        </w:rPr>
      </w:pPr>
    </w:p>
    <w:p>
      <w:pPr>
        <w:ind w:left="980" w:right="16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 </w:t>
      </w:r>
      <w:hyperlink r:id="rId115">
        <w:r>
          <w:rPr>
            <w:rFonts w:ascii="Arial" w:cs="Arial" w:eastAsia="Arial" w:hAnsi="Arial"/>
            <w:sz w:val="18"/>
            <w:szCs w:val="18"/>
            <w:u w:val="single" w:color="auto"/>
            <w:color w:val="0000FF"/>
          </w:rPr>
          <w:t>Sixth Supplemental Indenture dated as of November 19, 2019, among the Company and The Bank of New York Mellon Trust Company,</w:t>
        </w:r>
      </w:hyperlink>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FF"/>
          </w:rPr>
          <w:t>N.A. and U.S. Bank, National Association, supplementing the Indenture dated as of March 15, 2000. (Incorporated by reference to Exhibit</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1.2 to the Company’s Current Report on Form 8-K filed November 19, 2019, File No. 1-6682.)</w:t>
        </w:r>
      </w:hyperlink>
    </w:p>
    <w:p>
      <w:pPr>
        <w:spacing w:after="0" w:line="68" w:lineRule="exact"/>
        <w:rPr>
          <w:rFonts w:ascii="Arial" w:cs="Arial" w:eastAsia="Arial" w:hAnsi="Arial"/>
          <w:sz w:val="18"/>
          <w:szCs w:val="18"/>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 xml:space="preserve">10.1 </w:t>
      </w:r>
      <w:hyperlink r:id="rId116">
        <w:r>
          <w:rPr>
            <w:rFonts w:ascii="Arial" w:cs="Arial" w:eastAsia="Arial" w:hAnsi="Arial"/>
            <w:sz w:val="16"/>
            <w:szCs w:val="16"/>
            <w:u w:val="single" w:color="auto"/>
            <w:color w:val="0000FF"/>
          </w:rPr>
          <w:t>Second Amendment to the Amended and Restated Revolving Credit Agreement dated August 3, 2023 (Incorporated by reference to Exhibit</w:t>
        </w:r>
      </w:hyperlink>
    </w:p>
    <w:p>
      <w:pPr>
        <w:spacing w:after="0" w:line="8" w:lineRule="exact"/>
        <w:rPr>
          <w:rFonts w:ascii="Arial" w:cs="Arial" w:eastAsia="Arial" w:hAnsi="Arial"/>
          <w:sz w:val="18"/>
          <w:szCs w:val="18"/>
          <w:color w:val="auto"/>
        </w:rPr>
      </w:pPr>
    </w:p>
    <w:p>
      <w:pPr>
        <w:ind w:left="980"/>
        <w:spacing w:after="0"/>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10.1 to the Company’s Current Report on Form 8-K filed with the SEC on August 3, 2023).</w:t>
        </w:r>
      </w:hyperlink>
    </w:p>
    <w:p>
      <w:pPr>
        <w:spacing w:after="0" w:line="74" w:lineRule="exact"/>
        <w:rPr>
          <w:rFonts w:ascii="Arial" w:cs="Arial" w:eastAsia="Arial" w:hAnsi="Arial"/>
          <w:sz w:val="18"/>
          <w:szCs w:val="18"/>
          <w:color w:val="auto"/>
        </w:rPr>
      </w:pPr>
    </w:p>
    <w:p>
      <w:pPr>
        <w:ind w:left="980" w:right="56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117">
        <w:r>
          <w:rPr>
            <w:rFonts w:ascii="Arial" w:cs="Arial" w:eastAsia="Arial" w:hAnsi="Arial"/>
            <w:sz w:val="18"/>
            <w:szCs w:val="18"/>
            <w:u w:val="single" w:color="auto"/>
            <w:color w:val="0000FF"/>
          </w:rPr>
          <w:t>Second Amendment to the Term Loan Agreement dated August 3, 2023 (Incorporated by reference to Exhibit 10.2 to the Company’s</w:t>
        </w:r>
      </w:hyperlink>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FF"/>
          </w:rPr>
          <w:t>Current Report on Form 8-K filed with the SEC on August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57" w:name="page58"/>
    <w:bookmarkEnd w:id="57"/>
    <w:p>
      <w:pPr>
        <w:jc w:val="both"/>
        <w:ind w:left="980" w:hanging="40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119">
        <w:r>
          <w:rPr>
            <w:rFonts w:ascii="Arial" w:cs="Arial" w:eastAsia="Arial" w:hAnsi="Arial"/>
            <w:sz w:val="18"/>
            <w:szCs w:val="18"/>
            <w:u w:val="single" w:color="auto"/>
            <w:color w:val="0000FF"/>
          </w:rPr>
          <w:t>Third Amended and Restated Revolving Credit Agreement, dated as of September 5, 2023, by and among Hasbro, Inc., Hasbro SA, Bank of</w:t>
        </w:r>
      </w:hyperlink>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FF"/>
          </w:rPr>
          <w:t>America, N.A., and the other financial institutions party thereto (Incorporated by reference to Exhibit 10.1 to the Company’s Current Report</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on Form 8-K filed with the SEC on September 5, 2023).</w:t>
        </w:r>
      </w:hyperlink>
    </w:p>
    <w:p>
      <w:pPr>
        <w:spacing w:after="0" w:line="68" w:lineRule="exact"/>
        <w:rPr>
          <w:rFonts w:ascii="Arial" w:cs="Arial" w:eastAsia="Arial" w:hAnsi="Arial"/>
          <w:sz w:val="18"/>
          <w:szCs w:val="18"/>
          <w:color w:val="auto"/>
        </w:rPr>
      </w:pPr>
    </w:p>
    <w:p>
      <w:pPr>
        <w:ind w:left="54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of the Chief Executive Officer Pursuant to Rule 13a-14(a) under the Securities Exchange Act of 1934.</w:t>
      </w:r>
    </w:p>
    <w:p>
      <w:pPr>
        <w:spacing w:after="0" w:line="77" w:lineRule="exact"/>
        <w:rPr>
          <w:rFonts w:ascii="Arial" w:cs="Arial" w:eastAsia="Arial" w:hAnsi="Arial"/>
          <w:sz w:val="18"/>
          <w:szCs w:val="18"/>
          <w:color w:val="auto"/>
        </w:rPr>
      </w:pPr>
    </w:p>
    <w:p>
      <w:pPr>
        <w:ind w:left="54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0000FF"/>
        </w:rPr>
        <w:t>Certification of the Chief Financial Officer Pursuant to Rule 13a-14(a) under the Securities Exchange Act of 1934.</w:t>
      </w:r>
    </w:p>
    <w:p>
      <w:pPr>
        <w:spacing w:after="0" w:line="117" w:lineRule="exact"/>
        <w:rPr>
          <w:rFonts w:ascii="Arial" w:cs="Arial" w:eastAsia="Arial" w:hAnsi="Arial"/>
          <w:sz w:val="18"/>
          <w:szCs w:val="18"/>
          <w:color w:val="auto"/>
        </w:rPr>
      </w:pPr>
    </w:p>
    <w:p>
      <w:pPr>
        <w:ind w:left="54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FF"/>
        </w:rPr>
        <w:t>Certification of the Chief Executive Officer Pursuant to Rule 13a-14(b) under the Securities Exchange Act of 1934.</w:t>
      </w:r>
    </w:p>
    <w:p>
      <w:pPr>
        <w:spacing w:after="0" w:line="77" w:lineRule="exact"/>
        <w:rPr>
          <w:rFonts w:ascii="Arial" w:cs="Arial" w:eastAsia="Arial" w:hAnsi="Arial"/>
          <w:sz w:val="18"/>
          <w:szCs w:val="18"/>
          <w:color w:val="auto"/>
        </w:rPr>
      </w:pPr>
    </w:p>
    <w:p>
      <w:pPr>
        <w:ind w:left="54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0000FF"/>
        </w:rPr>
        <w:t>Certification of the Chief Financial Officer Pursuant to Rule 13a-14(b) under the Securities Exchange Act of 1934.</w:t>
      </w:r>
    </w:p>
    <w:p>
      <w:pPr>
        <w:spacing w:after="0" w:line="77" w:lineRule="exact"/>
        <w:rPr>
          <w:rFonts w:ascii="Arial" w:cs="Arial" w:eastAsia="Arial" w:hAnsi="Arial"/>
          <w:sz w:val="18"/>
          <w:szCs w:val="18"/>
          <w:color w:val="auto"/>
        </w:rPr>
      </w:pPr>
    </w:p>
    <w:p>
      <w:pPr>
        <w:ind w:left="980" w:right="20" w:hanging="640"/>
        <w:spacing w:after="0" w:line="235" w:lineRule="auto"/>
        <w:rPr>
          <w:sz w:val="20"/>
          <w:szCs w:val="20"/>
          <w:color w:val="auto"/>
        </w:rPr>
      </w:pPr>
      <w:r>
        <w:rPr>
          <w:rFonts w:ascii="Arial" w:cs="Arial" w:eastAsia="Arial" w:hAnsi="Arial"/>
          <w:sz w:val="18"/>
          <w:szCs w:val="18"/>
          <w:color w:val="auto"/>
        </w:rPr>
        <w:t>101.INS XBRL Instance Document - the instance document does not appear in the Interactive Data File because its XBRL tags are embedded within the Inline XBRL Document.</w:t>
      </w:r>
    </w:p>
    <w:p>
      <w:pPr>
        <w:spacing w:after="0" w:line="67" w:lineRule="exact"/>
        <w:rPr>
          <w:rFonts w:ascii="Arial" w:cs="Arial" w:eastAsia="Arial" w:hAnsi="Arial"/>
          <w:sz w:val="18"/>
          <w:szCs w:val="18"/>
          <w:color w:val="auto"/>
        </w:rPr>
      </w:pPr>
    </w:p>
    <w:p>
      <w:pPr>
        <w:ind w:left="280"/>
        <w:spacing w:after="0"/>
        <w:rPr>
          <w:sz w:val="20"/>
          <w:szCs w:val="20"/>
          <w:color w:val="auto"/>
        </w:rPr>
      </w:pPr>
      <w:r>
        <w:rPr>
          <w:rFonts w:ascii="Arial" w:cs="Arial" w:eastAsia="Arial" w:hAnsi="Arial"/>
          <w:sz w:val="18"/>
          <w:szCs w:val="18"/>
          <w:color w:val="auto"/>
        </w:rPr>
        <w:t>101.SCH XBRL Taxonomy Extension Schema Document</w:t>
      </w:r>
    </w:p>
    <w:p>
      <w:pPr>
        <w:spacing w:after="0" w:line="77" w:lineRule="exact"/>
        <w:rPr>
          <w:rFonts w:ascii="Arial" w:cs="Arial" w:eastAsia="Arial" w:hAnsi="Arial"/>
          <w:sz w:val="18"/>
          <w:szCs w:val="18"/>
          <w:color w:val="auto"/>
        </w:rPr>
      </w:pPr>
    </w:p>
    <w:p>
      <w:pPr>
        <w:ind w:left="28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77" w:lineRule="exact"/>
        <w:rPr>
          <w:rFonts w:ascii="Arial" w:cs="Arial" w:eastAsia="Arial" w:hAnsi="Arial"/>
          <w:sz w:val="18"/>
          <w:szCs w:val="18"/>
          <w:color w:val="auto"/>
        </w:rPr>
      </w:pPr>
    </w:p>
    <w:p>
      <w:pPr>
        <w:ind w:left="280"/>
        <w:spacing w:after="0"/>
        <w:rPr>
          <w:sz w:val="20"/>
          <w:szCs w:val="20"/>
          <w:color w:val="auto"/>
        </w:rPr>
      </w:pPr>
      <w:r>
        <w:rPr>
          <w:rFonts w:ascii="Arial" w:cs="Arial" w:eastAsia="Arial" w:hAnsi="Arial"/>
          <w:sz w:val="18"/>
          <w:szCs w:val="18"/>
          <w:color w:val="auto"/>
        </w:rPr>
        <w:t>101.LAB XBRL Taxonomy Extension Labels Linkbase Document</w:t>
      </w:r>
    </w:p>
    <w:p>
      <w:pPr>
        <w:spacing w:after="0" w:line="77" w:lineRule="exact"/>
        <w:rPr>
          <w:rFonts w:ascii="Arial" w:cs="Arial" w:eastAsia="Arial" w:hAnsi="Arial"/>
          <w:sz w:val="18"/>
          <w:szCs w:val="18"/>
          <w:color w:val="auto"/>
        </w:rPr>
      </w:pPr>
    </w:p>
    <w:p>
      <w:pPr>
        <w:ind w:left="26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77" w:lineRule="exact"/>
        <w:rPr>
          <w:rFonts w:ascii="Arial" w:cs="Arial" w:eastAsia="Arial" w:hAnsi="Arial"/>
          <w:sz w:val="18"/>
          <w:szCs w:val="18"/>
          <w:color w:val="auto"/>
        </w:rPr>
      </w:pPr>
    </w:p>
    <w:p>
      <w:pPr>
        <w:ind w:left="24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0"/>
          <w:szCs w:val="20"/>
          <w:i w:val="1"/>
          <w:iCs w:val="1"/>
          <w:color w:val="auto"/>
        </w:rPr>
        <w:t>* Furnished herewith</w:t>
      </w:r>
    </w:p>
    <w:p>
      <w:pPr>
        <w:spacing w:after="0" w:line="17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0"/>
          <w:szCs w:val="20"/>
          <w:i w:val="1"/>
          <w:iCs w:val="1"/>
          <w:color w:val="auto"/>
        </w:rPr>
        <w:t>** Indicates management contract or compensatory plan, contract or arrangement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0" w:right="49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color w:val="auto"/>
        </w:rPr>
        <w:t>SIGNATURES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18688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6"/>
          <w:szCs w:val="16"/>
          <w:color w:val="auto"/>
        </w:rPr>
        <w:t>By: /s/ Gina Goetter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18688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Gina Goetter</w:t>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and</w:t>
      </w:r>
    </w:p>
    <w:p>
      <w:pPr>
        <w:ind w:left="6740"/>
        <w:spacing w:after="0" w:line="203" w:lineRule="auto"/>
        <w:rPr>
          <w:sz w:val="20"/>
          <w:szCs w:val="20"/>
          <w:color w:val="auto"/>
        </w:rPr>
      </w:pPr>
      <w:r>
        <w:rPr>
          <w:rFonts w:ascii="Arial" w:cs="Arial" w:eastAsia="Arial" w:hAnsi="Arial"/>
          <w:sz w:val="18"/>
          <w:szCs w:val="18"/>
          <w:color w:val="auto"/>
        </w:rPr>
        <w:t>Chief Financial Officer</w:t>
      </w:r>
    </w:p>
    <w:p>
      <w:pPr>
        <w:ind w:left="6740"/>
        <w:spacing w:after="0" w:line="219" w:lineRule="auto"/>
        <w:rPr>
          <w:sz w:val="20"/>
          <w:szCs w:val="20"/>
          <w:color w:val="auto"/>
        </w:rPr>
      </w:pPr>
      <w:r>
        <w:rPr>
          <w:rFonts w:ascii="Arial" w:cs="Arial" w:eastAsia="Arial" w:hAnsi="Arial"/>
          <w:sz w:val="18"/>
          <w:szCs w:val="18"/>
          <w:color w:val="auto"/>
        </w:rPr>
        <w:t>(Duly Authorized Officer and</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00"/>
          </w:cols>
          <w:pgMar w:left="320" w:top="949" w:right="37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Christian P. Cocks, certify that:</w:t>
      </w:r>
    </w:p>
    <w:p>
      <w:pPr>
        <w:spacing w:after="0" w:line="185"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00" w:right="140" w:hanging="244"/>
        <w:spacing w:after="0" w:line="263" w:lineRule="auto"/>
        <w:tabs>
          <w:tab w:leader="none" w:pos="89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00" w:right="440" w:hanging="244"/>
        <w:spacing w:after="0" w:line="263" w:lineRule="auto"/>
        <w:tabs>
          <w:tab w:leader="none" w:pos="8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00" w:right="620" w:hanging="244"/>
        <w:spacing w:after="0" w:line="342" w:lineRule="auto"/>
        <w:tabs>
          <w:tab w:leader="none" w:pos="891"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00" w:right="140" w:hanging="244"/>
        <w:spacing w:after="0" w:line="263" w:lineRule="auto"/>
        <w:tabs>
          <w:tab w:leader="none" w:pos="8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 2023</w:t>
      </w:r>
    </w:p>
    <w:p>
      <w:pPr>
        <w:spacing w:after="0" w:line="144" w:lineRule="exact"/>
        <w:rPr>
          <w:sz w:val="20"/>
          <w:szCs w:val="20"/>
          <w:color w:val="auto"/>
        </w:rPr>
      </w:pPr>
    </w:p>
    <w:p>
      <w:pPr>
        <w:ind w:left="4740"/>
        <w:spacing w:after="0"/>
        <w:rPr>
          <w:sz w:val="20"/>
          <w:szCs w:val="20"/>
          <w:color w:val="auto"/>
        </w:rPr>
      </w:pPr>
      <w:r>
        <w:rPr>
          <w:rFonts w:ascii="Arial" w:cs="Arial" w:eastAsia="Arial" w:hAnsi="Arial"/>
          <w:sz w:val="18"/>
          <w:szCs w:val="18"/>
          <w:u w:val="single" w:color="auto"/>
          <w:color w:val="auto"/>
        </w:rPr>
        <w:t>/s/ Christian P. Cocks</w:t>
      </w:r>
    </w:p>
    <w:p>
      <w:pPr>
        <w:spacing w:after="0" w:line="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Christian P. Cocks</w:t>
      </w:r>
    </w:p>
    <w:p>
      <w:pPr>
        <w:jc w:val="center"/>
        <w:ind w:righ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07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Gina Goetter, certify that:</w:t>
      </w:r>
    </w:p>
    <w:p>
      <w:pPr>
        <w:spacing w:after="0" w:line="185"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820" w:right="220" w:hanging="326"/>
        <w:spacing w:after="0" w:line="263" w:lineRule="auto"/>
        <w:tabs>
          <w:tab w:leader="none" w:pos="81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20" w:right="520" w:hanging="326"/>
        <w:spacing w:after="0" w:line="263" w:lineRule="auto"/>
        <w:tabs>
          <w:tab w:leader="none" w:pos="80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20" w:right="700" w:hanging="326"/>
        <w:spacing w:after="0" w:line="342" w:lineRule="auto"/>
        <w:tabs>
          <w:tab w:leader="none" w:pos="811"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20" w:right="220" w:hanging="326"/>
        <w:spacing w:after="0" w:line="263" w:lineRule="auto"/>
        <w:tabs>
          <w:tab w:leader="none" w:pos="80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20" w:right="120" w:hanging="326"/>
        <w:spacing w:after="0" w:line="277" w:lineRule="auto"/>
        <w:tabs>
          <w:tab w:leader="none" w:pos="811"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20" w:right="100" w:hanging="326"/>
        <w:spacing w:after="0" w:line="277" w:lineRule="auto"/>
        <w:tabs>
          <w:tab w:leader="none" w:pos="80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pacing w:after="0" w:line="185" w:lineRule="exact"/>
        <w:rPr>
          <w:sz w:val="20"/>
          <w:szCs w:val="20"/>
          <w:color w:val="auto"/>
        </w:rPr>
      </w:pPr>
    </w:p>
    <w:p>
      <w:pPr>
        <w:ind w:left="6120"/>
        <w:spacing w:after="0"/>
        <w:rPr>
          <w:sz w:val="20"/>
          <w:szCs w:val="20"/>
          <w:color w:val="auto"/>
        </w:rPr>
      </w:pPr>
      <w:r>
        <w:rPr>
          <w:rFonts w:ascii="Arial" w:cs="Arial" w:eastAsia="Arial" w:hAnsi="Arial"/>
          <w:sz w:val="18"/>
          <w:szCs w:val="18"/>
          <w:u w:val="single" w:color="auto"/>
          <w:color w:val="auto"/>
        </w:rPr>
        <w:t>/s/ Gina Goetter</w:t>
      </w:r>
    </w:p>
    <w:p>
      <w:pPr>
        <w:spacing w:after="0" w:line="48"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Gina Goetter</w:t>
      </w:r>
    </w:p>
    <w:p>
      <w:pPr>
        <w:ind w:left="6120"/>
        <w:spacing w:after="0" w:line="203" w:lineRule="auto"/>
        <w:rPr>
          <w:sz w:val="20"/>
          <w:szCs w:val="20"/>
          <w:color w:val="auto"/>
        </w:rPr>
      </w:pPr>
      <w:r>
        <w:rPr>
          <w:rFonts w:ascii="Arial" w:cs="Arial" w:eastAsia="Arial" w:hAnsi="Arial"/>
          <w:sz w:val="18"/>
          <w:szCs w:val="18"/>
          <w:color w:val="auto"/>
        </w:rPr>
        <w:t>Executive Vice President and</w:t>
      </w:r>
    </w:p>
    <w:p>
      <w:pPr>
        <w:ind w:left="6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07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57" w:lineRule="exact"/>
        <w:rPr>
          <w:sz w:val="20"/>
          <w:szCs w:val="20"/>
          <w:color w:val="auto"/>
        </w:rPr>
      </w:pPr>
    </w:p>
    <w:p>
      <w:pPr>
        <w:ind w:left="420" w:right="320" w:hanging="412"/>
        <w:spacing w:after="0" w:line="308" w:lineRule="auto"/>
        <w:tabs>
          <w:tab w:leader="none" w:pos="408"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October 1, 2023, as filed with the Securities and Exchange Commission (the “10-Q Report”),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420" w:right="240" w:hanging="412"/>
        <w:spacing w:after="0" w:line="277" w:lineRule="auto"/>
        <w:tabs>
          <w:tab w:leader="none" w:pos="4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4" w:lineRule="exact"/>
        <w:rPr>
          <w:sz w:val="20"/>
          <w:szCs w:val="20"/>
          <w:color w:val="auto"/>
        </w:rPr>
      </w:pPr>
    </w:p>
    <w:p>
      <w:pPr>
        <w:ind w:left="2360"/>
        <w:spacing w:after="0"/>
        <w:rPr>
          <w:sz w:val="20"/>
          <w:szCs w:val="20"/>
          <w:color w:val="auto"/>
        </w:rPr>
      </w:pPr>
      <w:r>
        <w:rPr>
          <w:rFonts w:ascii="Arial" w:cs="Arial" w:eastAsia="Arial" w:hAnsi="Arial"/>
          <w:sz w:val="18"/>
          <w:szCs w:val="18"/>
          <w:u w:val="single" w:color="auto"/>
          <w:color w:val="auto"/>
        </w:rPr>
        <w:t>/s/ Christian P. Cocks</w:t>
      </w:r>
    </w:p>
    <w:p>
      <w:pPr>
        <w:ind w:left="2360"/>
        <w:spacing w:after="0" w:line="203" w:lineRule="auto"/>
        <w:rPr>
          <w:sz w:val="20"/>
          <w:szCs w:val="20"/>
          <w:color w:val="auto"/>
        </w:rPr>
      </w:pPr>
      <w:r>
        <w:rPr>
          <w:rFonts w:ascii="Arial" w:cs="Arial" w:eastAsia="Arial" w:hAnsi="Arial"/>
          <w:sz w:val="18"/>
          <w:szCs w:val="18"/>
          <w:color w:val="auto"/>
        </w:rPr>
        <w:t>Christian P. Cocks</w:t>
      </w:r>
    </w:p>
    <w:p>
      <w:pPr>
        <w:ind w:left="2360"/>
        <w:spacing w:after="0"/>
        <w:rPr>
          <w:sz w:val="20"/>
          <w:szCs w:val="20"/>
          <w:color w:val="auto"/>
        </w:rPr>
      </w:pPr>
      <w:r>
        <w:rPr>
          <w:rFonts w:ascii="Arial" w:cs="Arial" w:eastAsia="Arial" w:hAnsi="Arial"/>
          <w:sz w:val="18"/>
          <w:szCs w:val="18"/>
          <w:color w:val="auto"/>
        </w:rPr>
        <w:t>Chief Executive Officer of Hasbro, Inc.</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2023</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57" w:lineRule="exact"/>
        <w:rPr>
          <w:sz w:val="20"/>
          <w:szCs w:val="20"/>
          <w:color w:val="auto"/>
        </w:rPr>
      </w:pPr>
    </w:p>
    <w:p>
      <w:pPr>
        <w:ind w:left="420" w:right="320" w:hanging="412"/>
        <w:spacing w:after="0" w:line="308" w:lineRule="auto"/>
        <w:tabs>
          <w:tab w:leader="none" w:pos="408"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October 1, 2023, as filed with the Securities and Exchange Commission (the “10-Q Report”),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420" w:right="240" w:hanging="412"/>
        <w:spacing w:after="0" w:line="277" w:lineRule="auto"/>
        <w:tabs>
          <w:tab w:leader="none" w:pos="4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4" w:lineRule="exact"/>
        <w:rPr>
          <w:sz w:val="20"/>
          <w:szCs w:val="20"/>
          <w:color w:val="auto"/>
        </w:rPr>
      </w:pPr>
    </w:p>
    <w:p>
      <w:pPr>
        <w:ind w:left="3100"/>
        <w:spacing w:after="0"/>
        <w:rPr>
          <w:sz w:val="20"/>
          <w:szCs w:val="20"/>
          <w:color w:val="auto"/>
        </w:rPr>
      </w:pPr>
      <w:r>
        <w:rPr>
          <w:rFonts w:ascii="Arial" w:cs="Arial" w:eastAsia="Arial" w:hAnsi="Arial"/>
          <w:sz w:val="18"/>
          <w:szCs w:val="18"/>
          <w:u w:val="single" w:color="auto"/>
          <w:color w:val="auto"/>
        </w:rPr>
        <w:t>/s/ Gina Goetter</w:t>
      </w:r>
    </w:p>
    <w:p>
      <w:pPr>
        <w:ind w:left="3100"/>
        <w:spacing w:after="0" w:line="203" w:lineRule="auto"/>
        <w:rPr>
          <w:sz w:val="20"/>
          <w:szCs w:val="20"/>
          <w:color w:val="auto"/>
        </w:rPr>
      </w:pPr>
      <w:r>
        <w:rPr>
          <w:rFonts w:ascii="Arial" w:cs="Arial" w:eastAsia="Arial" w:hAnsi="Arial"/>
          <w:sz w:val="18"/>
          <w:szCs w:val="18"/>
          <w:color w:val="auto"/>
        </w:rPr>
        <w:t>Gina Goetter</w:t>
      </w:r>
    </w:p>
    <w:p>
      <w:pPr>
        <w:jc w:val="center"/>
        <w:ind w:right="40"/>
        <w:spacing w:after="0"/>
        <w:rPr>
          <w:sz w:val="20"/>
          <w:szCs w:val="20"/>
          <w:color w:val="auto"/>
        </w:rPr>
      </w:pPr>
      <w:r>
        <w:rPr>
          <w:rFonts w:ascii="Arial" w:cs="Arial" w:eastAsia="Arial" w:hAnsi="Arial"/>
          <w:sz w:val="18"/>
          <w:szCs w:val="18"/>
          <w:color w:val="auto"/>
        </w:rPr>
        <w:t>Executive Vice President and Chief Financial Officer of Hasbro, Inc.</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2023</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2"/>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3"/>
    </w:lvl>
  </w:abstractNum>
  <w:abstractNum w:abstractNumId="8">
    <w:nsid w:val="71F32454"/>
    <w:multiLevelType w:val="hybridMultilevel"/>
    <w:lvl w:ilvl="0">
      <w:lvlJc w:val="left"/>
      <w:lvlText w:val="(%1)"/>
      <w:numFmt w:val="decimal"/>
      <w:start w:val="4"/>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5"/>
    </w:lvl>
  </w:abstractNum>
  <w:abstractNum w:abstractNumId="11">
    <w:nsid w:val="2901D82"/>
    <w:multiLevelType w:val="hybridMultilevel"/>
    <w:lvl w:ilvl="0">
      <w:lvlJc w:val="left"/>
      <w:lvlText w:val="(%1)"/>
      <w:numFmt w:val="decimal"/>
      <w:start w:val="6"/>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7"/>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amp;"/>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2"/>
    </w:lvl>
  </w:abstractNum>
  <w:abstractNum w:abstractNumId="18">
    <w:nsid w:val="22221A70"/>
    <w:multiLevelType w:val="hybridMultilevel"/>
    <w:lvl w:ilvl="0">
      <w:lvlJc w:val="left"/>
      <w:lvlText w:val="(%1)"/>
      <w:numFmt w:val="decimal"/>
      <w:start w:val="8"/>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9"/>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0"/>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2"/>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3"/>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decimal"/>
      <w:start w:val="14"/>
    </w:lvl>
  </w:abstractNum>
  <w:abstractNum w:abstractNumId="34">
    <w:nsid w:val="580BD78F"/>
    <w:multiLevelType w:val="hybridMultilevel"/>
    <w:lvl w:ilvl="0">
      <w:lvlJc w:val="left"/>
      <w:lvlText w:val="(%1)"/>
      <w:numFmt w:val="decimal"/>
      <w:start w:val="15"/>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lvl w:ilvl="1">
      <w:lvlJc w:val="left"/>
      <w:lvlText w:val="•"/>
      <w:numFmt w:val="bullet"/>
      <w:start w:val="1"/>
    </w:lvl>
  </w:abstractNum>
  <w:abstractNum w:abstractNumId="38">
    <w:nsid w:val="6A2342EC"/>
    <w:multiLevelType w:val="hybridMultilevel"/>
    <w:lvl w:ilvl="0">
      <w:lvlJc w:val="left"/>
      <w:lvlText w:val="•"/>
      <w:numFmt w:val="bullet"/>
      <w:start w:val="1"/>
    </w:lvl>
    <w:lvl w:ilvl="1">
      <w:lvlJc w:val="left"/>
      <w:lvlText w:val="•"/>
      <w:numFmt w:val="bullet"/>
      <w:start w:val="1"/>
    </w:lvl>
  </w:abstractNum>
  <w:abstractNum w:abstractNumId="39">
    <w:nsid w:val="2A487CB0"/>
    <w:multiLevelType w:val="hybridMultilevel"/>
    <w:lvl w:ilvl="0">
      <w:lvlJc w:val="left"/>
      <w:lvlText w:val="•"/>
      <w:numFmt w:val="bullet"/>
      <w:start w:val="1"/>
    </w:lvl>
    <w:lvl w:ilvl="1">
      <w:lvlJc w:val="left"/>
      <w:lvlText w:val="•"/>
      <w:numFmt w:val="bullet"/>
      <w:start w:val="1"/>
    </w:lvl>
  </w:abstractNum>
  <w:abstractNum w:abstractNumId="40">
    <w:nsid w:val="1D4ED43B"/>
    <w:multiLevelType w:val="hybridMultilevel"/>
    <w:lvl w:ilvl="0">
      <w:lvlJc w:val="left"/>
      <w:lvlText w:val="•"/>
      <w:numFmt w:val="bullet"/>
      <w:start w:val="1"/>
    </w:lvl>
    <w:lvl w:ilvl="1">
      <w:lvlJc w:val="left"/>
      <w:lvlText w:val="◦"/>
      <w:numFmt w:val="bullet"/>
      <w:start w:val="1"/>
    </w:lvl>
  </w:abstractNum>
  <w:abstractNum w:abstractNumId="41">
    <w:nsid w:val="725A06FB"/>
    <w:multiLevelType w:val="hybridMultilevel"/>
    <w:lvl w:ilvl="0">
      <w:lvlJc w:val="left"/>
      <w:lvlText w:val="•"/>
      <w:numFmt w:val="bullet"/>
      <w:start w:val="1"/>
    </w:lvl>
    <w:lvl w:ilvl="1">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8"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01" Type="http://schemas.openxmlformats.org/officeDocument/2006/relationships/hyperlink" Target="http://www.sec.gov/Archives/edgar/data/46080/000095015723000851/ex2-1.htm" TargetMode="External"/><Relationship Id="rId102" Type="http://schemas.openxmlformats.org/officeDocument/2006/relationships/hyperlink" Target="http://www.sec.gov/Archives/edgar/data/46080/000004608000000013/0000046080-00-000013-0002.txt" TargetMode="External"/><Relationship Id="rId103" Type="http://schemas.openxmlformats.org/officeDocument/2006/relationships/hyperlink" Target="http://www.sec.gov/Archives/edgar/data/46080/000004608000000013/0000046080-00-000013-0005.txt" TargetMode="External"/><Relationship Id="rId104" Type="http://schemas.openxmlformats.org/officeDocument/2006/relationships/hyperlink" Target="http://www.sec.gov/Archives/edgar/data/46080/000004608003000022/ex3-3q203.htm" TargetMode="External"/><Relationship Id="rId105" Type="http://schemas.openxmlformats.org/officeDocument/2006/relationships/hyperlink" Target="http://www.sec.gov/Archives/edgar/data/46080/000004608022000109/0000046080-22-000109-index.htm" TargetMode="External"/><Relationship Id="rId106" Type="http://schemas.openxmlformats.org/officeDocument/2006/relationships/hyperlink" Target="http://www.sec.gov/Archives/edgar/data/46080/000004608000000013/0000046080-00-000013-0003.txt" TargetMode="External"/><Relationship Id="rId107" Type="http://schemas.openxmlformats.org/officeDocument/2006/relationships/hyperlink" Target="http://www.sec.gov/Archives/edgar/data/46080/000004608000000013/0000046080-00-000013-0004.txt" TargetMode="External"/><Relationship Id="rId108" Type="http://schemas.openxmlformats.org/officeDocument/2006/relationships/hyperlink" Target="http://www.sec.gov/Archives/edgar/data/46080/0000950172-98-000702.txt" TargetMode="External"/><Relationship Id="rId109" Type="http://schemas.openxmlformats.org/officeDocument/2006/relationships/hyperlink" Target="http://www.sec.gov/Archives/edgar/data/46080/000004608000000003/0000046080-00-000003.txt" TargetMode="External"/><Relationship Id="rId110" Type="http://schemas.openxmlformats.org/officeDocument/2006/relationships/hyperlink" Target="http://www.sec.gov/Archives/edgar/data/46080/000095013507005709/b66906hbexv4w1.htm" TargetMode="External"/><Relationship Id="rId111" Type="http://schemas.openxmlformats.org/officeDocument/2006/relationships/hyperlink" Target="http://www.sec.gov/Archives/edgar/data/46080/000095013509003948/b75462hiexv4w1.htm" TargetMode="External"/><Relationship Id="rId112" Type="http://schemas.openxmlformats.org/officeDocument/2006/relationships/hyperlink" Target="http://www.sec.gov/Archives/edgar/data/46080/000095012310023420/b80058exv4w1.htm" TargetMode="External"/><Relationship Id="rId113" Type="http://schemas.openxmlformats.org/officeDocument/2006/relationships/hyperlink" Target="http://www.sec.gov/Archives/edgar/data/46080/000119312514196726/d727293dex41.htm" TargetMode="External"/><Relationship Id="rId114" Type="http://schemas.openxmlformats.org/officeDocument/2006/relationships/hyperlink" Target="http://www.sec.gov/Archives/edgar/data/46080/000119312517283854/d456734dex41.htm" TargetMode="External"/><Relationship Id="rId115" Type="http://schemas.openxmlformats.org/officeDocument/2006/relationships/hyperlink" Target="http://www.sec.gov/Archives/edgar/data/46080/000119312519295544/d822953dex12.htm" TargetMode="External"/><Relationship Id="rId116" Type="http://schemas.openxmlformats.org/officeDocument/2006/relationships/hyperlink" Target="http://www.sec.gov/Archives/edgar/data/46080/000095015723000851/ex10-1.htm" TargetMode="External"/><Relationship Id="rId117" Type="http://schemas.openxmlformats.org/officeDocument/2006/relationships/hyperlink" Target="http://www.sec.gov/Archives/edgar/data/46080/000095015723000851/ex10-2.htm" TargetMode="External"/><Relationship Id="rId119" Type="http://schemas.openxmlformats.org/officeDocument/2006/relationships/hyperlink" Target="http://www.sec.gov/Archives/edgar/data/46080/000095015723000938/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2023-11-01T14:51:18Z</dcterms:created>
  <dcterms:modified xsi:type="dcterms:W3CDTF">2023-11-01T14:51:18Z</dcterms:modified>
</cp:coreProperties>
</file>